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EF5C58" w:rsidRPr="00EF5C58" w14:paraId="57D9FB53" w14:textId="77777777" w:rsidTr="00EF5C58">
        <w:tc>
          <w:tcPr>
            <w:tcW w:w="2448" w:type="dxa"/>
          </w:tcPr>
          <w:p w14:paraId="5846FB5D" w14:textId="472B3BF5" w:rsidR="00EF5C58" w:rsidRPr="00EF5C58" w:rsidRDefault="00EF5C58" w:rsidP="00EF5C58">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bookmarkStart w:id="0" w:name="_GoBack"/>
            <w:bookmarkEnd w:id="0"/>
          </w:p>
        </w:tc>
        <w:tc>
          <w:tcPr>
            <w:tcW w:w="5130" w:type="dxa"/>
          </w:tcPr>
          <w:p w14:paraId="362606A3" w14:textId="77777777" w:rsidR="00EF5C58" w:rsidRPr="00EF5C58" w:rsidRDefault="00EF5C58" w:rsidP="00EF5C5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EF5C58">
              <w:rPr>
                <w:rFonts w:ascii="Times New Roman" w:eastAsia="Times New Roman" w:hAnsi="Times New Roman" w:cs="Times New Roman"/>
                <w:b/>
                <w:sz w:val="26"/>
                <w:szCs w:val="26"/>
              </w:rPr>
              <w:t>PENNSYLVANIA</w:t>
            </w:r>
          </w:p>
          <w:p w14:paraId="6BD96B9C" w14:textId="77777777" w:rsidR="00EF5C58" w:rsidRPr="00EF5C58" w:rsidRDefault="00EF5C58" w:rsidP="00EF5C5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EF5C58">
              <w:rPr>
                <w:rFonts w:ascii="Times New Roman" w:eastAsia="Times New Roman" w:hAnsi="Times New Roman" w:cs="Times New Roman"/>
                <w:b/>
                <w:sz w:val="26"/>
                <w:szCs w:val="26"/>
              </w:rPr>
              <w:t>PUBLIC UTILITY COMMISSION</w:t>
            </w:r>
          </w:p>
          <w:p w14:paraId="0F023C0E" w14:textId="77777777" w:rsidR="00EF5C58" w:rsidRPr="00EF5C58" w:rsidRDefault="00EF5C58" w:rsidP="00EF5C5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EF5C58">
              <w:rPr>
                <w:rFonts w:ascii="Times New Roman" w:eastAsia="Times New Roman" w:hAnsi="Times New Roman" w:cs="Times New Roman"/>
                <w:b/>
                <w:sz w:val="26"/>
                <w:szCs w:val="26"/>
              </w:rPr>
              <w:t>Harrisburg, PA  17105-3265</w:t>
            </w:r>
          </w:p>
        </w:tc>
        <w:tc>
          <w:tcPr>
            <w:tcW w:w="2700" w:type="dxa"/>
          </w:tcPr>
          <w:p w14:paraId="63C6ACA4" w14:textId="77777777" w:rsidR="00EF5C58" w:rsidRPr="00EF5C58" w:rsidRDefault="00EF5C58" w:rsidP="00EF5C5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14:paraId="3837F8DD" w14:textId="1EA2710A" w:rsidR="00EF5C58" w:rsidRDefault="00EF5C58" w:rsidP="00315DBC">
      <w:pPr>
        <w:spacing w:after="0" w:line="240" w:lineRule="auto"/>
        <w:contextualSpacing/>
        <w:jc w:val="center"/>
        <w:rPr>
          <w:rFonts w:ascii="Times New Roman" w:eastAsia="Times New Roman" w:hAnsi="Times New Roman" w:cs="Times New Roman"/>
          <w:b/>
          <w:sz w:val="26"/>
          <w:szCs w:val="26"/>
        </w:rPr>
      </w:pPr>
    </w:p>
    <w:tbl>
      <w:tblPr>
        <w:tblW w:w="0" w:type="auto"/>
        <w:tblLayout w:type="fixed"/>
        <w:tblLook w:val="0000" w:firstRow="0" w:lastRow="0" w:firstColumn="0" w:lastColumn="0" w:noHBand="0" w:noVBand="0"/>
      </w:tblPr>
      <w:tblGrid>
        <w:gridCol w:w="5148"/>
        <w:gridCol w:w="5148"/>
      </w:tblGrid>
      <w:tr w:rsidR="00EF5C58" w:rsidRPr="00EF5C58" w14:paraId="78D59739" w14:textId="77777777" w:rsidTr="00EF5C58">
        <w:tc>
          <w:tcPr>
            <w:tcW w:w="5148" w:type="dxa"/>
          </w:tcPr>
          <w:p w14:paraId="2FE55AF8" w14:textId="77777777" w:rsidR="00EF5C58" w:rsidRPr="00EF5C58" w:rsidRDefault="00EF5C58" w:rsidP="00EF5C58">
            <w:pPr>
              <w:rPr>
                <w:rFonts w:ascii="Times New Roman" w:eastAsia="Times New Roman" w:hAnsi="Times New Roman" w:cs="Times New Roman"/>
                <w:sz w:val="26"/>
                <w:szCs w:val="26"/>
              </w:rPr>
            </w:pPr>
          </w:p>
        </w:tc>
        <w:tc>
          <w:tcPr>
            <w:tcW w:w="5148" w:type="dxa"/>
          </w:tcPr>
          <w:p w14:paraId="0CDF97F7" w14:textId="4E7E7257" w:rsidR="00EF5C58" w:rsidRPr="00EF5C58" w:rsidRDefault="00EF5C58" w:rsidP="00EF5C58">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EF5C58">
              <w:rPr>
                <w:rFonts w:ascii="Times New Roman" w:eastAsia="Times New Roman" w:hAnsi="Times New Roman" w:cs="Times New Roman"/>
                <w:sz w:val="26"/>
                <w:szCs w:val="26"/>
              </w:rPr>
              <w:t xml:space="preserve">Public Meeting held </w:t>
            </w:r>
            <w:r>
              <w:rPr>
                <w:rFonts w:ascii="Times New Roman" w:eastAsia="Times New Roman" w:hAnsi="Times New Roman" w:cs="Times New Roman"/>
                <w:sz w:val="26"/>
                <w:szCs w:val="26"/>
              </w:rPr>
              <w:t>September 19, 2019</w:t>
            </w:r>
          </w:p>
        </w:tc>
      </w:tr>
      <w:tr w:rsidR="00EF5C58" w:rsidRPr="00EF5C58" w14:paraId="673D5C17" w14:textId="77777777" w:rsidTr="00EF5C58">
        <w:tc>
          <w:tcPr>
            <w:tcW w:w="5148" w:type="dxa"/>
          </w:tcPr>
          <w:p w14:paraId="35176443" w14:textId="77777777" w:rsidR="00EF5C58" w:rsidRPr="00EF5C58" w:rsidRDefault="00EF5C58" w:rsidP="00EF5C5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EF5C58">
              <w:rPr>
                <w:rFonts w:ascii="Times New Roman" w:eastAsia="Times New Roman" w:hAnsi="Times New Roman" w:cs="Times New Roman"/>
                <w:sz w:val="26"/>
                <w:szCs w:val="26"/>
              </w:rPr>
              <w:t>Commissioners Present:</w:t>
            </w:r>
          </w:p>
        </w:tc>
        <w:tc>
          <w:tcPr>
            <w:tcW w:w="5148" w:type="dxa"/>
          </w:tcPr>
          <w:p w14:paraId="5D6E303C" w14:textId="77777777" w:rsidR="00EF5C58" w:rsidRPr="00EF5C58" w:rsidRDefault="00EF5C58" w:rsidP="00EF5C5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14:paraId="28695DAB" w14:textId="77777777" w:rsidR="00EF5C58" w:rsidRDefault="00EF5C58" w:rsidP="00315DBC">
      <w:pPr>
        <w:spacing w:after="0" w:line="240" w:lineRule="auto"/>
        <w:contextualSpacing/>
        <w:jc w:val="center"/>
        <w:rPr>
          <w:rFonts w:ascii="Times New Roman" w:eastAsia="Times New Roman" w:hAnsi="Times New Roman" w:cs="Times New Roman"/>
          <w:b/>
          <w:sz w:val="26"/>
          <w:szCs w:val="26"/>
        </w:rPr>
      </w:pPr>
    </w:p>
    <w:tbl>
      <w:tblPr>
        <w:tblW w:w="10350" w:type="dxa"/>
        <w:tblLook w:val="01E0" w:firstRow="1" w:lastRow="1" w:firstColumn="1" w:lastColumn="1" w:noHBand="0" w:noVBand="0"/>
      </w:tblPr>
      <w:tblGrid>
        <w:gridCol w:w="10350"/>
      </w:tblGrid>
      <w:tr w:rsidR="000B2531" w:rsidRPr="00C80D3A" w14:paraId="6452F596" w14:textId="5A305A9F" w:rsidTr="00EF5C58">
        <w:trPr>
          <w:trHeight w:val="1880"/>
        </w:trPr>
        <w:tc>
          <w:tcPr>
            <w:tcW w:w="10350" w:type="dxa"/>
          </w:tcPr>
          <w:p w14:paraId="21A6B923" w14:textId="2F3E0E3F" w:rsidR="00142B78" w:rsidRPr="00C80D3A" w:rsidRDefault="009200BC" w:rsidP="00315DBC">
            <w:pPr>
              <w:spacing w:after="0" w:line="240" w:lineRule="auto"/>
              <w:ind w:firstLine="720"/>
              <w:contextualSpacing/>
              <w:rPr>
                <w:rFonts w:ascii="Times New Roman" w:eastAsia="Times New Roman" w:hAnsi="Times New Roman" w:cs="Times New Roman"/>
                <w:sz w:val="26"/>
                <w:szCs w:val="26"/>
              </w:rPr>
            </w:pPr>
            <w:r w:rsidRPr="00C80D3A">
              <w:rPr>
                <w:rFonts w:ascii="Times New Roman" w:eastAsia="Times New Roman" w:hAnsi="Times New Roman" w:cs="Times New Roman"/>
                <w:sz w:val="26"/>
                <w:szCs w:val="26"/>
              </w:rPr>
              <w:t xml:space="preserve">Gladys Brown Dutrieuille, </w:t>
            </w:r>
            <w:r w:rsidR="00142B78" w:rsidRPr="00C80D3A">
              <w:rPr>
                <w:rFonts w:ascii="Times New Roman" w:eastAsia="Times New Roman" w:hAnsi="Times New Roman" w:cs="Times New Roman"/>
                <w:sz w:val="26"/>
                <w:szCs w:val="26"/>
              </w:rPr>
              <w:t>Chairman</w:t>
            </w:r>
          </w:p>
          <w:p w14:paraId="14192612" w14:textId="3E0B5DD4" w:rsidR="00142B78" w:rsidRPr="00C80D3A" w:rsidRDefault="00142B78" w:rsidP="00315DBC">
            <w:pPr>
              <w:spacing w:after="0" w:line="240" w:lineRule="auto"/>
              <w:ind w:firstLine="720"/>
              <w:contextualSpacing/>
              <w:rPr>
                <w:rFonts w:ascii="Times New Roman" w:eastAsia="Times New Roman" w:hAnsi="Times New Roman" w:cs="Times New Roman"/>
                <w:sz w:val="26"/>
                <w:szCs w:val="26"/>
              </w:rPr>
            </w:pPr>
            <w:r w:rsidRPr="00C80D3A">
              <w:rPr>
                <w:rFonts w:ascii="Times New Roman" w:eastAsia="Times New Roman" w:hAnsi="Times New Roman" w:cs="Times New Roman"/>
                <w:sz w:val="26"/>
                <w:szCs w:val="26"/>
              </w:rPr>
              <w:t>David W. Sweet, Vice Chairman</w:t>
            </w:r>
            <w:r w:rsidR="00516C58">
              <w:rPr>
                <w:rFonts w:ascii="Times New Roman" w:eastAsia="Times New Roman" w:hAnsi="Times New Roman" w:cs="Times New Roman"/>
                <w:sz w:val="26"/>
                <w:szCs w:val="26"/>
              </w:rPr>
              <w:t>,</w:t>
            </w:r>
            <w:r w:rsidR="00AA675A">
              <w:rPr>
                <w:rFonts w:ascii="Times New Roman" w:eastAsia="Times New Roman" w:hAnsi="Times New Roman" w:cs="Times New Roman"/>
                <w:sz w:val="26"/>
                <w:szCs w:val="26"/>
              </w:rPr>
              <w:t xml:space="preserve"> Statement</w:t>
            </w:r>
          </w:p>
          <w:p w14:paraId="23D6366A" w14:textId="6BCA97AB" w:rsidR="00142B78" w:rsidRPr="00C80D3A" w:rsidRDefault="00142B78" w:rsidP="00315DBC">
            <w:pPr>
              <w:spacing w:after="0" w:line="240" w:lineRule="auto"/>
              <w:ind w:firstLine="720"/>
              <w:contextualSpacing/>
              <w:rPr>
                <w:rFonts w:ascii="Times New Roman" w:eastAsia="Times New Roman" w:hAnsi="Times New Roman" w:cs="Times New Roman"/>
                <w:sz w:val="26"/>
                <w:szCs w:val="26"/>
              </w:rPr>
            </w:pPr>
            <w:r w:rsidRPr="00C80D3A">
              <w:rPr>
                <w:rFonts w:ascii="Times New Roman" w:eastAsia="Times New Roman" w:hAnsi="Times New Roman" w:cs="Times New Roman"/>
                <w:sz w:val="26"/>
                <w:szCs w:val="26"/>
              </w:rPr>
              <w:t>Norman J. Kennard</w:t>
            </w:r>
            <w:r w:rsidR="002165F6">
              <w:rPr>
                <w:rFonts w:ascii="Times New Roman" w:eastAsia="Times New Roman" w:hAnsi="Times New Roman" w:cs="Times New Roman"/>
                <w:sz w:val="26"/>
                <w:szCs w:val="26"/>
              </w:rPr>
              <w:t>,</w:t>
            </w:r>
            <w:r w:rsidR="00641C34">
              <w:rPr>
                <w:rFonts w:ascii="Times New Roman" w:eastAsia="Times New Roman" w:hAnsi="Times New Roman" w:cs="Times New Roman"/>
                <w:sz w:val="26"/>
                <w:szCs w:val="26"/>
              </w:rPr>
              <w:t xml:space="preserve"> </w:t>
            </w:r>
            <w:r w:rsidR="0098324E">
              <w:rPr>
                <w:rFonts w:ascii="Times New Roman" w:eastAsia="Times New Roman" w:hAnsi="Times New Roman" w:cs="Times New Roman"/>
                <w:sz w:val="26"/>
                <w:szCs w:val="26"/>
              </w:rPr>
              <w:t xml:space="preserve">Statement, </w:t>
            </w:r>
            <w:r w:rsidR="00641C34">
              <w:rPr>
                <w:rFonts w:ascii="Times New Roman" w:eastAsia="Times New Roman" w:hAnsi="Times New Roman" w:cs="Times New Roman"/>
                <w:sz w:val="26"/>
                <w:szCs w:val="26"/>
              </w:rPr>
              <w:t>Di</w:t>
            </w:r>
            <w:r w:rsidR="00A729DF">
              <w:rPr>
                <w:rFonts w:ascii="Times New Roman" w:eastAsia="Times New Roman" w:hAnsi="Times New Roman" w:cs="Times New Roman"/>
                <w:sz w:val="26"/>
                <w:szCs w:val="26"/>
              </w:rPr>
              <w:t>ssenting</w:t>
            </w:r>
          </w:p>
          <w:p w14:paraId="6BF24AFC" w14:textId="4F54D391" w:rsidR="00142B78" w:rsidRPr="00C80D3A" w:rsidRDefault="00142B78" w:rsidP="00315DBC">
            <w:pPr>
              <w:spacing w:after="0" w:line="240" w:lineRule="auto"/>
              <w:ind w:firstLine="720"/>
              <w:contextualSpacing/>
              <w:rPr>
                <w:rFonts w:ascii="Times New Roman" w:eastAsia="Times New Roman" w:hAnsi="Times New Roman" w:cs="Times New Roman"/>
                <w:sz w:val="26"/>
                <w:szCs w:val="26"/>
              </w:rPr>
            </w:pPr>
            <w:r w:rsidRPr="00C80D3A">
              <w:rPr>
                <w:rFonts w:ascii="Times New Roman" w:eastAsia="Times New Roman" w:hAnsi="Times New Roman" w:cs="Times New Roman"/>
                <w:sz w:val="26"/>
                <w:szCs w:val="26"/>
              </w:rPr>
              <w:t>Andrew G. Place</w:t>
            </w:r>
            <w:r w:rsidR="00516C58">
              <w:rPr>
                <w:rFonts w:ascii="Times New Roman" w:eastAsia="Times New Roman" w:hAnsi="Times New Roman" w:cs="Times New Roman"/>
                <w:sz w:val="26"/>
                <w:szCs w:val="26"/>
              </w:rPr>
              <w:t>,</w:t>
            </w:r>
            <w:r w:rsidR="00AA675A">
              <w:rPr>
                <w:rFonts w:ascii="Times New Roman" w:eastAsia="Times New Roman" w:hAnsi="Times New Roman" w:cs="Times New Roman"/>
                <w:sz w:val="26"/>
                <w:szCs w:val="26"/>
              </w:rPr>
              <w:t xml:space="preserve"> Statement</w:t>
            </w:r>
          </w:p>
          <w:p w14:paraId="49339484" w14:textId="0530DABE" w:rsidR="00142B78" w:rsidRPr="00C80D3A" w:rsidRDefault="00142B78" w:rsidP="00315DBC">
            <w:pPr>
              <w:spacing w:after="0" w:line="240" w:lineRule="auto"/>
              <w:ind w:firstLine="720"/>
              <w:contextualSpacing/>
              <w:rPr>
                <w:rFonts w:ascii="Times New Roman" w:eastAsia="Times New Roman" w:hAnsi="Times New Roman" w:cs="Times New Roman"/>
                <w:sz w:val="26"/>
                <w:szCs w:val="26"/>
              </w:rPr>
            </w:pPr>
            <w:r w:rsidRPr="00C80D3A">
              <w:rPr>
                <w:rFonts w:ascii="Times New Roman" w:eastAsia="Times New Roman" w:hAnsi="Times New Roman" w:cs="Times New Roman"/>
                <w:sz w:val="26"/>
                <w:szCs w:val="26"/>
              </w:rPr>
              <w:t>John F. Coleman, Jr.</w:t>
            </w:r>
            <w:r w:rsidR="00516C58">
              <w:rPr>
                <w:rFonts w:ascii="Times New Roman" w:eastAsia="Times New Roman" w:hAnsi="Times New Roman" w:cs="Times New Roman"/>
                <w:sz w:val="26"/>
                <w:szCs w:val="26"/>
              </w:rPr>
              <w:t>,</w:t>
            </w:r>
            <w:r w:rsidR="00A729DF">
              <w:rPr>
                <w:rFonts w:ascii="Times New Roman" w:eastAsia="Times New Roman" w:hAnsi="Times New Roman" w:cs="Times New Roman"/>
                <w:sz w:val="26"/>
                <w:szCs w:val="26"/>
              </w:rPr>
              <w:t xml:space="preserve"> </w:t>
            </w:r>
            <w:r w:rsidR="00951069">
              <w:rPr>
                <w:rFonts w:ascii="Times New Roman" w:eastAsia="Times New Roman" w:hAnsi="Times New Roman" w:cs="Times New Roman"/>
                <w:sz w:val="26"/>
                <w:szCs w:val="26"/>
              </w:rPr>
              <w:t>Statement</w:t>
            </w:r>
            <w:r w:rsidR="00516C58">
              <w:rPr>
                <w:rFonts w:ascii="Times New Roman" w:eastAsia="Times New Roman" w:hAnsi="Times New Roman" w:cs="Times New Roman"/>
                <w:sz w:val="26"/>
                <w:szCs w:val="26"/>
              </w:rPr>
              <w:t xml:space="preserve">, </w:t>
            </w:r>
            <w:r w:rsidR="00BE4B94">
              <w:rPr>
                <w:rFonts w:ascii="Times New Roman" w:eastAsia="Times New Roman" w:hAnsi="Times New Roman" w:cs="Times New Roman"/>
                <w:sz w:val="26"/>
                <w:szCs w:val="26"/>
              </w:rPr>
              <w:t>Dissenting</w:t>
            </w:r>
          </w:p>
          <w:p w14:paraId="41C2AC26" w14:textId="2B4137E0" w:rsidR="00513B23" w:rsidRPr="00C80D3A" w:rsidRDefault="00513B23" w:rsidP="00315DBC">
            <w:pPr>
              <w:spacing w:after="0" w:line="240" w:lineRule="auto"/>
              <w:ind w:firstLine="697"/>
              <w:contextualSpacing/>
              <w:rPr>
                <w:rFonts w:ascii="Times New Roman" w:eastAsia="Times New Roman" w:hAnsi="Times New Roman" w:cs="Times New Roman"/>
                <w:sz w:val="26"/>
                <w:szCs w:val="26"/>
              </w:rPr>
            </w:pPr>
          </w:p>
        </w:tc>
      </w:tr>
    </w:tbl>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4775"/>
      </w:tblGrid>
      <w:tr w:rsidR="00AF7682" w:rsidRPr="00C80D3A" w14:paraId="662114C3" w14:textId="77777777" w:rsidTr="00EF5C58">
        <w:tc>
          <w:tcPr>
            <w:tcW w:w="5575" w:type="dxa"/>
          </w:tcPr>
          <w:p w14:paraId="02D51380" w14:textId="7EB3AE5F" w:rsidR="00AF7682" w:rsidRPr="00C80D3A" w:rsidRDefault="002703FA" w:rsidP="00315DBC">
            <w:pPr>
              <w:contextualSpacing/>
              <w:rPr>
                <w:b/>
                <w:sz w:val="26"/>
                <w:szCs w:val="26"/>
              </w:rPr>
            </w:pPr>
            <w:r w:rsidRPr="00C80D3A">
              <w:rPr>
                <w:sz w:val="26"/>
                <w:szCs w:val="26"/>
              </w:rPr>
              <w:t xml:space="preserve">2019 </w:t>
            </w:r>
            <w:r w:rsidR="008D6DEE" w:rsidRPr="00C80D3A">
              <w:rPr>
                <w:sz w:val="26"/>
                <w:szCs w:val="26"/>
              </w:rPr>
              <w:t xml:space="preserve">Amendments to </w:t>
            </w:r>
            <w:r w:rsidR="00BB113A" w:rsidRPr="00C80D3A">
              <w:rPr>
                <w:sz w:val="26"/>
                <w:szCs w:val="26"/>
              </w:rPr>
              <w:t xml:space="preserve">Policy Statement </w:t>
            </w:r>
            <w:r w:rsidR="00B31DFA" w:rsidRPr="00C80D3A">
              <w:rPr>
                <w:sz w:val="26"/>
                <w:szCs w:val="26"/>
              </w:rPr>
              <w:t xml:space="preserve">on </w:t>
            </w:r>
            <w:r w:rsidR="00BB113A" w:rsidRPr="00C80D3A">
              <w:rPr>
                <w:sz w:val="26"/>
                <w:szCs w:val="26"/>
              </w:rPr>
              <w:t>Customer Assistance Program</w:t>
            </w:r>
            <w:r w:rsidR="008D6DEE" w:rsidRPr="00C80D3A">
              <w:rPr>
                <w:sz w:val="26"/>
                <w:szCs w:val="26"/>
              </w:rPr>
              <w:t xml:space="preserve">, </w:t>
            </w:r>
            <w:r w:rsidR="00106BE3" w:rsidRPr="00C80D3A">
              <w:rPr>
                <w:sz w:val="26"/>
                <w:szCs w:val="26"/>
              </w:rPr>
              <w:br/>
            </w:r>
            <w:r w:rsidR="008D6DEE" w:rsidRPr="00C80D3A">
              <w:rPr>
                <w:sz w:val="26"/>
                <w:szCs w:val="26"/>
              </w:rPr>
              <w:t>52 Pa. Code § 69.261</w:t>
            </w:r>
            <w:r w:rsidR="00750A27" w:rsidRPr="00C80D3A">
              <w:rPr>
                <w:sz w:val="26"/>
                <w:szCs w:val="26"/>
              </w:rPr>
              <w:t>–</w:t>
            </w:r>
            <w:r w:rsidR="004D55C6" w:rsidRPr="00C80D3A">
              <w:rPr>
                <w:sz w:val="26"/>
                <w:szCs w:val="26"/>
              </w:rPr>
              <w:t>69.</w:t>
            </w:r>
            <w:r w:rsidR="008D6DEE" w:rsidRPr="00C80D3A">
              <w:rPr>
                <w:sz w:val="26"/>
                <w:szCs w:val="26"/>
              </w:rPr>
              <w:t>2</w:t>
            </w:r>
            <w:r w:rsidR="004D55C6" w:rsidRPr="00C80D3A">
              <w:rPr>
                <w:sz w:val="26"/>
                <w:szCs w:val="26"/>
              </w:rPr>
              <w:t>67</w:t>
            </w:r>
          </w:p>
        </w:tc>
        <w:tc>
          <w:tcPr>
            <w:tcW w:w="4775" w:type="dxa"/>
          </w:tcPr>
          <w:p w14:paraId="4359C681" w14:textId="25FA3221" w:rsidR="00AF7682" w:rsidRPr="00C80D3A" w:rsidRDefault="00B31DFA" w:rsidP="00EF5C58">
            <w:pPr>
              <w:contextualSpacing/>
              <w:jc w:val="center"/>
              <w:rPr>
                <w:b/>
                <w:sz w:val="26"/>
                <w:szCs w:val="26"/>
              </w:rPr>
            </w:pPr>
            <w:bookmarkStart w:id="1" w:name="_Hlk17813175"/>
            <w:r w:rsidRPr="00C80D3A">
              <w:rPr>
                <w:sz w:val="26"/>
                <w:szCs w:val="26"/>
              </w:rPr>
              <w:t>M-2019</w:t>
            </w:r>
            <w:r w:rsidR="008D6DEE" w:rsidRPr="00C80D3A">
              <w:rPr>
                <w:sz w:val="26"/>
                <w:szCs w:val="26"/>
              </w:rPr>
              <w:t>-</w:t>
            </w:r>
            <w:r w:rsidR="002605DF" w:rsidRPr="00C80D3A">
              <w:rPr>
                <w:sz w:val="26"/>
                <w:szCs w:val="26"/>
              </w:rPr>
              <w:t>3012</w:t>
            </w:r>
            <w:r w:rsidR="00DF1DDF" w:rsidRPr="00C80D3A">
              <w:rPr>
                <w:sz w:val="26"/>
                <w:szCs w:val="26"/>
              </w:rPr>
              <w:t>599</w:t>
            </w:r>
            <w:bookmarkEnd w:id="1"/>
          </w:p>
        </w:tc>
      </w:tr>
    </w:tbl>
    <w:p w14:paraId="46D6EAE6" w14:textId="67132DD8" w:rsidR="00EA789D" w:rsidRPr="00C80D3A" w:rsidRDefault="00EA789D" w:rsidP="00315DBC">
      <w:pPr>
        <w:spacing w:after="0" w:line="240" w:lineRule="auto"/>
        <w:contextualSpacing/>
        <w:jc w:val="center"/>
        <w:rPr>
          <w:rFonts w:ascii="Times New Roman" w:eastAsia="Times New Roman" w:hAnsi="Times New Roman" w:cs="Times New Roman"/>
          <w:b/>
          <w:sz w:val="26"/>
          <w:szCs w:val="26"/>
        </w:rPr>
      </w:pPr>
    </w:p>
    <w:p w14:paraId="5DA455C7" w14:textId="26A3A8CC" w:rsidR="000B2531" w:rsidRPr="00C80D3A" w:rsidRDefault="003E72E2" w:rsidP="00315DBC">
      <w:pPr>
        <w:spacing w:after="0" w:line="240" w:lineRule="auto"/>
        <w:contextualSpacing/>
        <w:jc w:val="center"/>
        <w:rPr>
          <w:rFonts w:ascii="Times New Roman" w:eastAsia="Times New Roman" w:hAnsi="Times New Roman" w:cs="Times New Roman"/>
          <w:b/>
          <w:sz w:val="26"/>
          <w:szCs w:val="26"/>
        </w:rPr>
      </w:pPr>
      <w:r w:rsidRPr="00C80D3A">
        <w:rPr>
          <w:rFonts w:ascii="Times New Roman" w:eastAsia="Times New Roman" w:hAnsi="Times New Roman" w:cs="Times New Roman"/>
          <w:b/>
          <w:sz w:val="26"/>
          <w:szCs w:val="26"/>
        </w:rPr>
        <w:t>FINAL POLICY STATEMENT</w:t>
      </w:r>
      <w:r w:rsidR="00320ECE">
        <w:rPr>
          <w:rFonts w:ascii="Times New Roman" w:eastAsia="Times New Roman" w:hAnsi="Times New Roman" w:cs="Times New Roman"/>
          <w:b/>
          <w:sz w:val="26"/>
          <w:szCs w:val="26"/>
        </w:rPr>
        <w:t xml:space="preserve"> </w:t>
      </w:r>
      <w:r w:rsidR="00443D8B">
        <w:rPr>
          <w:rFonts w:ascii="Times New Roman" w:eastAsia="Times New Roman" w:hAnsi="Times New Roman" w:cs="Times New Roman"/>
          <w:b/>
          <w:sz w:val="26"/>
          <w:szCs w:val="26"/>
        </w:rPr>
        <w:t xml:space="preserve">AND </w:t>
      </w:r>
      <w:r w:rsidR="00320ECE">
        <w:rPr>
          <w:rFonts w:ascii="Times New Roman" w:eastAsia="Times New Roman" w:hAnsi="Times New Roman" w:cs="Times New Roman"/>
          <w:b/>
          <w:sz w:val="26"/>
          <w:szCs w:val="26"/>
        </w:rPr>
        <w:t>ORDER</w:t>
      </w:r>
    </w:p>
    <w:p w14:paraId="047BAEC7" w14:textId="77777777" w:rsidR="000F552B" w:rsidRPr="00C80D3A" w:rsidRDefault="000F552B" w:rsidP="00315DBC">
      <w:pPr>
        <w:spacing w:after="0" w:line="240" w:lineRule="auto"/>
        <w:contextualSpacing/>
        <w:jc w:val="center"/>
        <w:rPr>
          <w:rFonts w:ascii="Times New Roman" w:eastAsia="Times New Roman" w:hAnsi="Times New Roman" w:cs="Times New Roman"/>
          <w:b/>
          <w:sz w:val="26"/>
          <w:szCs w:val="26"/>
        </w:rPr>
      </w:pPr>
    </w:p>
    <w:p w14:paraId="17ECC8F5" w14:textId="77777777" w:rsidR="000B2531" w:rsidRPr="00C80D3A" w:rsidRDefault="000B2531" w:rsidP="001C4093">
      <w:pPr>
        <w:spacing w:after="0" w:line="240" w:lineRule="auto"/>
        <w:contextualSpacing/>
        <w:rPr>
          <w:rFonts w:ascii="Times New Roman" w:eastAsia="Times New Roman" w:hAnsi="Times New Roman" w:cs="Times New Roman"/>
          <w:b/>
          <w:sz w:val="26"/>
          <w:szCs w:val="26"/>
        </w:rPr>
      </w:pPr>
      <w:r w:rsidRPr="00C80D3A">
        <w:rPr>
          <w:rFonts w:ascii="Times New Roman" w:eastAsia="Times New Roman" w:hAnsi="Times New Roman" w:cs="Times New Roman"/>
          <w:b/>
          <w:sz w:val="26"/>
          <w:szCs w:val="26"/>
        </w:rPr>
        <w:t>BY THE COMMISSION</w:t>
      </w:r>
      <w:r w:rsidR="001D097C" w:rsidRPr="00C80D3A">
        <w:rPr>
          <w:rFonts w:ascii="Times New Roman" w:eastAsia="Times New Roman" w:hAnsi="Times New Roman" w:cs="Times New Roman"/>
          <w:b/>
          <w:sz w:val="26"/>
          <w:szCs w:val="26"/>
        </w:rPr>
        <w:t>:</w:t>
      </w:r>
    </w:p>
    <w:p w14:paraId="71E62F79" w14:textId="77777777" w:rsidR="00CE568E" w:rsidRPr="00C80D3A" w:rsidRDefault="00CE568E" w:rsidP="00F04703">
      <w:pPr>
        <w:spacing w:after="0" w:line="240" w:lineRule="auto"/>
        <w:contextualSpacing/>
        <w:rPr>
          <w:rFonts w:ascii="Times New Roman" w:eastAsia="Times New Roman" w:hAnsi="Times New Roman" w:cs="Times New Roman"/>
          <w:b/>
          <w:sz w:val="26"/>
          <w:szCs w:val="26"/>
        </w:rPr>
      </w:pPr>
    </w:p>
    <w:p w14:paraId="47DC85AB" w14:textId="2AACA8EA" w:rsidR="00662E67" w:rsidRDefault="00A729DF" w:rsidP="00315DBC">
      <w:pPr>
        <w:spacing w:after="0" w:line="360" w:lineRule="auto"/>
        <w:ind w:firstLine="720"/>
        <w:contextualSpacing/>
        <w:rPr>
          <w:rFonts w:ascii="Times New Roman" w:hAnsi="Times New Roman" w:cs="Times New Roman"/>
          <w:sz w:val="26"/>
          <w:szCs w:val="26"/>
        </w:rPr>
      </w:pPr>
      <w:r>
        <w:rPr>
          <w:rFonts w:ascii="Times New Roman" w:eastAsia="Times New Roman" w:hAnsi="Times New Roman" w:cs="Times New Roman"/>
          <w:sz w:val="26"/>
          <w:szCs w:val="26"/>
        </w:rPr>
        <w:t>T</w:t>
      </w:r>
      <w:r w:rsidR="00461F15" w:rsidRPr="00C80D3A">
        <w:rPr>
          <w:rFonts w:ascii="Times New Roman" w:eastAsia="Times New Roman" w:hAnsi="Times New Roman" w:cs="Times New Roman"/>
          <w:sz w:val="26"/>
          <w:szCs w:val="26"/>
        </w:rPr>
        <w:t xml:space="preserve">he Public Utility Commission (Commission) </w:t>
      </w:r>
      <w:bookmarkStart w:id="2" w:name="_Hlk526497800"/>
      <w:r w:rsidR="00E87958" w:rsidRPr="00C80D3A">
        <w:rPr>
          <w:rFonts w:ascii="Times New Roman" w:hAnsi="Times New Roman" w:cs="Times New Roman"/>
          <w:sz w:val="26"/>
          <w:szCs w:val="26"/>
        </w:rPr>
        <w:t xml:space="preserve">hereby </w:t>
      </w:r>
      <w:r w:rsidR="00A27ED6" w:rsidRPr="00C80D3A">
        <w:rPr>
          <w:rFonts w:ascii="Times New Roman" w:hAnsi="Times New Roman" w:cs="Times New Roman"/>
          <w:sz w:val="26"/>
          <w:szCs w:val="26"/>
        </w:rPr>
        <w:t xml:space="preserve">adopts </w:t>
      </w:r>
      <w:r w:rsidR="00991A00" w:rsidRPr="00C80D3A">
        <w:rPr>
          <w:rFonts w:ascii="Times New Roman" w:hAnsi="Times New Roman" w:cs="Times New Roman"/>
          <w:sz w:val="26"/>
          <w:szCs w:val="26"/>
        </w:rPr>
        <w:t xml:space="preserve">customer assistance program </w:t>
      </w:r>
      <w:r w:rsidR="00AF5162" w:rsidRPr="00C80D3A">
        <w:rPr>
          <w:rFonts w:ascii="Times New Roman" w:hAnsi="Times New Roman" w:cs="Times New Roman"/>
          <w:sz w:val="26"/>
          <w:szCs w:val="26"/>
        </w:rPr>
        <w:t xml:space="preserve">(CAP) </w:t>
      </w:r>
      <w:r w:rsidR="00DE520B" w:rsidRPr="00C80D3A">
        <w:rPr>
          <w:rFonts w:ascii="Times New Roman" w:hAnsi="Times New Roman" w:cs="Times New Roman"/>
          <w:sz w:val="26"/>
          <w:szCs w:val="26"/>
        </w:rPr>
        <w:t xml:space="preserve">policy changes and </w:t>
      </w:r>
      <w:r w:rsidR="00077340" w:rsidRPr="00C80D3A">
        <w:rPr>
          <w:rFonts w:ascii="Times New Roman" w:hAnsi="Times New Roman" w:cs="Times New Roman"/>
          <w:sz w:val="26"/>
          <w:szCs w:val="26"/>
        </w:rPr>
        <w:t>amends</w:t>
      </w:r>
      <w:r w:rsidR="00D1615D" w:rsidRPr="00C80D3A">
        <w:rPr>
          <w:rFonts w:ascii="Times New Roman" w:hAnsi="Times New Roman" w:cs="Times New Roman"/>
          <w:sz w:val="26"/>
          <w:szCs w:val="26"/>
        </w:rPr>
        <w:t xml:space="preserve"> </w:t>
      </w:r>
      <w:r w:rsidR="00991A00" w:rsidRPr="00C80D3A">
        <w:rPr>
          <w:rFonts w:ascii="Times New Roman" w:hAnsi="Times New Roman" w:cs="Times New Roman"/>
          <w:sz w:val="26"/>
          <w:szCs w:val="26"/>
        </w:rPr>
        <w:t>the Commission</w:t>
      </w:r>
      <w:r w:rsidR="001529C6">
        <w:rPr>
          <w:rFonts w:ascii="Times New Roman" w:hAnsi="Times New Roman" w:cs="Times New Roman"/>
          <w:sz w:val="26"/>
          <w:szCs w:val="26"/>
        </w:rPr>
        <w:t>’</w:t>
      </w:r>
      <w:r w:rsidR="00991A00" w:rsidRPr="00C80D3A">
        <w:rPr>
          <w:rFonts w:ascii="Times New Roman" w:hAnsi="Times New Roman" w:cs="Times New Roman"/>
          <w:sz w:val="26"/>
          <w:szCs w:val="26"/>
        </w:rPr>
        <w:t xml:space="preserve">s </w:t>
      </w:r>
      <w:r w:rsidR="00D1615D" w:rsidRPr="00C80D3A">
        <w:rPr>
          <w:rFonts w:ascii="Times New Roman" w:hAnsi="Times New Roman" w:cs="Times New Roman"/>
          <w:sz w:val="26"/>
          <w:szCs w:val="26"/>
        </w:rPr>
        <w:t xml:space="preserve">existing </w:t>
      </w:r>
      <w:r w:rsidR="00806CC5" w:rsidRPr="00C80D3A">
        <w:rPr>
          <w:rFonts w:ascii="Times New Roman" w:hAnsi="Times New Roman" w:cs="Times New Roman"/>
          <w:sz w:val="26"/>
          <w:szCs w:val="26"/>
        </w:rPr>
        <w:t>CAP P</w:t>
      </w:r>
      <w:r w:rsidR="009927DD" w:rsidRPr="00C80D3A">
        <w:rPr>
          <w:rFonts w:ascii="Times New Roman" w:hAnsi="Times New Roman" w:cs="Times New Roman"/>
          <w:sz w:val="26"/>
          <w:szCs w:val="26"/>
        </w:rPr>
        <w:t xml:space="preserve">olicy </w:t>
      </w:r>
      <w:r w:rsidR="00806CC5" w:rsidRPr="00C80D3A">
        <w:rPr>
          <w:rFonts w:ascii="Times New Roman" w:hAnsi="Times New Roman" w:cs="Times New Roman"/>
          <w:sz w:val="26"/>
          <w:szCs w:val="26"/>
        </w:rPr>
        <w:t>S</w:t>
      </w:r>
      <w:r w:rsidR="009927DD" w:rsidRPr="00C80D3A">
        <w:rPr>
          <w:rFonts w:ascii="Times New Roman" w:hAnsi="Times New Roman" w:cs="Times New Roman"/>
          <w:sz w:val="26"/>
          <w:szCs w:val="26"/>
        </w:rPr>
        <w:t>tatement</w:t>
      </w:r>
      <w:r w:rsidR="002D03EF" w:rsidRPr="00C80D3A">
        <w:rPr>
          <w:rFonts w:ascii="Times New Roman" w:hAnsi="Times New Roman" w:cs="Times New Roman"/>
          <w:sz w:val="26"/>
          <w:szCs w:val="26"/>
        </w:rPr>
        <w:t xml:space="preserve"> at 52 Pa. Code § 69.261</w:t>
      </w:r>
      <w:r w:rsidR="00750A27" w:rsidRPr="00C80D3A">
        <w:rPr>
          <w:rFonts w:ascii="Times New Roman" w:hAnsi="Times New Roman" w:cs="Times New Roman"/>
          <w:sz w:val="26"/>
          <w:szCs w:val="26"/>
        </w:rPr>
        <w:t>–</w:t>
      </w:r>
      <w:r w:rsidR="002D03EF" w:rsidRPr="00C80D3A">
        <w:rPr>
          <w:rFonts w:ascii="Times New Roman" w:hAnsi="Times New Roman" w:cs="Times New Roman"/>
          <w:sz w:val="26"/>
          <w:szCs w:val="26"/>
        </w:rPr>
        <w:t>69.267</w:t>
      </w:r>
      <w:r w:rsidR="00870CDB" w:rsidRPr="00C80D3A">
        <w:rPr>
          <w:rFonts w:ascii="Times New Roman" w:hAnsi="Times New Roman" w:cs="Times New Roman"/>
          <w:sz w:val="26"/>
          <w:szCs w:val="26"/>
        </w:rPr>
        <w:t xml:space="preserve"> as set forth in Annex A to this Order</w:t>
      </w:r>
      <w:r w:rsidR="00E3140C" w:rsidRPr="00C80D3A">
        <w:rPr>
          <w:rFonts w:ascii="Times New Roman" w:hAnsi="Times New Roman" w:cs="Times New Roman"/>
          <w:sz w:val="26"/>
          <w:szCs w:val="26"/>
        </w:rPr>
        <w:t xml:space="preserve">. </w:t>
      </w:r>
      <w:r w:rsidR="00C65D28" w:rsidRPr="00C80D3A">
        <w:rPr>
          <w:rFonts w:ascii="Times New Roman" w:hAnsi="Times New Roman" w:cs="Times New Roman"/>
          <w:sz w:val="26"/>
          <w:szCs w:val="26"/>
        </w:rPr>
        <w:t xml:space="preserve"> </w:t>
      </w:r>
      <w:r w:rsidR="00F94518" w:rsidRPr="00C80D3A">
        <w:rPr>
          <w:rFonts w:ascii="Times New Roman" w:hAnsi="Times New Roman" w:cs="Times New Roman"/>
          <w:sz w:val="26"/>
          <w:szCs w:val="26"/>
        </w:rPr>
        <w:t>T</w:t>
      </w:r>
      <w:r w:rsidR="00BE0A2A" w:rsidRPr="00C80D3A">
        <w:rPr>
          <w:rFonts w:ascii="Times New Roman" w:hAnsi="Times New Roman" w:cs="Times New Roman"/>
          <w:sz w:val="26"/>
          <w:szCs w:val="26"/>
        </w:rPr>
        <w:t xml:space="preserve">he </w:t>
      </w:r>
      <w:r w:rsidR="00870CDB" w:rsidRPr="00C80D3A">
        <w:rPr>
          <w:rFonts w:ascii="Times New Roman" w:hAnsi="Times New Roman" w:cs="Times New Roman"/>
          <w:sz w:val="26"/>
          <w:szCs w:val="26"/>
        </w:rPr>
        <w:t xml:space="preserve">Commission identified the </w:t>
      </w:r>
      <w:r w:rsidR="00BE0A2A" w:rsidRPr="00C80D3A">
        <w:rPr>
          <w:rFonts w:ascii="Times New Roman" w:hAnsi="Times New Roman" w:cs="Times New Roman"/>
          <w:sz w:val="26"/>
          <w:szCs w:val="26"/>
        </w:rPr>
        <w:t>bases for c</w:t>
      </w:r>
      <w:r w:rsidR="001A6BBA" w:rsidRPr="00C80D3A">
        <w:rPr>
          <w:rFonts w:ascii="Times New Roman" w:hAnsi="Times New Roman" w:cs="Times New Roman"/>
          <w:sz w:val="26"/>
          <w:szCs w:val="26"/>
        </w:rPr>
        <w:t>hange</w:t>
      </w:r>
      <w:r w:rsidR="00B71EB1" w:rsidRPr="00C80D3A">
        <w:rPr>
          <w:rFonts w:ascii="Times New Roman" w:hAnsi="Times New Roman" w:cs="Times New Roman"/>
          <w:sz w:val="26"/>
          <w:szCs w:val="26"/>
        </w:rPr>
        <w:t>s</w:t>
      </w:r>
      <w:r w:rsidR="004F2A32" w:rsidRPr="00C80D3A">
        <w:rPr>
          <w:rFonts w:ascii="Times New Roman" w:hAnsi="Times New Roman" w:cs="Times New Roman"/>
          <w:sz w:val="26"/>
          <w:szCs w:val="26"/>
        </w:rPr>
        <w:t xml:space="preserve"> </w:t>
      </w:r>
      <w:r w:rsidR="000E5216" w:rsidRPr="00C80D3A">
        <w:rPr>
          <w:rFonts w:ascii="Times New Roman" w:hAnsi="Times New Roman" w:cs="Times New Roman"/>
          <w:sz w:val="26"/>
          <w:szCs w:val="26"/>
        </w:rPr>
        <w:t xml:space="preserve">specified </w:t>
      </w:r>
      <w:r w:rsidR="004F2A32" w:rsidRPr="00C80D3A">
        <w:rPr>
          <w:rFonts w:ascii="Times New Roman" w:hAnsi="Times New Roman" w:cs="Times New Roman"/>
          <w:sz w:val="26"/>
          <w:szCs w:val="26"/>
        </w:rPr>
        <w:t xml:space="preserve">in this Order </w:t>
      </w:r>
      <w:r w:rsidR="001261F8" w:rsidRPr="00C80D3A">
        <w:rPr>
          <w:rFonts w:ascii="Times New Roman" w:hAnsi="Times New Roman" w:cs="Times New Roman"/>
          <w:sz w:val="26"/>
          <w:szCs w:val="26"/>
        </w:rPr>
        <w:t>as part of</w:t>
      </w:r>
      <w:r w:rsidR="00AE0753" w:rsidRPr="00C80D3A">
        <w:rPr>
          <w:rFonts w:ascii="Times New Roman" w:hAnsi="Times New Roman" w:cs="Times New Roman"/>
          <w:sz w:val="26"/>
          <w:szCs w:val="26"/>
        </w:rPr>
        <w:t xml:space="preserve"> </w:t>
      </w:r>
      <w:r w:rsidR="00E80CDE" w:rsidRPr="00C80D3A">
        <w:rPr>
          <w:rFonts w:ascii="Times New Roman" w:hAnsi="Times New Roman" w:cs="Times New Roman"/>
          <w:sz w:val="26"/>
          <w:szCs w:val="26"/>
        </w:rPr>
        <w:t xml:space="preserve">(1) </w:t>
      </w:r>
      <w:r w:rsidR="00ED0FC2" w:rsidRPr="00C80D3A">
        <w:rPr>
          <w:rFonts w:ascii="Times New Roman" w:hAnsi="Times New Roman" w:cs="Times New Roman"/>
          <w:sz w:val="26"/>
          <w:szCs w:val="26"/>
        </w:rPr>
        <w:t>the Commission</w:t>
      </w:r>
      <w:r w:rsidR="001529C6">
        <w:rPr>
          <w:rFonts w:ascii="Times New Roman" w:hAnsi="Times New Roman" w:cs="Times New Roman"/>
          <w:sz w:val="26"/>
          <w:szCs w:val="26"/>
        </w:rPr>
        <w:t>’</w:t>
      </w:r>
      <w:r w:rsidR="00ED0FC2" w:rsidRPr="00C80D3A">
        <w:rPr>
          <w:rFonts w:ascii="Times New Roman" w:hAnsi="Times New Roman" w:cs="Times New Roman"/>
          <w:sz w:val="26"/>
          <w:szCs w:val="26"/>
        </w:rPr>
        <w:t xml:space="preserve">s </w:t>
      </w:r>
      <w:r w:rsidR="00DB249D" w:rsidRPr="00C80D3A">
        <w:rPr>
          <w:rFonts w:ascii="Times New Roman" w:hAnsi="Times New Roman" w:cs="Times New Roman"/>
          <w:sz w:val="26"/>
          <w:szCs w:val="26"/>
        </w:rPr>
        <w:t xml:space="preserve">staff report titled </w:t>
      </w:r>
      <w:r w:rsidR="00DB249D" w:rsidRPr="00C80D3A">
        <w:rPr>
          <w:rFonts w:ascii="Times New Roman" w:hAnsi="Times New Roman" w:cs="Times New Roman"/>
          <w:i/>
          <w:sz w:val="26"/>
          <w:szCs w:val="26"/>
        </w:rPr>
        <w:t>Home Energy Affordability for Low-Income Customers in Pennsylvania</w:t>
      </w:r>
      <w:r w:rsidR="009005E9" w:rsidRPr="00C80D3A">
        <w:rPr>
          <w:rStyle w:val="FootnoteReference"/>
          <w:rFonts w:ascii="Times New Roman" w:hAnsi="Times New Roman" w:cs="Times New Roman"/>
          <w:sz w:val="26"/>
          <w:szCs w:val="26"/>
        </w:rPr>
        <w:footnoteReference w:id="2"/>
      </w:r>
      <w:r w:rsidR="00DB249D" w:rsidRPr="00C80D3A">
        <w:rPr>
          <w:rFonts w:ascii="Times New Roman" w:hAnsi="Times New Roman" w:cs="Times New Roman"/>
          <w:sz w:val="26"/>
          <w:szCs w:val="26"/>
        </w:rPr>
        <w:t xml:space="preserve"> (</w:t>
      </w:r>
      <w:r w:rsidR="00ED0FC2" w:rsidRPr="00C80D3A">
        <w:rPr>
          <w:rFonts w:ascii="Times New Roman" w:hAnsi="Times New Roman" w:cs="Times New Roman"/>
          <w:sz w:val="26"/>
          <w:szCs w:val="26"/>
        </w:rPr>
        <w:t xml:space="preserve">Energy Affordability </w:t>
      </w:r>
      <w:r w:rsidR="00DB249D" w:rsidRPr="00C80D3A">
        <w:rPr>
          <w:rFonts w:ascii="Times New Roman" w:hAnsi="Times New Roman" w:cs="Times New Roman"/>
          <w:sz w:val="26"/>
          <w:szCs w:val="26"/>
        </w:rPr>
        <w:t>Report)</w:t>
      </w:r>
      <w:r w:rsidR="009D1135" w:rsidRPr="00C80D3A">
        <w:rPr>
          <w:rFonts w:ascii="Times New Roman" w:hAnsi="Times New Roman" w:cs="Times New Roman"/>
          <w:sz w:val="26"/>
          <w:szCs w:val="26"/>
        </w:rPr>
        <w:t xml:space="preserve"> and the supplemental information and comments </w:t>
      </w:r>
      <w:r w:rsidR="00305E0D" w:rsidRPr="00C80D3A">
        <w:rPr>
          <w:rFonts w:ascii="Times New Roman" w:hAnsi="Times New Roman" w:cs="Times New Roman"/>
          <w:sz w:val="26"/>
          <w:szCs w:val="26"/>
        </w:rPr>
        <w:t>related to th</w:t>
      </w:r>
      <w:r w:rsidR="00E55118" w:rsidRPr="00C80D3A">
        <w:rPr>
          <w:rFonts w:ascii="Times New Roman" w:hAnsi="Times New Roman" w:cs="Times New Roman"/>
          <w:sz w:val="26"/>
          <w:szCs w:val="26"/>
        </w:rPr>
        <w:t>at</w:t>
      </w:r>
      <w:r w:rsidR="00305E0D" w:rsidRPr="00C80D3A">
        <w:rPr>
          <w:rFonts w:ascii="Times New Roman" w:hAnsi="Times New Roman" w:cs="Times New Roman"/>
          <w:sz w:val="26"/>
          <w:szCs w:val="26"/>
        </w:rPr>
        <w:t xml:space="preserve"> </w:t>
      </w:r>
      <w:r w:rsidR="00E55118" w:rsidRPr="00C80D3A">
        <w:rPr>
          <w:rFonts w:ascii="Times New Roman" w:hAnsi="Times New Roman" w:cs="Times New Roman"/>
          <w:sz w:val="26"/>
          <w:szCs w:val="26"/>
        </w:rPr>
        <w:t>R</w:t>
      </w:r>
      <w:r w:rsidR="00305E0D" w:rsidRPr="00C80D3A">
        <w:rPr>
          <w:rFonts w:ascii="Times New Roman" w:hAnsi="Times New Roman" w:cs="Times New Roman"/>
          <w:sz w:val="26"/>
          <w:szCs w:val="26"/>
        </w:rPr>
        <w:t>eport</w:t>
      </w:r>
      <w:r w:rsidR="00AC0478" w:rsidRPr="00C80D3A">
        <w:rPr>
          <w:rFonts w:ascii="Times New Roman" w:hAnsi="Times New Roman" w:cs="Times New Roman"/>
          <w:sz w:val="26"/>
          <w:szCs w:val="26"/>
        </w:rPr>
        <w:t xml:space="preserve">; (2) </w:t>
      </w:r>
      <w:r w:rsidR="00305E0D" w:rsidRPr="00C80D3A">
        <w:rPr>
          <w:rFonts w:ascii="Times New Roman" w:hAnsi="Times New Roman" w:cs="Times New Roman"/>
          <w:sz w:val="26"/>
          <w:szCs w:val="26"/>
        </w:rPr>
        <w:t>the Commission</w:t>
      </w:r>
      <w:r w:rsidR="001529C6">
        <w:rPr>
          <w:rFonts w:ascii="Times New Roman" w:hAnsi="Times New Roman" w:cs="Times New Roman"/>
          <w:sz w:val="26"/>
          <w:szCs w:val="26"/>
        </w:rPr>
        <w:t>’</w:t>
      </w:r>
      <w:r w:rsidR="00305E0D" w:rsidRPr="00C80D3A">
        <w:rPr>
          <w:rFonts w:ascii="Times New Roman" w:hAnsi="Times New Roman" w:cs="Times New Roman"/>
          <w:sz w:val="26"/>
          <w:szCs w:val="26"/>
        </w:rPr>
        <w:t>s</w:t>
      </w:r>
      <w:r w:rsidR="00106E81" w:rsidRPr="00C80D3A">
        <w:rPr>
          <w:rFonts w:ascii="Times New Roman" w:hAnsi="Times New Roman" w:cs="Times New Roman"/>
          <w:sz w:val="26"/>
          <w:szCs w:val="26"/>
        </w:rPr>
        <w:t xml:space="preserve"> ongoing broader review of the </w:t>
      </w:r>
      <w:r w:rsidR="00E55118" w:rsidRPr="00C80D3A">
        <w:rPr>
          <w:rFonts w:ascii="Times New Roman" w:hAnsi="Times New Roman" w:cs="Times New Roman"/>
          <w:sz w:val="26"/>
          <w:szCs w:val="26"/>
        </w:rPr>
        <w:t xml:space="preserve">provisions and </w:t>
      </w:r>
      <w:r w:rsidR="00106E81" w:rsidRPr="00C80D3A">
        <w:rPr>
          <w:rFonts w:ascii="Times New Roman" w:eastAsia="Times New Roman" w:hAnsi="Times New Roman" w:cs="Times New Roman"/>
          <w:sz w:val="26"/>
          <w:szCs w:val="26"/>
        </w:rPr>
        <w:t>effectiveness of residential u</w:t>
      </w:r>
      <w:r w:rsidR="00106E81" w:rsidRPr="00C80D3A">
        <w:rPr>
          <w:rFonts w:ascii="Times New Roman" w:hAnsi="Times New Roman" w:cs="Times New Roman"/>
          <w:sz w:val="26"/>
          <w:szCs w:val="26"/>
        </w:rPr>
        <w:t>niversal service programs and policies</w:t>
      </w:r>
      <w:r w:rsidR="00AC0478" w:rsidRPr="00C80D3A">
        <w:rPr>
          <w:rFonts w:ascii="Times New Roman" w:hAnsi="Times New Roman" w:cs="Times New Roman"/>
          <w:sz w:val="26"/>
          <w:szCs w:val="26"/>
        </w:rPr>
        <w:t>; and (3)</w:t>
      </w:r>
      <w:r w:rsidR="000E5216" w:rsidRPr="00C80D3A">
        <w:rPr>
          <w:rFonts w:ascii="Times New Roman" w:hAnsi="Times New Roman" w:cs="Times New Roman"/>
          <w:sz w:val="26"/>
          <w:szCs w:val="26"/>
        </w:rPr>
        <w:t> </w:t>
      </w:r>
      <w:r w:rsidR="00835288" w:rsidRPr="00C80D3A">
        <w:rPr>
          <w:rFonts w:ascii="Times New Roman" w:hAnsi="Times New Roman" w:cs="Times New Roman"/>
          <w:sz w:val="26"/>
          <w:szCs w:val="26"/>
        </w:rPr>
        <w:t>best practices identified th</w:t>
      </w:r>
      <w:r w:rsidR="00991E0F" w:rsidRPr="00C80D3A">
        <w:rPr>
          <w:rFonts w:ascii="Times New Roman" w:hAnsi="Times New Roman" w:cs="Times New Roman"/>
          <w:sz w:val="26"/>
          <w:szCs w:val="26"/>
        </w:rPr>
        <w:t>r</w:t>
      </w:r>
      <w:r w:rsidR="00835288" w:rsidRPr="00C80D3A">
        <w:rPr>
          <w:rFonts w:ascii="Times New Roman" w:hAnsi="Times New Roman" w:cs="Times New Roman"/>
          <w:sz w:val="26"/>
          <w:szCs w:val="26"/>
        </w:rPr>
        <w:t>ough the Commission</w:t>
      </w:r>
      <w:r w:rsidR="001529C6">
        <w:rPr>
          <w:rFonts w:ascii="Times New Roman" w:hAnsi="Times New Roman" w:cs="Times New Roman"/>
          <w:sz w:val="26"/>
          <w:szCs w:val="26"/>
        </w:rPr>
        <w:t>’</w:t>
      </w:r>
      <w:r w:rsidR="00835288" w:rsidRPr="00C80D3A">
        <w:rPr>
          <w:rFonts w:ascii="Times New Roman" w:hAnsi="Times New Roman" w:cs="Times New Roman"/>
          <w:sz w:val="26"/>
          <w:szCs w:val="26"/>
        </w:rPr>
        <w:t xml:space="preserve">s review of </w:t>
      </w:r>
      <w:r w:rsidR="00A66141" w:rsidRPr="00C80D3A">
        <w:rPr>
          <w:rFonts w:ascii="Times New Roman" w:hAnsi="Times New Roman" w:cs="Times New Roman"/>
          <w:sz w:val="26"/>
          <w:szCs w:val="26"/>
        </w:rPr>
        <w:t>e</w:t>
      </w:r>
      <w:r w:rsidR="003D6B53" w:rsidRPr="00C80D3A">
        <w:rPr>
          <w:rFonts w:ascii="Times New Roman" w:hAnsi="Times New Roman" w:cs="Times New Roman"/>
          <w:sz w:val="26"/>
          <w:szCs w:val="26"/>
        </w:rPr>
        <w:t xml:space="preserve">lectric </w:t>
      </w:r>
      <w:r w:rsidR="00A66141" w:rsidRPr="00C80D3A">
        <w:rPr>
          <w:rFonts w:ascii="Times New Roman" w:hAnsi="Times New Roman" w:cs="Times New Roman"/>
          <w:sz w:val="26"/>
          <w:szCs w:val="26"/>
        </w:rPr>
        <w:t>d</w:t>
      </w:r>
      <w:r w:rsidR="003D6B53" w:rsidRPr="00C80D3A">
        <w:rPr>
          <w:rFonts w:ascii="Times New Roman" w:hAnsi="Times New Roman" w:cs="Times New Roman"/>
          <w:sz w:val="26"/>
          <w:szCs w:val="26"/>
        </w:rPr>
        <w:t xml:space="preserve">istribution </w:t>
      </w:r>
      <w:r w:rsidR="00A66141" w:rsidRPr="00C80D3A">
        <w:rPr>
          <w:rFonts w:ascii="Times New Roman" w:hAnsi="Times New Roman" w:cs="Times New Roman"/>
          <w:sz w:val="26"/>
          <w:szCs w:val="26"/>
        </w:rPr>
        <w:t>c</w:t>
      </w:r>
      <w:r w:rsidR="003D6B53" w:rsidRPr="00C80D3A">
        <w:rPr>
          <w:rFonts w:ascii="Times New Roman" w:hAnsi="Times New Roman" w:cs="Times New Roman"/>
          <w:sz w:val="26"/>
          <w:szCs w:val="26"/>
        </w:rPr>
        <w:t xml:space="preserve">ompanies (EDCs) and </w:t>
      </w:r>
      <w:r w:rsidR="00A66141" w:rsidRPr="00C80D3A">
        <w:rPr>
          <w:rFonts w:ascii="Times New Roman" w:hAnsi="Times New Roman" w:cs="Times New Roman"/>
          <w:sz w:val="26"/>
          <w:szCs w:val="26"/>
        </w:rPr>
        <w:t>n</w:t>
      </w:r>
      <w:r w:rsidR="003D6B53" w:rsidRPr="00C80D3A">
        <w:rPr>
          <w:rFonts w:ascii="Times New Roman" w:hAnsi="Times New Roman" w:cs="Times New Roman"/>
          <w:sz w:val="26"/>
          <w:szCs w:val="26"/>
        </w:rPr>
        <w:t xml:space="preserve">atural </w:t>
      </w:r>
      <w:r w:rsidR="00A66141" w:rsidRPr="00C80D3A">
        <w:rPr>
          <w:rFonts w:ascii="Times New Roman" w:hAnsi="Times New Roman" w:cs="Times New Roman"/>
          <w:sz w:val="26"/>
          <w:szCs w:val="26"/>
        </w:rPr>
        <w:t>g</w:t>
      </w:r>
      <w:r w:rsidR="003D6B53" w:rsidRPr="00C80D3A">
        <w:rPr>
          <w:rFonts w:ascii="Times New Roman" w:hAnsi="Times New Roman" w:cs="Times New Roman"/>
          <w:sz w:val="26"/>
          <w:szCs w:val="26"/>
        </w:rPr>
        <w:t xml:space="preserve">as </w:t>
      </w:r>
      <w:r w:rsidR="00A66141" w:rsidRPr="00C80D3A">
        <w:rPr>
          <w:rFonts w:ascii="Times New Roman" w:hAnsi="Times New Roman" w:cs="Times New Roman"/>
          <w:sz w:val="26"/>
          <w:szCs w:val="26"/>
        </w:rPr>
        <w:t>d</w:t>
      </w:r>
      <w:r w:rsidR="003D6B53" w:rsidRPr="00C80D3A">
        <w:rPr>
          <w:rFonts w:ascii="Times New Roman" w:hAnsi="Times New Roman" w:cs="Times New Roman"/>
          <w:sz w:val="26"/>
          <w:szCs w:val="26"/>
        </w:rPr>
        <w:t xml:space="preserve">istribution </w:t>
      </w:r>
      <w:r w:rsidR="00A66141" w:rsidRPr="00C80D3A">
        <w:rPr>
          <w:rFonts w:ascii="Times New Roman" w:hAnsi="Times New Roman" w:cs="Times New Roman"/>
          <w:sz w:val="26"/>
          <w:szCs w:val="26"/>
        </w:rPr>
        <w:t>c</w:t>
      </w:r>
      <w:r w:rsidR="003D6B53" w:rsidRPr="00C80D3A">
        <w:rPr>
          <w:rFonts w:ascii="Times New Roman" w:hAnsi="Times New Roman" w:cs="Times New Roman"/>
          <w:sz w:val="26"/>
          <w:szCs w:val="26"/>
        </w:rPr>
        <w:t>ompanies</w:t>
      </w:r>
      <w:r w:rsidR="001529C6">
        <w:rPr>
          <w:rFonts w:ascii="Times New Roman" w:hAnsi="Times New Roman" w:cs="Times New Roman"/>
          <w:sz w:val="26"/>
          <w:szCs w:val="26"/>
        </w:rPr>
        <w:t>’</w:t>
      </w:r>
      <w:r w:rsidR="00F63D40" w:rsidRPr="00C80D3A">
        <w:rPr>
          <w:rFonts w:ascii="Times New Roman" w:hAnsi="Times New Roman" w:cs="Times New Roman"/>
          <w:sz w:val="26"/>
          <w:szCs w:val="26"/>
        </w:rPr>
        <w:t xml:space="preserve"> (NGDC</w:t>
      </w:r>
      <w:r w:rsidR="000E10CB" w:rsidRPr="00C80D3A">
        <w:rPr>
          <w:rFonts w:ascii="Times New Roman" w:hAnsi="Times New Roman" w:cs="Times New Roman"/>
          <w:sz w:val="26"/>
          <w:szCs w:val="26"/>
        </w:rPr>
        <w:t xml:space="preserve">s) </w:t>
      </w:r>
      <w:r w:rsidR="00835288" w:rsidRPr="00C80D3A">
        <w:rPr>
          <w:rFonts w:ascii="Times New Roman" w:hAnsi="Times New Roman" w:cs="Times New Roman"/>
          <w:sz w:val="26"/>
          <w:szCs w:val="26"/>
        </w:rPr>
        <w:t>t</w:t>
      </w:r>
      <w:r w:rsidR="00CA35AF" w:rsidRPr="00C80D3A">
        <w:rPr>
          <w:rFonts w:ascii="Times New Roman" w:hAnsi="Times New Roman" w:cs="Times New Roman"/>
          <w:sz w:val="26"/>
          <w:szCs w:val="26"/>
        </w:rPr>
        <w:t>riennial</w:t>
      </w:r>
      <w:r w:rsidR="000E10CB" w:rsidRPr="00C80D3A">
        <w:rPr>
          <w:rFonts w:ascii="Times New Roman" w:hAnsi="Times New Roman" w:cs="Times New Roman"/>
          <w:sz w:val="26"/>
          <w:szCs w:val="26"/>
        </w:rPr>
        <w:t xml:space="preserve"> universal service and energy conservation plans</w:t>
      </w:r>
      <w:r w:rsidR="00E923CE" w:rsidRPr="00C80D3A">
        <w:rPr>
          <w:rFonts w:ascii="Times New Roman" w:hAnsi="Times New Roman" w:cs="Times New Roman"/>
          <w:sz w:val="26"/>
          <w:szCs w:val="26"/>
        </w:rPr>
        <w:t xml:space="preserve"> (USECPs).</w:t>
      </w:r>
      <w:r w:rsidR="00CA35AF" w:rsidRPr="00C80D3A">
        <w:rPr>
          <w:rFonts w:ascii="Times New Roman" w:hAnsi="Times New Roman" w:cs="Times New Roman"/>
          <w:sz w:val="26"/>
          <w:szCs w:val="26"/>
        </w:rPr>
        <w:t xml:space="preserve"> </w:t>
      </w:r>
      <w:bookmarkEnd w:id="2"/>
      <w:r w:rsidR="00C83571" w:rsidRPr="00C80D3A">
        <w:rPr>
          <w:rFonts w:ascii="Times New Roman" w:hAnsi="Times New Roman" w:cs="Times New Roman"/>
          <w:sz w:val="26"/>
          <w:szCs w:val="26"/>
        </w:rPr>
        <w:t xml:space="preserve"> </w:t>
      </w:r>
    </w:p>
    <w:p w14:paraId="2373F2D7" w14:textId="5E384AC5" w:rsidR="008545CF" w:rsidRPr="00B7063B" w:rsidRDefault="00D54A96" w:rsidP="00315DBC">
      <w:pPr>
        <w:spacing w:after="0" w:line="360" w:lineRule="auto"/>
        <w:ind w:firstLine="720"/>
        <w:contextualSpacing/>
        <w:rPr>
          <w:rFonts w:ascii="Times New Roman" w:hAnsi="Times New Roman" w:cs="Times New Roman"/>
          <w:sz w:val="26"/>
          <w:szCs w:val="26"/>
        </w:rPr>
      </w:pPr>
      <w:r w:rsidRPr="00B7063B">
        <w:rPr>
          <w:rFonts w:ascii="Times New Roman" w:hAnsi="Times New Roman" w:cs="Times New Roman"/>
          <w:sz w:val="26"/>
          <w:szCs w:val="26"/>
        </w:rPr>
        <w:lastRenderedPageBreak/>
        <w:t xml:space="preserve">In a proceeding at </w:t>
      </w:r>
      <w:r w:rsidRPr="00B7063B">
        <w:rPr>
          <w:rFonts w:ascii="Times New Roman" w:hAnsi="Times New Roman" w:cs="Times New Roman"/>
          <w:i/>
          <w:sz w:val="26"/>
          <w:szCs w:val="26"/>
        </w:rPr>
        <w:t>Universal Service Rulemaking</w:t>
      </w:r>
      <w:r w:rsidRPr="00B7063B">
        <w:rPr>
          <w:rFonts w:ascii="Times New Roman" w:hAnsi="Times New Roman" w:cs="Times New Roman"/>
          <w:sz w:val="26"/>
          <w:szCs w:val="26"/>
        </w:rPr>
        <w:t>, Docket No. L</w:t>
      </w:r>
      <w:r w:rsidRPr="00B7063B">
        <w:rPr>
          <w:rFonts w:ascii="Times New Roman" w:hAnsi="Times New Roman" w:cs="Times New Roman"/>
          <w:sz w:val="26"/>
          <w:szCs w:val="26"/>
        </w:rPr>
        <w:noBreakHyphen/>
        <w:t>2019</w:t>
      </w:r>
      <w:r w:rsidRPr="00B7063B">
        <w:rPr>
          <w:rFonts w:ascii="Times New Roman" w:hAnsi="Times New Roman" w:cs="Times New Roman"/>
          <w:sz w:val="26"/>
          <w:szCs w:val="26"/>
        </w:rPr>
        <w:noBreakHyphen/>
        <w:t>3012600</w:t>
      </w:r>
      <w:r w:rsidR="00161A70" w:rsidRPr="00B7063B">
        <w:rPr>
          <w:rFonts w:ascii="Times New Roman" w:hAnsi="Times New Roman" w:cs="Times New Roman"/>
          <w:sz w:val="26"/>
          <w:szCs w:val="26"/>
        </w:rPr>
        <w:t xml:space="preserve"> (</w:t>
      </w:r>
      <w:r w:rsidR="00161A70" w:rsidRPr="00B7063B">
        <w:rPr>
          <w:rFonts w:ascii="Times New Roman" w:hAnsi="Times New Roman" w:cs="Times New Roman"/>
          <w:i/>
          <w:sz w:val="26"/>
          <w:szCs w:val="26"/>
        </w:rPr>
        <w:t>Universal Service Rulemaking</w:t>
      </w:r>
      <w:r w:rsidR="00161A70" w:rsidRPr="00B7063B">
        <w:rPr>
          <w:rFonts w:ascii="Times New Roman" w:hAnsi="Times New Roman" w:cs="Times New Roman"/>
          <w:sz w:val="26"/>
          <w:szCs w:val="26"/>
        </w:rPr>
        <w:t>)</w:t>
      </w:r>
      <w:r w:rsidRPr="00B7063B">
        <w:rPr>
          <w:rFonts w:ascii="Times New Roman" w:hAnsi="Times New Roman" w:cs="Times New Roman"/>
          <w:sz w:val="26"/>
          <w:szCs w:val="26"/>
        </w:rPr>
        <w:t xml:space="preserve">, the Commission </w:t>
      </w:r>
      <w:r w:rsidR="00B955B0" w:rsidRPr="00B7063B">
        <w:rPr>
          <w:rFonts w:ascii="Times New Roman" w:hAnsi="Times New Roman" w:cs="Times New Roman"/>
          <w:sz w:val="26"/>
          <w:szCs w:val="26"/>
        </w:rPr>
        <w:t xml:space="preserve">will </w:t>
      </w:r>
      <w:r w:rsidRPr="00B7063B">
        <w:rPr>
          <w:rFonts w:ascii="Times New Roman" w:hAnsi="Times New Roman" w:cs="Times New Roman"/>
          <w:sz w:val="26"/>
          <w:szCs w:val="26"/>
        </w:rPr>
        <w:t xml:space="preserve">address universal service regulations, including whether to promulgate any of these CAP policy provisions as regulations.  That rulemaking will provide opportunity for additional </w:t>
      </w:r>
      <w:r w:rsidR="00736A7D" w:rsidRPr="00B7063B">
        <w:rPr>
          <w:rFonts w:ascii="Times New Roman" w:hAnsi="Times New Roman" w:cs="Times New Roman"/>
          <w:sz w:val="26"/>
          <w:szCs w:val="26"/>
        </w:rPr>
        <w:t xml:space="preserve">input </w:t>
      </w:r>
      <w:r w:rsidRPr="00B7063B">
        <w:rPr>
          <w:rFonts w:ascii="Times New Roman" w:hAnsi="Times New Roman" w:cs="Times New Roman"/>
          <w:sz w:val="26"/>
          <w:szCs w:val="26"/>
        </w:rPr>
        <w:t xml:space="preserve">from stakeholders.  We strongly urge the EDCs and the NGDCs to incorporate the </w:t>
      </w:r>
      <w:r w:rsidR="00736A7D" w:rsidRPr="00B7063B">
        <w:rPr>
          <w:rFonts w:ascii="Times New Roman" w:hAnsi="Times New Roman" w:cs="Times New Roman"/>
          <w:sz w:val="26"/>
          <w:szCs w:val="26"/>
        </w:rPr>
        <w:t xml:space="preserve">CAP </w:t>
      </w:r>
      <w:r w:rsidRPr="00B7063B">
        <w:rPr>
          <w:rFonts w:ascii="Times New Roman" w:hAnsi="Times New Roman" w:cs="Times New Roman"/>
          <w:sz w:val="26"/>
          <w:szCs w:val="26"/>
        </w:rPr>
        <w:t xml:space="preserve">policy amendments in their USECPs as fully and quickly as possible so that all stakeholders will have a basis for meaningful input in the </w:t>
      </w:r>
      <w:r w:rsidRPr="00B7063B">
        <w:rPr>
          <w:rFonts w:ascii="Times New Roman" w:hAnsi="Times New Roman" w:cs="Times New Roman"/>
          <w:i/>
          <w:sz w:val="26"/>
          <w:szCs w:val="26"/>
        </w:rPr>
        <w:t>Universal Service Rulemaking</w:t>
      </w:r>
      <w:r w:rsidRPr="00B7063B">
        <w:rPr>
          <w:rFonts w:ascii="Times New Roman" w:hAnsi="Times New Roman" w:cs="Times New Roman"/>
          <w:sz w:val="26"/>
          <w:szCs w:val="26"/>
        </w:rPr>
        <w:t>.</w:t>
      </w:r>
    </w:p>
    <w:p w14:paraId="52C9D115" w14:textId="201F192A" w:rsidR="005D6ECA" w:rsidRPr="00B7063B" w:rsidRDefault="005D6ECA" w:rsidP="0098780D">
      <w:pPr>
        <w:spacing w:after="0" w:line="360" w:lineRule="auto"/>
        <w:rPr>
          <w:rFonts w:ascii="Times New Roman" w:hAnsi="Times New Roman" w:cs="Times New Roman"/>
          <w:b/>
          <w:sz w:val="26"/>
          <w:szCs w:val="26"/>
        </w:rPr>
      </w:pPr>
    </w:p>
    <w:p w14:paraId="7D45349F" w14:textId="6F8F5C7E" w:rsidR="009F7846" w:rsidRPr="00B7063B" w:rsidRDefault="00175D7C" w:rsidP="00450A69">
      <w:pPr>
        <w:spacing w:after="0" w:line="360" w:lineRule="auto"/>
        <w:jc w:val="center"/>
        <w:rPr>
          <w:rFonts w:ascii="Times New Roman" w:hAnsi="Times New Roman" w:cs="Times New Roman"/>
          <w:b/>
          <w:sz w:val="26"/>
          <w:szCs w:val="26"/>
        </w:rPr>
      </w:pPr>
      <w:r w:rsidRPr="00B7063B">
        <w:rPr>
          <w:rFonts w:ascii="Times New Roman" w:hAnsi="Times New Roman" w:cs="Times New Roman"/>
          <w:b/>
          <w:sz w:val="26"/>
          <w:szCs w:val="26"/>
        </w:rPr>
        <w:t>INTRODUCTION</w:t>
      </w:r>
      <w:r w:rsidR="00946AE7" w:rsidRPr="00B7063B">
        <w:rPr>
          <w:rFonts w:ascii="Times New Roman" w:hAnsi="Times New Roman" w:cs="Times New Roman"/>
          <w:b/>
          <w:sz w:val="26"/>
          <w:szCs w:val="26"/>
        </w:rPr>
        <w:t xml:space="preserve"> </w:t>
      </w:r>
      <w:r w:rsidR="00443D8B">
        <w:rPr>
          <w:rFonts w:ascii="Times New Roman" w:hAnsi="Times New Roman" w:cs="Times New Roman"/>
          <w:b/>
          <w:sz w:val="26"/>
          <w:szCs w:val="26"/>
        </w:rPr>
        <w:t xml:space="preserve">AND </w:t>
      </w:r>
      <w:r w:rsidR="00946AE7" w:rsidRPr="00B7063B">
        <w:rPr>
          <w:rFonts w:ascii="Times New Roman" w:hAnsi="Times New Roman" w:cs="Times New Roman"/>
          <w:b/>
          <w:sz w:val="26"/>
          <w:szCs w:val="26"/>
        </w:rPr>
        <w:t>OVERVIEW</w:t>
      </w:r>
    </w:p>
    <w:p w14:paraId="54D56FD7" w14:textId="7F97D47A" w:rsidR="006632BD" w:rsidRPr="002826DF" w:rsidRDefault="00024368" w:rsidP="006632BD">
      <w:pPr>
        <w:autoSpaceDE w:val="0"/>
        <w:autoSpaceDN w:val="0"/>
        <w:adjustRightInd w:val="0"/>
        <w:spacing w:line="360" w:lineRule="auto"/>
        <w:ind w:firstLine="720"/>
        <w:rPr>
          <w:rFonts w:ascii="Times New Roman" w:hAnsi="Times New Roman" w:cs="Times New Roman"/>
          <w:sz w:val="26"/>
          <w:szCs w:val="26"/>
        </w:rPr>
      </w:pPr>
      <w:r w:rsidRPr="00B7063B">
        <w:rPr>
          <w:rFonts w:ascii="Times New Roman" w:hAnsi="Times New Roman" w:cs="Times New Roman"/>
          <w:sz w:val="26"/>
          <w:szCs w:val="26"/>
        </w:rPr>
        <w:t xml:space="preserve">This undertaking began nearly two years ago and involved a holistic review of </w:t>
      </w:r>
      <w:r w:rsidR="00C8129F" w:rsidRPr="00B7063B">
        <w:rPr>
          <w:rFonts w:ascii="Times New Roman" w:hAnsi="Times New Roman" w:cs="Times New Roman"/>
          <w:sz w:val="26"/>
          <w:szCs w:val="26"/>
        </w:rPr>
        <w:t>universal service and energy conservation programs</w:t>
      </w:r>
      <w:r w:rsidRPr="00B7063B">
        <w:rPr>
          <w:rFonts w:ascii="Times New Roman" w:hAnsi="Times New Roman" w:cs="Times New Roman"/>
          <w:sz w:val="26"/>
          <w:szCs w:val="26"/>
        </w:rPr>
        <w:t>,</w:t>
      </w:r>
      <w:r w:rsidRPr="00B7063B">
        <w:rPr>
          <w:rStyle w:val="FootnoteReference"/>
          <w:rFonts w:ascii="Times New Roman" w:hAnsi="Times New Roman" w:cs="Times New Roman"/>
          <w:sz w:val="26"/>
          <w:szCs w:val="26"/>
        </w:rPr>
        <w:footnoteReference w:id="3"/>
      </w:r>
      <w:r w:rsidRPr="00B7063B">
        <w:rPr>
          <w:rFonts w:ascii="Times New Roman" w:hAnsi="Times New Roman" w:cs="Times New Roman"/>
          <w:sz w:val="26"/>
          <w:szCs w:val="26"/>
        </w:rPr>
        <w:t xml:space="preserve"> including a thorough examination of the </w:t>
      </w:r>
      <w:r w:rsidR="00A50046" w:rsidRPr="00B7063B">
        <w:rPr>
          <w:rFonts w:ascii="Times New Roman" w:hAnsi="Times New Roman" w:cs="Times New Roman"/>
          <w:sz w:val="26"/>
          <w:szCs w:val="26"/>
        </w:rPr>
        <w:t xml:space="preserve">effects of the </w:t>
      </w:r>
      <w:r w:rsidRPr="00B7063B">
        <w:rPr>
          <w:rFonts w:ascii="Times New Roman" w:hAnsi="Times New Roman" w:cs="Times New Roman"/>
          <w:sz w:val="26"/>
          <w:szCs w:val="26"/>
        </w:rPr>
        <w:t>Commission</w:t>
      </w:r>
      <w:r w:rsidR="001529C6" w:rsidRPr="00B7063B">
        <w:rPr>
          <w:rFonts w:ascii="Times New Roman" w:hAnsi="Times New Roman" w:cs="Times New Roman"/>
          <w:sz w:val="26"/>
          <w:szCs w:val="26"/>
        </w:rPr>
        <w:t>’</w:t>
      </w:r>
      <w:r w:rsidRPr="00B7063B">
        <w:rPr>
          <w:rFonts w:ascii="Times New Roman" w:hAnsi="Times New Roman" w:cs="Times New Roman"/>
          <w:sz w:val="26"/>
          <w:szCs w:val="26"/>
        </w:rPr>
        <w:t>s current energy burden thresholds,</w:t>
      </w:r>
      <w:r w:rsidRPr="00B7063B">
        <w:rPr>
          <w:rStyle w:val="FootnoteReference"/>
          <w:rFonts w:ascii="Times New Roman" w:hAnsi="Times New Roman" w:cs="Times New Roman"/>
          <w:sz w:val="26"/>
          <w:szCs w:val="26"/>
        </w:rPr>
        <w:footnoteReference w:id="4"/>
      </w:r>
      <w:r w:rsidRPr="00B7063B">
        <w:rPr>
          <w:rFonts w:ascii="Times New Roman" w:hAnsi="Times New Roman" w:cs="Times New Roman"/>
          <w:sz w:val="26"/>
          <w:szCs w:val="26"/>
        </w:rPr>
        <w:t xml:space="preserve"> focusing on whether existing </w:t>
      </w:r>
      <w:r w:rsidR="00266D73" w:rsidRPr="00B7063B">
        <w:rPr>
          <w:rFonts w:ascii="Times New Roman" w:hAnsi="Times New Roman" w:cs="Times New Roman"/>
          <w:sz w:val="26"/>
          <w:szCs w:val="26"/>
        </w:rPr>
        <w:t>CAP</w:t>
      </w:r>
      <w:r w:rsidR="00220C8B" w:rsidRPr="00B7063B">
        <w:rPr>
          <w:rFonts w:ascii="Times New Roman" w:hAnsi="Times New Roman" w:cs="Times New Roman"/>
          <w:sz w:val="26"/>
          <w:szCs w:val="26"/>
        </w:rPr>
        <w:t xml:space="preserve"> pricing is </w:t>
      </w:r>
      <w:r w:rsidRPr="00B7063B">
        <w:rPr>
          <w:rFonts w:ascii="Times New Roman" w:hAnsi="Times New Roman" w:cs="Times New Roman"/>
          <w:sz w:val="26"/>
          <w:szCs w:val="26"/>
        </w:rPr>
        <w:t xml:space="preserve">affordable for low-income customers. </w:t>
      </w:r>
      <w:r w:rsidR="00D2621C" w:rsidRPr="00B7063B">
        <w:rPr>
          <w:rFonts w:ascii="Times New Roman" w:hAnsi="Times New Roman" w:cs="Times New Roman"/>
          <w:sz w:val="26"/>
          <w:szCs w:val="26"/>
        </w:rPr>
        <w:t xml:space="preserve"> </w:t>
      </w:r>
      <w:r w:rsidR="006632BD" w:rsidRPr="00B7063B">
        <w:rPr>
          <w:rFonts w:ascii="Times New Roman" w:hAnsi="Times New Roman" w:cs="Times New Roman"/>
          <w:sz w:val="26"/>
          <w:szCs w:val="26"/>
        </w:rPr>
        <w:t xml:space="preserve">We want to extend our sincere gratitude to the </w:t>
      </w:r>
      <w:r w:rsidR="00E00A4A" w:rsidRPr="00B7063B">
        <w:rPr>
          <w:rFonts w:ascii="Times New Roman" w:hAnsi="Times New Roman" w:cs="Times New Roman"/>
          <w:sz w:val="26"/>
          <w:szCs w:val="26"/>
        </w:rPr>
        <w:t xml:space="preserve">utilities and </w:t>
      </w:r>
      <w:r w:rsidR="008A2386" w:rsidRPr="00B7063B">
        <w:rPr>
          <w:rFonts w:ascii="Times New Roman" w:hAnsi="Times New Roman" w:cs="Times New Roman"/>
          <w:sz w:val="26"/>
          <w:szCs w:val="26"/>
        </w:rPr>
        <w:t xml:space="preserve">all </w:t>
      </w:r>
      <w:r w:rsidR="003D279E" w:rsidRPr="00B7063B">
        <w:rPr>
          <w:rFonts w:ascii="Times New Roman" w:hAnsi="Times New Roman" w:cs="Times New Roman"/>
          <w:sz w:val="26"/>
          <w:szCs w:val="26"/>
        </w:rPr>
        <w:t xml:space="preserve">the </w:t>
      </w:r>
      <w:r w:rsidR="00E00A4A" w:rsidRPr="00B7063B">
        <w:rPr>
          <w:rFonts w:ascii="Times New Roman" w:hAnsi="Times New Roman" w:cs="Times New Roman"/>
          <w:sz w:val="26"/>
          <w:szCs w:val="26"/>
        </w:rPr>
        <w:t xml:space="preserve">other </w:t>
      </w:r>
      <w:r w:rsidR="006632BD" w:rsidRPr="00B7063B">
        <w:rPr>
          <w:rFonts w:ascii="Times New Roman" w:hAnsi="Times New Roman" w:cs="Times New Roman"/>
          <w:sz w:val="26"/>
          <w:szCs w:val="26"/>
        </w:rPr>
        <w:t xml:space="preserve">stakeholders </w:t>
      </w:r>
      <w:r w:rsidR="003D279E" w:rsidRPr="00B7063B">
        <w:rPr>
          <w:rFonts w:ascii="Times New Roman" w:hAnsi="Times New Roman" w:cs="Times New Roman"/>
          <w:sz w:val="26"/>
          <w:szCs w:val="26"/>
        </w:rPr>
        <w:t>(collectively, stakeholders</w:t>
      </w:r>
      <w:r w:rsidR="006748F2" w:rsidRPr="00B7063B">
        <w:rPr>
          <w:rStyle w:val="FootnoteReference"/>
          <w:rFonts w:ascii="Times New Roman" w:hAnsi="Times New Roman" w:cs="Times New Roman"/>
          <w:sz w:val="26"/>
          <w:szCs w:val="26"/>
        </w:rPr>
        <w:footnoteReference w:id="5"/>
      </w:r>
      <w:r w:rsidR="003D279E" w:rsidRPr="00B7063B">
        <w:rPr>
          <w:rFonts w:ascii="Times New Roman" w:hAnsi="Times New Roman" w:cs="Times New Roman"/>
          <w:sz w:val="26"/>
          <w:szCs w:val="26"/>
        </w:rPr>
        <w:t xml:space="preserve">) </w:t>
      </w:r>
      <w:r w:rsidR="006632BD" w:rsidRPr="00B7063B">
        <w:rPr>
          <w:rFonts w:ascii="Times New Roman" w:hAnsi="Times New Roman" w:cs="Times New Roman"/>
          <w:sz w:val="26"/>
          <w:szCs w:val="26"/>
        </w:rPr>
        <w:t>who participated in workgroup meetings</w:t>
      </w:r>
      <w:r w:rsidR="009C40A7" w:rsidRPr="00B7063B">
        <w:rPr>
          <w:rFonts w:ascii="Times New Roman" w:hAnsi="Times New Roman" w:cs="Times New Roman"/>
          <w:sz w:val="26"/>
          <w:szCs w:val="26"/>
        </w:rPr>
        <w:t xml:space="preserve"> and</w:t>
      </w:r>
      <w:r w:rsidR="006632BD" w:rsidRPr="00B7063B">
        <w:rPr>
          <w:rFonts w:ascii="Times New Roman" w:hAnsi="Times New Roman" w:cs="Times New Roman"/>
          <w:sz w:val="26"/>
          <w:szCs w:val="26"/>
        </w:rPr>
        <w:t xml:space="preserve"> stakeholder meetings and who submitted comments and information </w:t>
      </w:r>
      <w:r w:rsidR="00AC4487" w:rsidRPr="00B7063B">
        <w:rPr>
          <w:rFonts w:ascii="Times New Roman" w:hAnsi="Times New Roman" w:cs="Times New Roman"/>
          <w:sz w:val="26"/>
          <w:szCs w:val="26"/>
        </w:rPr>
        <w:t>in</w:t>
      </w:r>
      <w:r w:rsidR="006632BD" w:rsidRPr="00B7063B">
        <w:rPr>
          <w:rFonts w:ascii="Times New Roman" w:hAnsi="Times New Roman" w:cs="Times New Roman"/>
          <w:sz w:val="26"/>
          <w:szCs w:val="26"/>
        </w:rPr>
        <w:t xml:space="preserve"> th</w:t>
      </w:r>
      <w:r w:rsidR="00353B6D" w:rsidRPr="00B7063B">
        <w:rPr>
          <w:rFonts w:ascii="Times New Roman" w:hAnsi="Times New Roman" w:cs="Times New Roman"/>
          <w:sz w:val="26"/>
          <w:szCs w:val="26"/>
        </w:rPr>
        <w:t xml:space="preserve">e </w:t>
      </w:r>
      <w:r w:rsidR="00353B6D" w:rsidRPr="00B7063B">
        <w:rPr>
          <w:rFonts w:ascii="Times New Roman" w:hAnsi="Times New Roman" w:cs="Times New Roman"/>
          <w:i/>
          <w:sz w:val="26"/>
          <w:szCs w:val="26"/>
        </w:rPr>
        <w:t>Review</w:t>
      </w:r>
      <w:r w:rsidR="006632BD" w:rsidRPr="00B7063B">
        <w:rPr>
          <w:rFonts w:ascii="Times New Roman" w:hAnsi="Times New Roman" w:cs="Times New Roman"/>
          <w:sz w:val="26"/>
          <w:szCs w:val="26"/>
        </w:rPr>
        <w:t xml:space="preserve"> </w:t>
      </w:r>
      <w:r w:rsidR="00353B6D" w:rsidRPr="00B7063B">
        <w:rPr>
          <w:rFonts w:ascii="Times New Roman" w:hAnsi="Times New Roman" w:cs="Times New Roman"/>
          <w:sz w:val="26"/>
          <w:szCs w:val="26"/>
        </w:rPr>
        <w:t xml:space="preserve">and </w:t>
      </w:r>
      <w:r w:rsidR="00AC4487" w:rsidRPr="00B7063B">
        <w:rPr>
          <w:rFonts w:ascii="Times New Roman" w:hAnsi="Times New Roman" w:cs="Times New Roman"/>
          <w:i/>
          <w:sz w:val="26"/>
          <w:szCs w:val="26"/>
        </w:rPr>
        <w:t>Energy Affordability</w:t>
      </w:r>
      <w:r w:rsidR="00AC4487" w:rsidRPr="00B7063B">
        <w:rPr>
          <w:rFonts w:ascii="Times New Roman" w:hAnsi="Times New Roman" w:cs="Times New Roman"/>
          <w:sz w:val="26"/>
          <w:szCs w:val="26"/>
        </w:rPr>
        <w:t xml:space="preserve"> proceedings</w:t>
      </w:r>
      <w:r w:rsidR="006632BD" w:rsidRPr="00B7063B">
        <w:rPr>
          <w:rFonts w:ascii="Times New Roman" w:hAnsi="Times New Roman" w:cs="Times New Roman"/>
          <w:sz w:val="26"/>
          <w:szCs w:val="26"/>
        </w:rPr>
        <w:t xml:space="preserve">.  </w:t>
      </w:r>
      <w:r w:rsidR="00C531D1" w:rsidRPr="00B7063B">
        <w:rPr>
          <w:rFonts w:ascii="Times New Roman" w:hAnsi="Times New Roman" w:cs="Times New Roman"/>
          <w:sz w:val="26"/>
          <w:szCs w:val="26"/>
        </w:rPr>
        <w:t xml:space="preserve">The stakeholders </w:t>
      </w:r>
      <w:r w:rsidR="006632BD" w:rsidRPr="00B7063B">
        <w:rPr>
          <w:rFonts w:ascii="Times New Roman" w:hAnsi="Times New Roman" w:cs="Times New Roman"/>
          <w:sz w:val="26"/>
          <w:szCs w:val="26"/>
        </w:rPr>
        <w:t>are engaged in these fundamental issues daily</w:t>
      </w:r>
      <w:r w:rsidR="00C531D1" w:rsidRPr="00B7063B">
        <w:rPr>
          <w:rFonts w:ascii="Times New Roman" w:hAnsi="Times New Roman" w:cs="Times New Roman"/>
          <w:sz w:val="26"/>
          <w:szCs w:val="26"/>
        </w:rPr>
        <w:t>,</w:t>
      </w:r>
      <w:r w:rsidR="006632BD" w:rsidRPr="00B7063B">
        <w:rPr>
          <w:rFonts w:ascii="Times New Roman" w:hAnsi="Times New Roman" w:cs="Times New Roman"/>
          <w:sz w:val="26"/>
          <w:szCs w:val="26"/>
        </w:rPr>
        <w:t xml:space="preserve"> and we appreciate the time and attention </w:t>
      </w:r>
      <w:r w:rsidR="00C531D1" w:rsidRPr="00B7063B">
        <w:rPr>
          <w:rFonts w:ascii="Times New Roman" w:hAnsi="Times New Roman" w:cs="Times New Roman"/>
          <w:sz w:val="26"/>
          <w:szCs w:val="26"/>
        </w:rPr>
        <w:t xml:space="preserve">they have </w:t>
      </w:r>
      <w:r w:rsidR="006632BD" w:rsidRPr="00B7063B">
        <w:rPr>
          <w:rFonts w:ascii="Times New Roman" w:hAnsi="Times New Roman" w:cs="Times New Roman"/>
          <w:sz w:val="26"/>
          <w:szCs w:val="26"/>
        </w:rPr>
        <w:t>g</w:t>
      </w:r>
      <w:r w:rsidR="00C531D1" w:rsidRPr="00B7063B">
        <w:rPr>
          <w:rFonts w:ascii="Times New Roman" w:hAnsi="Times New Roman" w:cs="Times New Roman"/>
          <w:sz w:val="26"/>
          <w:szCs w:val="26"/>
        </w:rPr>
        <w:t>iven</w:t>
      </w:r>
      <w:r w:rsidR="006632BD" w:rsidRPr="00B7063B">
        <w:rPr>
          <w:rFonts w:ascii="Times New Roman" w:hAnsi="Times New Roman" w:cs="Times New Roman"/>
          <w:sz w:val="26"/>
          <w:szCs w:val="26"/>
        </w:rPr>
        <w:t xml:space="preserve"> to th</w:t>
      </w:r>
      <w:r w:rsidR="00C531D1" w:rsidRPr="00B7063B">
        <w:rPr>
          <w:rFonts w:ascii="Times New Roman" w:hAnsi="Times New Roman" w:cs="Times New Roman"/>
          <w:sz w:val="26"/>
          <w:szCs w:val="26"/>
        </w:rPr>
        <w:t>is process</w:t>
      </w:r>
      <w:r w:rsidR="006632BD" w:rsidRPr="00B7063B">
        <w:rPr>
          <w:rFonts w:ascii="Times New Roman" w:hAnsi="Times New Roman" w:cs="Times New Roman"/>
          <w:sz w:val="26"/>
          <w:szCs w:val="26"/>
        </w:rPr>
        <w:t xml:space="preserve">.  It is a far richer product for </w:t>
      </w:r>
      <w:r w:rsidR="00C531D1" w:rsidRPr="00B7063B">
        <w:rPr>
          <w:rFonts w:ascii="Times New Roman" w:hAnsi="Times New Roman" w:cs="Times New Roman"/>
          <w:sz w:val="26"/>
          <w:szCs w:val="26"/>
        </w:rPr>
        <w:t xml:space="preserve">their </w:t>
      </w:r>
      <w:r w:rsidR="006632BD" w:rsidRPr="00B7063B">
        <w:rPr>
          <w:rFonts w:ascii="Times New Roman" w:hAnsi="Times New Roman" w:cs="Times New Roman"/>
          <w:sz w:val="26"/>
          <w:szCs w:val="26"/>
        </w:rPr>
        <w:t xml:space="preserve">contributions.  </w:t>
      </w:r>
      <w:r w:rsidR="004E1540" w:rsidRPr="00B7063B">
        <w:rPr>
          <w:rFonts w:ascii="Times New Roman" w:hAnsi="Times New Roman" w:cs="Times New Roman"/>
          <w:sz w:val="26"/>
          <w:szCs w:val="26"/>
        </w:rPr>
        <w:t xml:space="preserve">The </w:t>
      </w:r>
      <w:r w:rsidR="00760780" w:rsidRPr="00B7063B">
        <w:rPr>
          <w:rFonts w:ascii="Times New Roman" w:hAnsi="Times New Roman" w:cs="Times New Roman"/>
          <w:sz w:val="26"/>
          <w:szCs w:val="26"/>
        </w:rPr>
        <w:t>lessons learned</w:t>
      </w:r>
      <w:r w:rsidR="00F353E9">
        <w:rPr>
          <w:rFonts w:ascii="Times New Roman" w:hAnsi="Times New Roman" w:cs="Times New Roman"/>
          <w:sz w:val="26"/>
          <w:szCs w:val="26"/>
        </w:rPr>
        <w:t xml:space="preserve"> and</w:t>
      </w:r>
      <w:r w:rsidR="00760780" w:rsidRPr="00B7063B">
        <w:rPr>
          <w:rFonts w:ascii="Times New Roman" w:hAnsi="Times New Roman" w:cs="Times New Roman"/>
          <w:sz w:val="26"/>
          <w:szCs w:val="26"/>
        </w:rPr>
        <w:t xml:space="preserve"> data </w:t>
      </w:r>
      <w:r w:rsidR="004E1540" w:rsidRPr="00B7063B">
        <w:rPr>
          <w:rFonts w:ascii="Times New Roman" w:hAnsi="Times New Roman" w:cs="Times New Roman"/>
          <w:sz w:val="26"/>
          <w:szCs w:val="26"/>
        </w:rPr>
        <w:t>gathered</w:t>
      </w:r>
      <w:r w:rsidR="00B14414" w:rsidRPr="00B7063B">
        <w:rPr>
          <w:rFonts w:ascii="Times New Roman" w:hAnsi="Times New Roman" w:cs="Times New Roman"/>
          <w:sz w:val="26"/>
          <w:szCs w:val="26"/>
        </w:rPr>
        <w:t xml:space="preserve"> throughout this process</w:t>
      </w:r>
      <w:r w:rsidR="00C222C6" w:rsidRPr="00B7063B">
        <w:rPr>
          <w:rFonts w:ascii="Times New Roman" w:hAnsi="Times New Roman" w:cs="Times New Roman"/>
          <w:sz w:val="26"/>
          <w:szCs w:val="26"/>
        </w:rPr>
        <w:t>,</w:t>
      </w:r>
      <w:r w:rsidR="00B14414" w:rsidRPr="00B7063B">
        <w:rPr>
          <w:rFonts w:ascii="Times New Roman" w:hAnsi="Times New Roman" w:cs="Times New Roman"/>
          <w:sz w:val="26"/>
          <w:szCs w:val="26"/>
        </w:rPr>
        <w:t xml:space="preserve"> a</w:t>
      </w:r>
      <w:r w:rsidR="00C62155" w:rsidRPr="00B7063B">
        <w:rPr>
          <w:rFonts w:ascii="Times New Roman" w:hAnsi="Times New Roman" w:cs="Times New Roman"/>
          <w:sz w:val="26"/>
          <w:szCs w:val="26"/>
        </w:rPr>
        <w:t xml:space="preserve">s well as </w:t>
      </w:r>
      <w:r w:rsidR="00B14414" w:rsidRPr="00B7063B">
        <w:rPr>
          <w:rFonts w:ascii="Times New Roman" w:hAnsi="Times New Roman" w:cs="Times New Roman"/>
          <w:sz w:val="26"/>
          <w:szCs w:val="26"/>
        </w:rPr>
        <w:t>the many utility-specific USECP reviews</w:t>
      </w:r>
      <w:r w:rsidR="00C222C6" w:rsidRPr="00B7063B">
        <w:rPr>
          <w:rFonts w:ascii="Times New Roman" w:hAnsi="Times New Roman" w:cs="Times New Roman"/>
          <w:sz w:val="26"/>
          <w:szCs w:val="26"/>
        </w:rPr>
        <w:t xml:space="preserve"> and other proceedings that address universal service issues,</w:t>
      </w:r>
      <w:r w:rsidR="00B14414" w:rsidRPr="00B7063B">
        <w:rPr>
          <w:rFonts w:ascii="Times New Roman" w:hAnsi="Times New Roman" w:cs="Times New Roman"/>
          <w:sz w:val="26"/>
          <w:szCs w:val="26"/>
        </w:rPr>
        <w:t xml:space="preserve"> have </w:t>
      </w:r>
      <w:r w:rsidR="00760780" w:rsidRPr="00B7063B">
        <w:rPr>
          <w:rFonts w:ascii="Times New Roman" w:hAnsi="Times New Roman" w:cs="Times New Roman"/>
          <w:sz w:val="26"/>
          <w:szCs w:val="26"/>
        </w:rPr>
        <w:t xml:space="preserve">ultimately delivered empirically derived results that have informed our decision making and the policies we </w:t>
      </w:r>
      <w:r w:rsidR="00C62155" w:rsidRPr="00B7063B">
        <w:rPr>
          <w:rFonts w:ascii="Times New Roman" w:hAnsi="Times New Roman" w:cs="Times New Roman"/>
          <w:sz w:val="26"/>
          <w:szCs w:val="26"/>
        </w:rPr>
        <w:t xml:space="preserve">hereby </w:t>
      </w:r>
      <w:r w:rsidR="00760780" w:rsidRPr="00B7063B">
        <w:rPr>
          <w:rFonts w:ascii="Times New Roman" w:hAnsi="Times New Roman" w:cs="Times New Roman"/>
          <w:sz w:val="26"/>
          <w:szCs w:val="26"/>
        </w:rPr>
        <w:t>adopt.</w:t>
      </w:r>
    </w:p>
    <w:p w14:paraId="1B30609A" w14:textId="10258904" w:rsidR="006632BD" w:rsidRDefault="006632BD" w:rsidP="006632BD">
      <w:pPr>
        <w:spacing w:after="0" w:line="360" w:lineRule="auto"/>
        <w:rPr>
          <w:rFonts w:ascii="Times New Roman" w:hAnsi="Times New Roman" w:cs="Times New Roman"/>
          <w:sz w:val="26"/>
          <w:szCs w:val="26"/>
        </w:rPr>
      </w:pPr>
    </w:p>
    <w:p w14:paraId="3A7398E7" w14:textId="7B9B0FAE" w:rsidR="009F7846" w:rsidRPr="00C80D3A" w:rsidRDefault="00A64154" w:rsidP="009F7846">
      <w:pPr>
        <w:pStyle w:val="ListParagraph"/>
        <w:tabs>
          <w:tab w:val="left" w:pos="720"/>
        </w:tabs>
        <w:spacing w:line="360" w:lineRule="auto"/>
        <w:ind w:left="0"/>
        <w:rPr>
          <w:sz w:val="26"/>
          <w:szCs w:val="26"/>
        </w:rPr>
      </w:pPr>
      <w:r w:rsidRPr="00C80D3A">
        <w:rPr>
          <w:sz w:val="26"/>
          <w:szCs w:val="26"/>
        </w:rPr>
        <w:tab/>
      </w:r>
      <w:r w:rsidR="00786870" w:rsidRPr="00786870">
        <w:rPr>
          <w:sz w:val="26"/>
          <w:szCs w:val="26"/>
        </w:rPr>
        <w:t xml:space="preserve">“Energy burden” is the percentage of household income required to pay for household energy usage. </w:t>
      </w:r>
      <w:r w:rsidR="00786870">
        <w:rPr>
          <w:sz w:val="26"/>
          <w:szCs w:val="26"/>
        </w:rPr>
        <w:t xml:space="preserve"> </w:t>
      </w:r>
      <w:r w:rsidR="009F7846" w:rsidRPr="00C80D3A">
        <w:rPr>
          <w:sz w:val="26"/>
          <w:szCs w:val="26"/>
        </w:rPr>
        <w:t>“Universal service and energy conservation” is a collective term for the “policies, protections and services that help low-income customers[</w:t>
      </w:r>
      <w:r w:rsidR="009F7846" w:rsidRPr="00C80D3A">
        <w:rPr>
          <w:sz w:val="26"/>
          <w:szCs w:val="26"/>
          <w:vertAlign w:val="superscript"/>
        </w:rPr>
        <w:footnoteReference w:id="6"/>
      </w:r>
      <w:r w:rsidR="009F7846" w:rsidRPr="00C80D3A">
        <w:rPr>
          <w:sz w:val="26"/>
          <w:szCs w:val="26"/>
        </w:rPr>
        <w:t xml:space="preserve">] to maintain service” as mandated by </w:t>
      </w:r>
      <w:r w:rsidR="00853EB5" w:rsidRPr="00C80D3A">
        <w:rPr>
          <w:sz w:val="26"/>
          <w:szCs w:val="26"/>
        </w:rPr>
        <w:t>statute</w:t>
      </w:r>
      <w:r w:rsidR="009F7846" w:rsidRPr="00C80D3A">
        <w:rPr>
          <w:sz w:val="26"/>
          <w:szCs w:val="26"/>
        </w:rPr>
        <w:t>.</w:t>
      </w:r>
      <w:r w:rsidR="009F7846" w:rsidRPr="00C80D3A">
        <w:rPr>
          <w:rStyle w:val="FootnoteReference"/>
          <w:sz w:val="26"/>
          <w:szCs w:val="26"/>
        </w:rPr>
        <w:footnoteReference w:id="7"/>
      </w:r>
      <w:r w:rsidR="009F7846" w:rsidRPr="00C80D3A">
        <w:rPr>
          <w:sz w:val="26"/>
          <w:szCs w:val="26"/>
        </w:rPr>
        <w:t xml:space="preserve">  The four universal service programs are:</w:t>
      </w:r>
      <w:r w:rsidR="009F7846" w:rsidRPr="00C80D3A" w:rsidDel="00FA01FC">
        <w:rPr>
          <w:sz w:val="26"/>
          <w:szCs w:val="26"/>
        </w:rPr>
        <w:t xml:space="preserve"> </w:t>
      </w:r>
      <w:r w:rsidR="009F7846" w:rsidRPr="00C80D3A">
        <w:rPr>
          <w:sz w:val="26"/>
          <w:szCs w:val="26"/>
        </w:rPr>
        <w:t>(1)</w:t>
      </w:r>
      <w:r w:rsidR="00E110F5">
        <w:rPr>
          <w:sz w:val="26"/>
          <w:szCs w:val="26"/>
        </w:rPr>
        <w:t> </w:t>
      </w:r>
      <w:r w:rsidR="009F7846" w:rsidRPr="00C80D3A">
        <w:rPr>
          <w:sz w:val="26"/>
          <w:szCs w:val="26"/>
        </w:rPr>
        <w:t>CAPs, which may provide discounted pricing, arrearage forgiveness, and/or other benefits for enrolled low-income residential customers; (2) Low</w:t>
      </w:r>
      <w:r w:rsidR="000E08FF" w:rsidRPr="00C80D3A">
        <w:rPr>
          <w:sz w:val="26"/>
          <w:szCs w:val="26"/>
        </w:rPr>
        <w:t>-</w:t>
      </w:r>
      <w:r w:rsidR="009F7846" w:rsidRPr="00C80D3A">
        <w:rPr>
          <w:sz w:val="26"/>
          <w:szCs w:val="26"/>
        </w:rPr>
        <w:t>Income Usage Reduction Programs (LIURPs),</w:t>
      </w:r>
      <w:r w:rsidR="009F7846" w:rsidRPr="00C80D3A">
        <w:rPr>
          <w:rStyle w:val="FootnoteReference"/>
          <w:sz w:val="26"/>
          <w:szCs w:val="26"/>
        </w:rPr>
        <w:footnoteReference w:id="8"/>
      </w:r>
      <w:r w:rsidR="009F7846" w:rsidRPr="00C80D3A">
        <w:rPr>
          <w:sz w:val="26"/>
          <w:szCs w:val="26"/>
        </w:rPr>
        <w:t xml:space="preserve"> which provide weatherization and usage reduction services to help customers reduce their energy utility bills; (3) Customer Assistance and Referral Evaluation Services (CARES), which provide information and referral services for low-income, special needs customers; and (4) Hardship Fund programs,</w:t>
      </w:r>
      <w:r w:rsidR="00D879D4" w:rsidRPr="00C80D3A">
        <w:rPr>
          <w:rStyle w:val="FootnoteReference"/>
          <w:color w:val="0D0D0D" w:themeColor="text1" w:themeTint="F2"/>
          <w:sz w:val="26"/>
          <w:szCs w:val="26"/>
        </w:rPr>
        <w:footnoteReference w:id="9"/>
      </w:r>
      <w:r w:rsidR="009F7846" w:rsidRPr="00C80D3A">
        <w:rPr>
          <w:sz w:val="26"/>
          <w:szCs w:val="26"/>
        </w:rPr>
        <w:t xml:space="preserve"> which provide grants to help customers address utility debt, restore service, or stop a service termination.  EDCs and NGDCs are required to offer these universal service programs in each distribution territory</w:t>
      </w:r>
      <w:r w:rsidR="009F7846" w:rsidRPr="00C80D3A">
        <w:rPr>
          <w:rStyle w:val="FootnoteReference"/>
          <w:sz w:val="26"/>
          <w:szCs w:val="26"/>
        </w:rPr>
        <w:footnoteReference w:id="10"/>
      </w:r>
      <w:r w:rsidR="009F7846" w:rsidRPr="00C80D3A">
        <w:rPr>
          <w:sz w:val="26"/>
          <w:szCs w:val="26"/>
        </w:rPr>
        <w:t xml:space="preserve"> and to submit updated USECPs every three years for Commission approval.</w:t>
      </w:r>
      <w:r w:rsidR="009F7846" w:rsidRPr="00C80D3A">
        <w:rPr>
          <w:rStyle w:val="FootnoteReference"/>
          <w:sz w:val="26"/>
          <w:szCs w:val="26"/>
        </w:rPr>
        <w:footnoteReference w:id="11"/>
      </w:r>
      <w:r w:rsidR="009F7846" w:rsidRPr="00C80D3A">
        <w:rPr>
          <w:sz w:val="26"/>
          <w:szCs w:val="26"/>
        </w:rPr>
        <w:t xml:space="preserve">  Independent impact evaluations are due every six years.</w:t>
      </w:r>
      <w:r w:rsidR="009F7846" w:rsidRPr="00C80D3A">
        <w:rPr>
          <w:rStyle w:val="FootnoteReference"/>
          <w:sz w:val="26"/>
          <w:szCs w:val="26"/>
        </w:rPr>
        <w:footnoteReference w:id="12"/>
      </w:r>
      <w:r w:rsidR="009F7846" w:rsidRPr="00C80D3A">
        <w:rPr>
          <w:sz w:val="26"/>
          <w:szCs w:val="26"/>
        </w:rPr>
        <w:t xml:space="preserve">  The Commission</w:t>
      </w:r>
      <w:r w:rsidR="001529C6">
        <w:rPr>
          <w:sz w:val="26"/>
          <w:szCs w:val="26"/>
        </w:rPr>
        <w:t>’</w:t>
      </w:r>
      <w:r w:rsidR="009F7846" w:rsidRPr="00C80D3A">
        <w:rPr>
          <w:sz w:val="26"/>
          <w:szCs w:val="26"/>
        </w:rPr>
        <w:t xml:space="preserve">s CAP Policy Statement provides guidance for utilities in the operation of their CAPs. </w:t>
      </w:r>
    </w:p>
    <w:p w14:paraId="2A855D3A" w14:textId="70280794" w:rsidR="009F7846" w:rsidRPr="00C80D3A" w:rsidRDefault="009F7846" w:rsidP="009F7846">
      <w:pPr>
        <w:pStyle w:val="ListParagraph"/>
        <w:tabs>
          <w:tab w:val="left" w:pos="720"/>
        </w:tabs>
        <w:spacing w:line="360" w:lineRule="auto"/>
        <w:ind w:left="0"/>
        <w:rPr>
          <w:sz w:val="26"/>
          <w:szCs w:val="26"/>
        </w:rPr>
      </w:pPr>
      <w:r w:rsidRPr="00C80D3A">
        <w:rPr>
          <w:sz w:val="26"/>
          <w:szCs w:val="26"/>
        </w:rPr>
        <w:tab/>
        <w:t xml:space="preserve">In May 2017, the Commission initiated </w:t>
      </w:r>
      <w:r w:rsidR="001618F7" w:rsidRPr="00C80D3A">
        <w:rPr>
          <w:sz w:val="26"/>
          <w:szCs w:val="26"/>
        </w:rPr>
        <w:t>t</w:t>
      </w:r>
      <w:r w:rsidR="00C208EB">
        <w:rPr>
          <w:sz w:val="26"/>
          <w:szCs w:val="26"/>
        </w:rPr>
        <w:t>wo</w:t>
      </w:r>
      <w:r w:rsidR="001618F7" w:rsidRPr="00C80D3A">
        <w:rPr>
          <w:sz w:val="26"/>
          <w:szCs w:val="26"/>
        </w:rPr>
        <w:t xml:space="preserve"> </w:t>
      </w:r>
      <w:r w:rsidRPr="00C80D3A">
        <w:rPr>
          <w:sz w:val="26"/>
          <w:szCs w:val="26"/>
        </w:rPr>
        <w:t>separate proceedings</w:t>
      </w:r>
      <w:r w:rsidR="0079235D" w:rsidRPr="00C80D3A">
        <w:rPr>
          <w:sz w:val="26"/>
          <w:szCs w:val="26"/>
        </w:rPr>
        <w:t>, referred to herein</w:t>
      </w:r>
      <w:r w:rsidRPr="00C80D3A">
        <w:rPr>
          <w:sz w:val="26"/>
          <w:szCs w:val="26"/>
        </w:rPr>
        <w:t xml:space="preserve"> </w:t>
      </w:r>
      <w:r w:rsidR="0079235D" w:rsidRPr="00C80D3A">
        <w:rPr>
          <w:sz w:val="26"/>
          <w:szCs w:val="26"/>
        </w:rPr>
        <w:t xml:space="preserve">as the </w:t>
      </w:r>
      <w:r w:rsidR="00E105E2" w:rsidRPr="00C80D3A">
        <w:rPr>
          <w:i/>
          <w:sz w:val="26"/>
          <w:szCs w:val="26"/>
        </w:rPr>
        <w:t>Review</w:t>
      </w:r>
      <w:r w:rsidR="00E105E2" w:rsidRPr="00C80D3A">
        <w:rPr>
          <w:sz w:val="26"/>
          <w:szCs w:val="26"/>
        </w:rPr>
        <w:t xml:space="preserve"> and the </w:t>
      </w:r>
      <w:r w:rsidR="00E105E2" w:rsidRPr="00C80D3A">
        <w:rPr>
          <w:i/>
          <w:sz w:val="26"/>
          <w:szCs w:val="26"/>
        </w:rPr>
        <w:t xml:space="preserve">Energy Affordability </w:t>
      </w:r>
      <w:r w:rsidR="00E105E2" w:rsidRPr="00C80D3A">
        <w:rPr>
          <w:sz w:val="26"/>
          <w:szCs w:val="26"/>
        </w:rPr>
        <w:t xml:space="preserve">proceedings, </w:t>
      </w:r>
      <w:r w:rsidRPr="00C80D3A">
        <w:rPr>
          <w:sz w:val="26"/>
          <w:szCs w:val="26"/>
        </w:rPr>
        <w:t>to conduct a comprehensive review of the policies, practices, and procedures of Pennsylvania</w:t>
      </w:r>
      <w:r w:rsidR="001529C6">
        <w:rPr>
          <w:sz w:val="26"/>
          <w:szCs w:val="26"/>
        </w:rPr>
        <w:t>’</w:t>
      </w:r>
      <w:r w:rsidRPr="00C80D3A">
        <w:rPr>
          <w:sz w:val="26"/>
          <w:szCs w:val="26"/>
        </w:rPr>
        <w:t>s universal service programs</w:t>
      </w:r>
      <w:r w:rsidR="006F60EE" w:rsidRPr="00C80D3A">
        <w:rPr>
          <w:sz w:val="26"/>
          <w:szCs w:val="26"/>
        </w:rPr>
        <w:t xml:space="preserve">, including CAPs.  </w:t>
      </w:r>
      <w:r w:rsidR="001618F7" w:rsidRPr="00C80D3A">
        <w:rPr>
          <w:sz w:val="26"/>
          <w:szCs w:val="26"/>
        </w:rPr>
        <w:t xml:space="preserve">The </w:t>
      </w:r>
      <w:r w:rsidR="004B0008" w:rsidRPr="00C80D3A">
        <w:rPr>
          <w:sz w:val="26"/>
          <w:szCs w:val="26"/>
        </w:rPr>
        <w:t xml:space="preserve">intent was to review </w:t>
      </w:r>
      <w:r w:rsidRPr="00C80D3A">
        <w:rPr>
          <w:sz w:val="26"/>
          <w:szCs w:val="26"/>
        </w:rPr>
        <w:t>the impact on energy affordability for low-income customers.</w:t>
      </w:r>
      <w:r w:rsidRPr="00C80D3A">
        <w:rPr>
          <w:rStyle w:val="FootnoteReference"/>
          <w:sz w:val="26"/>
          <w:szCs w:val="26"/>
        </w:rPr>
        <w:footnoteReference w:id="13"/>
      </w:r>
      <w:r w:rsidRPr="00C80D3A">
        <w:rPr>
          <w:sz w:val="26"/>
          <w:szCs w:val="26"/>
        </w:rPr>
        <w:t xml:space="preserve">  Based upon this review</w:t>
      </w:r>
      <w:r w:rsidR="00230B84" w:rsidRPr="00C80D3A">
        <w:rPr>
          <w:sz w:val="26"/>
          <w:szCs w:val="26"/>
        </w:rPr>
        <w:t xml:space="preserve"> and the comments </w:t>
      </w:r>
      <w:r w:rsidR="00846AEF">
        <w:rPr>
          <w:sz w:val="26"/>
          <w:szCs w:val="26"/>
        </w:rPr>
        <w:t>in</w:t>
      </w:r>
      <w:r w:rsidR="00194BC9">
        <w:rPr>
          <w:sz w:val="26"/>
          <w:szCs w:val="26"/>
        </w:rPr>
        <w:t xml:space="preserve"> the</w:t>
      </w:r>
      <w:r w:rsidR="00846AEF">
        <w:rPr>
          <w:sz w:val="26"/>
          <w:szCs w:val="26"/>
        </w:rPr>
        <w:t xml:space="preserve"> </w:t>
      </w:r>
      <w:r w:rsidR="00846AEF" w:rsidRPr="00C80D3A">
        <w:rPr>
          <w:i/>
          <w:sz w:val="26"/>
          <w:szCs w:val="26"/>
        </w:rPr>
        <w:t>Review</w:t>
      </w:r>
      <w:r w:rsidR="00846AEF" w:rsidRPr="00C80D3A">
        <w:rPr>
          <w:sz w:val="26"/>
          <w:szCs w:val="26"/>
        </w:rPr>
        <w:t xml:space="preserve"> and the </w:t>
      </w:r>
      <w:r w:rsidR="00846AEF" w:rsidRPr="00C80D3A">
        <w:rPr>
          <w:i/>
          <w:sz w:val="26"/>
          <w:szCs w:val="26"/>
        </w:rPr>
        <w:t xml:space="preserve">Energy Affordability </w:t>
      </w:r>
      <w:r w:rsidR="00846AEF" w:rsidRPr="00C80D3A">
        <w:rPr>
          <w:sz w:val="26"/>
          <w:szCs w:val="26"/>
        </w:rPr>
        <w:t xml:space="preserve">proceedings </w:t>
      </w:r>
      <w:r w:rsidR="00230B84" w:rsidRPr="00C80D3A">
        <w:rPr>
          <w:sz w:val="26"/>
          <w:szCs w:val="26"/>
        </w:rPr>
        <w:t>and other dockets</w:t>
      </w:r>
      <w:r w:rsidRPr="00C80D3A">
        <w:rPr>
          <w:sz w:val="26"/>
          <w:szCs w:val="26"/>
        </w:rPr>
        <w:t xml:space="preserve">, </w:t>
      </w:r>
      <w:r w:rsidR="009B6C56" w:rsidRPr="00C80D3A">
        <w:rPr>
          <w:sz w:val="26"/>
          <w:szCs w:val="26"/>
        </w:rPr>
        <w:t xml:space="preserve">the </w:t>
      </w:r>
      <w:r w:rsidR="004500E1" w:rsidRPr="00C80D3A">
        <w:rPr>
          <w:sz w:val="26"/>
          <w:szCs w:val="26"/>
        </w:rPr>
        <w:t xml:space="preserve">Commission </w:t>
      </w:r>
      <w:r w:rsidRPr="00C80D3A">
        <w:rPr>
          <w:sz w:val="26"/>
          <w:szCs w:val="26"/>
        </w:rPr>
        <w:t xml:space="preserve">identified several opportunities to improve consistency in </w:t>
      </w:r>
      <w:r w:rsidR="00230B84" w:rsidRPr="00C80D3A">
        <w:rPr>
          <w:sz w:val="26"/>
          <w:szCs w:val="26"/>
        </w:rPr>
        <w:t>CAPs</w:t>
      </w:r>
      <w:r w:rsidRPr="00C80D3A">
        <w:rPr>
          <w:sz w:val="26"/>
          <w:szCs w:val="26"/>
        </w:rPr>
        <w:t xml:space="preserve"> and </w:t>
      </w:r>
      <w:r w:rsidR="005653B8" w:rsidRPr="00C80D3A">
        <w:rPr>
          <w:sz w:val="26"/>
          <w:szCs w:val="26"/>
        </w:rPr>
        <w:t xml:space="preserve">to </w:t>
      </w:r>
      <w:r w:rsidRPr="00C80D3A">
        <w:rPr>
          <w:sz w:val="26"/>
          <w:szCs w:val="26"/>
        </w:rPr>
        <w:t>enhance the benefits of these programs</w:t>
      </w:r>
      <w:r w:rsidR="00320A3D" w:rsidRPr="00C80D3A">
        <w:rPr>
          <w:sz w:val="26"/>
          <w:szCs w:val="26"/>
        </w:rPr>
        <w:t>.</w:t>
      </w:r>
    </w:p>
    <w:p w14:paraId="636C7321" w14:textId="68A58ED0" w:rsidR="001A6011" w:rsidRPr="00C80D3A" w:rsidRDefault="001A6011" w:rsidP="002E4662">
      <w:pPr>
        <w:pStyle w:val="ListParagraph"/>
        <w:tabs>
          <w:tab w:val="left" w:pos="720"/>
        </w:tabs>
        <w:spacing w:line="360" w:lineRule="auto"/>
        <w:ind w:left="0"/>
        <w:rPr>
          <w:sz w:val="26"/>
          <w:szCs w:val="26"/>
        </w:rPr>
      </w:pPr>
    </w:p>
    <w:p w14:paraId="601760BA" w14:textId="1592C28A" w:rsidR="009F7846" w:rsidRPr="00C80D3A" w:rsidRDefault="009F7846" w:rsidP="009F7846">
      <w:pPr>
        <w:pStyle w:val="ListParagraph"/>
        <w:tabs>
          <w:tab w:val="left" w:pos="720"/>
        </w:tabs>
        <w:spacing w:line="360" w:lineRule="auto"/>
        <w:ind w:left="0"/>
        <w:rPr>
          <w:sz w:val="26"/>
          <w:szCs w:val="26"/>
        </w:rPr>
      </w:pPr>
      <w:r w:rsidRPr="00C80D3A">
        <w:rPr>
          <w:bCs/>
          <w:sz w:val="26"/>
          <w:szCs w:val="26"/>
        </w:rPr>
        <w:tab/>
      </w:r>
      <w:r w:rsidRPr="00C80D3A">
        <w:rPr>
          <w:sz w:val="26"/>
          <w:szCs w:val="26"/>
        </w:rPr>
        <w:t xml:space="preserve">Based upon the justifications described herein, the Commission </w:t>
      </w:r>
      <w:r w:rsidR="0041451A" w:rsidRPr="00C80D3A">
        <w:rPr>
          <w:sz w:val="26"/>
          <w:szCs w:val="26"/>
        </w:rPr>
        <w:t xml:space="preserve">hereby </w:t>
      </w:r>
      <w:r w:rsidRPr="00C80D3A">
        <w:rPr>
          <w:sz w:val="26"/>
          <w:szCs w:val="26"/>
        </w:rPr>
        <w:t>adopt</w:t>
      </w:r>
      <w:r w:rsidR="0041451A" w:rsidRPr="00C80D3A">
        <w:rPr>
          <w:sz w:val="26"/>
          <w:szCs w:val="26"/>
        </w:rPr>
        <w:t>s</w:t>
      </w:r>
      <w:r w:rsidRPr="00C80D3A">
        <w:rPr>
          <w:sz w:val="26"/>
          <w:szCs w:val="26"/>
        </w:rPr>
        <w:t xml:space="preserve"> the following changes</w:t>
      </w:r>
      <w:r w:rsidR="001D3A7D">
        <w:rPr>
          <w:sz w:val="26"/>
          <w:szCs w:val="26"/>
        </w:rPr>
        <w:t xml:space="preserve"> to the CAP Policy Statement</w:t>
      </w:r>
      <w:r w:rsidR="00D9326C">
        <w:rPr>
          <w:sz w:val="26"/>
          <w:szCs w:val="26"/>
        </w:rPr>
        <w:t>,</w:t>
      </w:r>
      <w:r w:rsidR="00C67572" w:rsidRPr="00C80D3A">
        <w:rPr>
          <w:rStyle w:val="FootnoteReference"/>
          <w:sz w:val="26"/>
          <w:szCs w:val="26"/>
        </w:rPr>
        <w:footnoteReference w:id="14"/>
      </w:r>
      <w:r w:rsidR="005F7EB4" w:rsidRPr="00C80D3A">
        <w:rPr>
          <w:sz w:val="26"/>
          <w:szCs w:val="26"/>
        </w:rPr>
        <w:t xml:space="preserve"> subject to the requisite implementation processes</w:t>
      </w:r>
      <w:r w:rsidR="00922937" w:rsidRPr="00C80D3A">
        <w:rPr>
          <w:sz w:val="26"/>
          <w:szCs w:val="26"/>
        </w:rPr>
        <w:t xml:space="preserve"> </w:t>
      </w:r>
      <w:r w:rsidR="006D66D1" w:rsidRPr="00C80D3A">
        <w:rPr>
          <w:sz w:val="26"/>
          <w:szCs w:val="26"/>
        </w:rPr>
        <w:t>through</w:t>
      </w:r>
      <w:r w:rsidR="00922937" w:rsidRPr="00C80D3A">
        <w:rPr>
          <w:sz w:val="26"/>
          <w:szCs w:val="26"/>
        </w:rPr>
        <w:t xml:space="preserve"> </w:t>
      </w:r>
      <w:r w:rsidR="006332BE" w:rsidRPr="00C80D3A">
        <w:rPr>
          <w:sz w:val="26"/>
          <w:szCs w:val="26"/>
        </w:rPr>
        <w:t>th</w:t>
      </w:r>
      <w:r w:rsidR="00EF76E1" w:rsidRPr="00C80D3A">
        <w:rPr>
          <w:sz w:val="26"/>
          <w:szCs w:val="26"/>
        </w:rPr>
        <w:t>e</w:t>
      </w:r>
      <w:r w:rsidR="006332BE" w:rsidRPr="00C80D3A">
        <w:rPr>
          <w:sz w:val="26"/>
          <w:szCs w:val="26"/>
        </w:rPr>
        <w:t xml:space="preserve"> </w:t>
      </w:r>
      <w:r w:rsidR="00F3384C" w:rsidRPr="00C80D3A">
        <w:rPr>
          <w:sz w:val="26"/>
          <w:szCs w:val="26"/>
        </w:rPr>
        <w:t xml:space="preserve">amended </w:t>
      </w:r>
      <w:r w:rsidR="00922937" w:rsidRPr="00C80D3A">
        <w:rPr>
          <w:sz w:val="26"/>
          <w:szCs w:val="26"/>
        </w:rPr>
        <w:t xml:space="preserve">CAP Policy Statement </w:t>
      </w:r>
      <w:r w:rsidR="00EF76E1" w:rsidRPr="00C80D3A">
        <w:rPr>
          <w:sz w:val="26"/>
          <w:szCs w:val="26"/>
        </w:rPr>
        <w:t xml:space="preserve">adopted by this Order </w:t>
      </w:r>
      <w:r w:rsidR="00922937" w:rsidRPr="00C80D3A">
        <w:rPr>
          <w:sz w:val="26"/>
          <w:szCs w:val="26"/>
        </w:rPr>
        <w:t>and</w:t>
      </w:r>
      <w:r w:rsidR="006D66D1" w:rsidRPr="00C80D3A">
        <w:rPr>
          <w:sz w:val="26"/>
          <w:szCs w:val="26"/>
        </w:rPr>
        <w:t>/or utility-specific proceedings.</w:t>
      </w:r>
      <w:r w:rsidR="0042322A">
        <w:rPr>
          <w:sz w:val="26"/>
          <w:szCs w:val="26"/>
        </w:rPr>
        <w:t xml:space="preserve">  </w:t>
      </w:r>
      <w:r w:rsidR="00597660">
        <w:rPr>
          <w:sz w:val="26"/>
          <w:szCs w:val="26"/>
        </w:rPr>
        <w:t>T</w:t>
      </w:r>
      <w:r w:rsidR="0042322A" w:rsidRPr="002826DF">
        <w:rPr>
          <w:bCs/>
          <w:sz w:val="26"/>
          <w:szCs w:val="26"/>
        </w:rPr>
        <w:t xml:space="preserve">hese </w:t>
      </w:r>
      <w:r w:rsidR="002E7BEC">
        <w:rPr>
          <w:bCs/>
          <w:sz w:val="26"/>
          <w:szCs w:val="26"/>
        </w:rPr>
        <w:t xml:space="preserve">policy enhancements and </w:t>
      </w:r>
      <w:r w:rsidR="0042322A" w:rsidRPr="002826DF">
        <w:rPr>
          <w:bCs/>
          <w:sz w:val="26"/>
          <w:szCs w:val="26"/>
        </w:rPr>
        <w:t xml:space="preserve">changes are consistent with the Public Utility Code and are reflective of numerous comments submitted by </w:t>
      </w:r>
      <w:r w:rsidR="00D35A26">
        <w:rPr>
          <w:bCs/>
          <w:sz w:val="26"/>
          <w:szCs w:val="26"/>
        </w:rPr>
        <w:t xml:space="preserve">various </w:t>
      </w:r>
      <w:r w:rsidR="0042322A" w:rsidRPr="002826DF">
        <w:rPr>
          <w:bCs/>
          <w:sz w:val="26"/>
          <w:szCs w:val="26"/>
        </w:rPr>
        <w:t xml:space="preserve">stakeholders in </w:t>
      </w:r>
      <w:r w:rsidR="00D35A26">
        <w:rPr>
          <w:bCs/>
          <w:sz w:val="26"/>
          <w:szCs w:val="26"/>
        </w:rPr>
        <w:t xml:space="preserve">relevant </w:t>
      </w:r>
      <w:r w:rsidR="0042322A" w:rsidRPr="002826DF">
        <w:rPr>
          <w:bCs/>
          <w:sz w:val="26"/>
          <w:szCs w:val="26"/>
        </w:rPr>
        <w:t>proceeding</w:t>
      </w:r>
      <w:r w:rsidR="00D35A26">
        <w:rPr>
          <w:bCs/>
          <w:sz w:val="26"/>
          <w:szCs w:val="26"/>
        </w:rPr>
        <w:t>s</w:t>
      </w:r>
      <w:r w:rsidR="0042322A" w:rsidRPr="002826DF">
        <w:rPr>
          <w:bCs/>
          <w:sz w:val="26"/>
          <w:szCs w:val="26"/>
        </w:rPr>
        <w:t>.</w:t>
      </w:r>
      <w:r w:rsidR="00D35A26">
        <w:rPr>
          <w:bCs/>
          <w:sz w:val="26"/>
          <w:szCs w:val="26"/>
        </w:rPr>
        <w:t xml:space="preserve">  </w:t>
      </w:r>
    </w:p>
    <w:p w14:paraId="56586A99" w14:textId="4FE5610D" w:rsidR="002A3623" w:rsidRPr="00C80D3A" w:rsidRDefault="002A3623" w:rsidP="009F7846">
      <w:pPr>
        <w:pStyle w:val="ListParagraph"/>
        <w:tabs>
          <w:tab w:val="left" w:pos="270"/>
        </w:tabs>
        <w:spacing w:line="360" w:lineRule="auto"/>
        <w:ind w:left="0"/>
        <w:rPr>
          <w:bCs/>
          <w:sz w:val="26"/>
          <w:szCs w:val="26"/>
        </w:rPr>
      </w:pPr>
    </w:p>
    <w:p w14:paraId="5D6C2B34" w14:textId="15E40F5E" w:rsidR="009F7846" w:rsidRPr="00C80D3A" w:rsidRDefault="002B60AF" w:rsidP="00450A69">
      <w:pPr>
        <w:pStyle w:val="ListParagraph"/>
        <w:numPr>
          <w:ilvl w:val="0"/>
          <w:numId w:val="12"/>
        </w:numPr>
        <w:tabs>
          <w:tab w:val="left" w:pos="270"/>
        </w:tabs>
        <w:spacing w:line="360" w:lineRule="auto"/>
        <w:ind w:left="1440" w:hanging="720"/>
        <w:rPr>
          <w:bCs/>
          <w:sz w:val="26"/>
          <w:szCs w:val="26"/>
        </w:rPr>
      </w:pPr>
      <w:r w:rsidRPr="00C80D3A">
        <w:rPr>
          <w:bCs/>
          <w:sz w:val="26"/>
          <w:szCs w:val="26"/>
        </w:rPr>
        <w:t>a</w:t>
      </w:r>
      <w:r w:rsidR="002B562B" w:rsidRPr="00C80D3A">
        <w:rPr>
          <w:bCs/>
          <w:sz w:val="26"/>
          <w:szCs w:val="26"/>
        </w:rPr>
        <w:t xml:space="preserve">.  </w:t>
      </w:r>
      <w:r w:rsidR="005F5A13">
        <w:rPr>
          <w:bCs/>
          <w:sz w:val="26"/>
          <w:szCs w:val="26"/>
        </w:rPr>
        <w:t>Establish n</w:t>
      </w:r>
      <w:r w:rsidR="00150B37" w:rsidRPr="00C80D3A">
        <w:rPr>
          <w:bCs/>
          <w:sz w:val="26"/>
          <w:szCs w:val="26"/>
        </w:rPr>
        <w:t>ew</w:t>
      </w:r>
      <w:r w:rsidR="009F7846" w:rsidRPr="00C80D3A">
        <w:rPr>
          <w:bCs/>
          <w:sz w:val="26"/>
          <w:szCs w:val="26"/>
        </w:rPr>
        <w:t xml:space="preserve"> maximum </w:t>
      </w:r>
      <w:r w:rsidR="008F710C" w:rsidRPr="00C80D3A">
        <w:rPr>
          <w:bCs/>
          <w:sz w:val="26"/>
          <w:szCs w:val="26"/>
        </w:rPr>
        <w:t xml:space="preserve">tiered </w:t>
      </w:r>
      <w:r w:rsidR="009F7846" w:rsidRPr="00C80D3A">
        <w:rPr>
          <w:bCs/>
          <w:sz w:val="26"/>
          <w:szCs w:val="26"/>
        </w:rPr>
        <w:t>CAP energy burden</w:t>
      </w:r>
      <w:r w:rsidR="00D727B5">
        <w:rPr>
          <w:bCs/>
          <w:sz w:val="26"/>
          <w:szCs w:val="26"/>
        </w:rPr>
        <w:t>s</w:t>
      </w:r>
      <w:r w:rsidR="009F7846" w:rsidRPr="00C80D3A">
        <w:rPr>
          <w:bCs/>
          <w:sz w:val="26"/>
          <w:szCs w:val="26"/>
        </w:rPr>
        <w:t xml:space="preserve"> </w:t>
      </w:r>
      <w:r w:rsidR="005F5A13">
        <w:rPr>
          <w:bCs/>
          <w:sz w:val="26"/>
          <w:szCs w:val="26"/>
        </w:rPr>
        <w:t>of</w:t>
      </w:r>
      <w:r w:rsidR="00D727B5">
        <w:rPr>
          <w:bCs/>
          <w:sz w:val="26"/>
          <w:szCs w:val="26"/>
        </w:rPr>
        <w:t xml:space="preserve"> </w:t>
      </w:r>
      <w:r w:rsidR="009F7846" w:rsidRPr="00C80D3A">
        <w:rPr>
          <w:bCs/>
          <w:sz w:val="26"/>
          <w:szCs w:val="26"/>
        </w:rPr>
        <w:t>6% for natural gas heating, 4% for electric non-heating, and 10% for electric heating</w:t>
      </w:r>
      <w:r w:rsidR="007F59D2">
        <w:rPr>
          <w:bCs/>
          <w:sz w:val="26"/>
          <w:szCs w:val="26"/>
        </w:rPr>
        <w:t xml:space="preserve"> </w:t>
      </w:r>
      <w:r w:rsidR="007F59D2" w:rsidRPr="002826DF">
        <w:rPr>
          <w:sz w:val="26"/>
          <w:szCs w:val="26"/>
        </w:rPr>
        <w:t>for FPIG tiers 51%-100% and 101%-150%.  For FPIG tier 0%</w:t>
      </w:r>
      <w:r w:rsidR="00C12484">
        <w:rPr>
          <w:sz w:val="26"/>
          <w:szCs w:val="26"/>
        </w:rPr>
        <w:noBreakHyphen/>
      </w:r>
      <w:r w:rsidR="007F59D2" w:rsidRPr="002826DF">
        <w:rPr>
          <w:sz w:val="26"/>
          <w:szCs w:val="26"/>
        </w:rPr>
        <w:t>50%, the maximum energy burden</w:t>
      </w:r>
      <w:r w:rsidR="009C0857">
        <w:rPr>
          <w:sz w:val="26"/>
          <w:szCs w:val="26"/>
        </w:rPr>
        <w:t>s</w:t>
      </w:r>
      <w:r w:rsidR="007F59D2" w:rsidRPr="002826DF">
        <w:rPr>
          <w:sz w:val="26"/>
          <w:szCs w:val="26"/>
        </w:rPr>
        <w:t xml:space="preserve"> </w:t>
      </w:r>
      <w:r w:rsidR="00C12484">
        <w:rPr>
          <w:sz w:val="26"/>
          <w:szCs w:val="26"/>
        </w:rPr>
        <w:t xml:space="preserve">should be </w:t>
      </w:r>
      <w:r w:rsidR="007F59D2" w:rsidRPr="002826DF">
        <w:rPr>
          <w:sz w:val="26"/>
          <w:szCs w:val="26"/>
        </w:rPr>
        <w:t>4% for natural gas heating, 2% for electric non-heating, and 6% for electric heating</w:t>
      </w:r>
      <w:r w:rsidR="009F7846" w:rsidRPr="00C80D3A">
        <w:rPr>
          <w:bCs/>
          <w:sz w:val="26"/>
          <w:szCs w:val="26"/>
        </w:rPr>
        <w:t>.</w:t>
      </w:r>
    </w:p>
    <w:p w14:paraId="0BDF3B95" w14:textId="06D6B672" w:rsidR="002B562B" w:rsidRPr="00C80D3A" w:rsidRDefault="005F0121" w:rsidP="002B60AF">
      <w:pPr>
        <w:tabs>
          <w:tab w:val="left" w:pos="270"/>
        </w:tabs>
        <w:spacing w:after="0" w:line="360" w:lineRule="auto"/>
        <w:ind w:left="1440" w:hanging="720"/>
        <w:contextualSpacing/>
        <w:rPr>
          <w:rFonts w:ascii="Times New Roman" w:hAnsi="Times New Roman" w:cs="Times New Roman"/>
          <w:bCs/>
          <w:sz w:val="26"/>
          <w:szCs w:val="26"/>
        </w:rPr>
      </w:pPr>
      <w:r w:rsidRPr="00C80D3A">
        <w:rPr>
          <w:rFonts w:ascii="Times New Roman" w:hAnsi="Times New Roman" w:cs="Times New Roman"/>
          <w:bCs/>
          <w:sz w:val="26"/>
          <w:szCs w:val="26"/>
        </w:rPr>
        <w:tab/>
      </w:r>
      <w:r w:rsidR="002B60AF" w:rsidRPr="00C80D3A">
        <w:rPr>
          <w:rFonts w:ascii="Times New Roman" w:hAnsi="Times New Roman" w:cs="Times New Roman"/>
          <w:bCs/>
          <w:sz w:val="26"/>
          <w:szCs w:val="26"/>
        </w:rPr>
        <w:t>b</w:t>
      </w:r>
      <w:r w:rsidR="002B562B" w:rsidRPr="00C80D3A">
        <w:rPr>
          <w:rFonts w:ascii="Times New Roman" w:hAnsi="Times New Roman" w:cs="Times New Roman"/>
          <w:bCs/>
          <w:sz w:val="26"/>
          <w:szCs w:val="26"/>
        </w:rPr>
        <w:t xml:space="preserve">.  </w:t>
      </w:r>
      <w:r w:rsidR="002B562B" w:rsidRPr="00C80D3A">
        <w:rPr>
          <w:rFonts w:ascii="Times New Roman" w:hAnsi="Times New Roman" w:cs="Times New Roman"/>
          <w:sz w:val="26"/>
          <w:szCs w:val="26"/>
        </w:rPr>
        <w:t>M</w:t>
      </w:r>
      <w:r w:rsidR="002B562B" w:rsidRPr="00C80D3A">
        <w:rPr>
          <w:rFonts w:ascii="Times New Roman" w:hAnsi="Times New Roman" w:cs="Times New Roman"/>
          <w:bCs/>
          <w:sz w:val="26"/>
          <w:szCs w:val="26"/>
        </w:rPr>
        <w:t>inimum CAP payment requirements should be set in USECP proceedings rather than in the CAP Policy Statement.  Utilities may propose alternatives to a flat minimum payment for each account type, such as basing them on the household</w:t>
      </w:r>
      <w:r w:rsidR="001529C6">
        <w:rPr>
          <w:rFonts w:ascii="Times New Roman" w:hAnsi="Times New Roman" w:cs="Times New Roman"/>
          <w:bCs/>
          <w:sz w:val="26"/>
          <w:szCs w:val="26"/>
        </w:rPr>
        <w:t>’</w:t>
      </w:r>
      <w:r w:rsidR="002B562B" w:rsidRPr="00C80D3A">
        <w:rPr>
          <w:rFonts w:ascii="Times New Roman" w:hAnsi="Times New Roman" w:cs="Times New Roman"/>
          <w:bCs/>
          <w:sz w:val="26"/>
          <w:szCs w:val="26"/>
        </w:rPr>
        <w:t xml:space="preserve">s FPIG level.  </w:t>
      </w:r>
    </w:p>
    <w:p w14:paraId="5FA4481B" w14:textId="77777777" w:rsidR="00A642D5" w:rsidRPr="00C80D3A" w:rsidRDefault="00A642D5" w:rsidP="002B60AF">
      <w:pPr>
        <w:tabs>
          <w:tab w:val="left" w:pos="270"/>
        </w:tabs>
        <w:spacing w:after="0" w:line="360" w:lineRule="auto"/>
        <w:ind w:left="1440" w:hanging="720"/>
        <w:contextualSpacing/>
        <w:rPr>
          <w:rFonts w:ascii="Times New Roman" w:hAnsi="Times New Roman" w:cs="Times New Roman"/>
          <w:bCs/>
          <w:sz w:val="26"/>
          <w:szCs w:val="26"/>
        </w:rPr>
      </w:pPr>
    </w:p>
    <w:p w14:paraId="5141F9D7" w14:textId="21339E50" w:rsidR="009F7846" w:rsidRPr="00C80D3A" w:rsidRDefault="00CE1FC1" w:rsidP="002B60AF">
      <w:pPr>
        <w:pStyle w:val="ListParagraph"/>
        <w:numPr>
          <w:ilvl w:val="0"/>
          <w:numId w:val="12"/>
        </w:numPr>
        <w:tabs>
          <w:tab w:val="left" w:pos="270"/>
        </w:tabs>
        <w:spacing w:line="360" w:lineRule="auto"/>
        <w:ind w:left="1440" w:hanging="720"/>
        <w:rPr>
          <w:bCs/>
          <w:sz w:val="26"/>
          <w:szCs w:val="26"/>
        </w:rPr>
      </w:pPr>
      <w:r w:rsidRPr="00C80D3A">
        <w:rPr>
          <w:bCs/>
          <w:sz w:val="26"/>
          <w:szCs w:val="26"/>
        </w:rPr>
        <w:t xml:space="preserve">Utilities should allow </w:t>
      </w:r>
      <w:r w:rsidR="009F7846" w:rsidRPr="00C80D3A">
        <w:rPr>
          <w:bCs/>
          <w:sz w:val="26"/>
          <w:szCs w:val="26"/>
        </w:rPr>
        <w:t xml:space="preserve">CAP households </w:t>
      </w:r>
      <w:r w:rsidRPr="00C80D3A">
        <w:rPr>
          <w:bCs/>
          <w:sz w:val="26"/>
          <w:szCs w:val="26"/>
        </w:rPr>
        <w:t xml:space="preserve">to </w:t>
      </w:r>
      <w:r w:rsidR="009F7846" w:rsidRPr="00C80D3A">
        <w:rPr>
          <w:bCs/>
          <w:sz w:val="26"/>
          <w:szCs w:val="26"/>
        </w:rPr>
        <w:t xml:space="preserve">retain </w:t>
      </w:r>
      <w:r w:rsidR="00446B54" w:rsidRPr="00C80D3A">
        <w:rPr>
          <w:bCs/>
          <w:sz w:val="26"/>
          <w:szCs w:val="26"/>
        </w:rPr>
        <w:t>CAP</w:t>
      </w:r>
      <w:r w:rsidR="009F7846" w:rsidRPr="00C80D3A">
        <w:rPr>
          <w:bCs/>
          <w:sz w:val="26"/>
          <w:szCs w:val="26"/>
        </w:rPr>
        <w:t xml:space="preserve"> enrollment when they transfer service within the utility</w:t>
      </w:r>
      <w:r w:rsidR="001529C6">
        <w:rPr>
          <w:bCs/>
          <w:sz w:val="26"/>
          <w:szCs w:val="26"/>
        </w:rPr>
        <w:t>’</w:t>
      </w:r>
      <w:r w:rsidR="009F7846" w:rsidRPr="00C80D3A">
        <w:rPr>
          <w:bCs/>
          <w:sz w:val="26"/>
          <w:szCs w:val="26"/>
        </w:rPr>
        <w:t>s (or an affiliate</w:t>
      </w:r>
      <w:r w:rsidR="001529C6">
        <w:rPr>
          <w:bCs/>
          <w:sz w:val="26"/>
          <w:szCs w:val="26"/>
        </w:rPr>
        <w:t>’</w:t>
      </w:r>
      <w:r w:rsidR="009F7846" w:rsidRPr="00C80D3A">
        <w:rPr>
          <w:bCs/>
          <w:sz w:val="26"/>
          <w:szCs w:val="26"/>
        </w:rPr>
        <w:t>s) service territory.</w:t>
      </w:r>
    </w:p>
    <w:p w14:paraId="212BD604" w14:textId="77777777" w:rsidR="009A2362" w:rsidRPr="00C80D3A" w:rsidRDefault="009A2362" w:rsidP="009A2362">
      <w:pPr>
        <w:pStyle w:val="ListParagraph"/>
        <w:tabs>
          <w:tab w:val="left" w:pos="270"/>
        </w:tabs>
        <w:spacing w:line="360" w:lineRule="auto"/>
        <w:ind w:left="1440"/>
        <w:rPr>
          <w:bCs/>
          <w:sz w:val="26"/>
          <w:szCs w:val="26"/>
        </w:rPr>
      </w:pPr>
    </w:p>
    <w:p w14:paraId="74A378FA" w14:textId="5E084E0E" w:rsidR="009F7846" w:rsidRPr="00C80D3A" w:rsidRDefault="00A906DF" w:rsidP="002B60AF">
      <w:pPr>
        <w:pStyle w:val="ListParagraph"/>
        <w:numPr>
          <w:ilvl w:val="0"/>
          <w:numId w:val="12"/>
        </w:numPr>
        <w:tabs>
          <w:tab w:val="left" w:pos="270"/>
        </w:tabs>
        <w:spacing w:line="360" w:lineRule="auto"/>
        <w:ind w:left="1440" w:hanging="720"/>
        <w:rPr>
          <w:sz w:val="26"/>
          <w:szCs w:val="26"/>
        </w:rPr>
      </w:pPr>
      <w:r w:rsidRPr="00C80D3A">
        <w:rPr>
          <w:sz w:val="26"/>
          <w:szCs w:val="26"/>
        </w:rPr>
        <w:t xml:space="preserve">Utilities </w:t>
      </w:r>
      <w:r w:rsidR="00800EFC" w:rsidRPr="00C80D3A">
        <w:rPr>
          <w:sz w:val="26"/>
          <w:szCs w:val="26"/>
        </w:rPr>
        <w:t xml:space="preserve">should </w:t>
      </w:r>
      <w:r w:rsidR="009F7846" w:rsidRPr="00C80D3A">
        <w:rPr>
          <w:sz w:val="26"/>
          <w:szCs w:val="26"/>
        </w:rPr>
        <w:t>accept income documentation of at least the last 30</w:t>
      </w:r>
      <w:r w:rsidR="000133FB" w:rsidRPr="00C80D3A">
        <w:rPr>
          <w:sz w:val="26"/>
          <w:szCs w:val="26"/>
        </w:rPr>
        <w:t> </w:t>
      </w:r>
      <w:r w:rsidR="009F7846" w:rsidRPr="00C80D3A">
        <w:rPr>
          <w:sz w:val="26"/>
          <w:szCs w:val="26"/>
        </w:rPr>
        <w:t>days or 12</w:t>
      </w:r>
      <w:r w:rsidR="00510DCE" w:rsidRPr="00C80D3A">
        <w:rPr>
          <w:sz w:val="26"/>
          <w:szCs w:val="26"/>
        </w:rPr>
        <w:t> </w:t>
      </w:r>
      <w:r w:rsidR="009F7846" w:rsidRPr="00C80D3A">
        <w:rPr>
          <w:sz w:val="26"/>
          <w:szCs w:val="26"/>
        </w:rPr>
        <w:t>months, whichever is more beneficial to the household, when determining CAP eligibility at application or recertification.</w:t>
      </w:r>
      <w:r w:rsidR="00B24BF0" w:rsidRPr="00C80D3A">
        <w:rPr>
          <w:sz w:val="26"/>
          <w:szCs w:val="26"/>
        </w:rPr>
        <w:t xml:space="preserve">  CAP applications and recertification letters should identify acceptable income timeframes and explain how each may benefit the customer.</w:t>
      </w:r>
    </w:p>
    <w:p w14:paraId="3E6515EB" w14:textId="77777777" w:rsidR="009F7846" w:rsidRPr="00C80D3A" w:rsidRDefault="009F7846" w:rsidP="006C1334">
      <w:pPr>
        <w:pStyle w:val="ListParagraph"/>
        <w:tabs>
          <w:tab w:val="left" w:pos="270"/>
        </w:tabs>
        <w:spacing w:line="360" w:lineRule="auto"/>
        <w:ind w:left="0"/>
        <w:rPr>
          <w:bCs/>
          <w:sz w:val="26"/>
          <w:szCs w:val="26"/>
        </w:rPr>
      </w:pPr>
    </w:p>
    <w:p w14:paraId="47069F07" w14:textId="3E0F5DD1" w:rsidR="009F7846" w:rsidRPr="00C80D3A" w:rsidRDefault="000754F0" w:rsidP="002B60AF">
      <w:pPr>
        <w:pStyle w:val="ListParagraph"/>
        <w:numPr>
          <w:ilvl w:val="0"/>
          <w:numId w:val="12"/>
        </w:numPr>
        <w:tabs>
          <w:tab w:val="left" w:pos="270"/>
        </w:tabs>
        <w:spacing w:line="360" w:lineRule="auto"/>
        <w:ind w:left="1440" w:hanging="720"/>
        <w:rPr>
          <w:bCs/>
          <w:sz w:val="26"/>
          <w:szCs w:val="26"/>
        </w:rPr>
      </w:pPr>
      <w:r w:rsidRPr="00C80D3A">
        <w:rPr>
          <w:sz w:val="26"/>
          <w:szCs w:val="26"/>
        </w:rPr>
        <w:t>Eliminate the provision in the CAP Policy Statement that low-income customers must be “payment</w:t>
      </w:r>
      <w:r w:rsidRPr="00C80D3A">
        <w:rPr>
          <w:sz w:val="26"/>
          <w:szCs w:val="26"/>
        </w:rPr>
        <w:noBreakHyphen/>
        <w:t>troubled” to qualify for CAPs.  Utilities may, however, impose such a requirement to prioritize CAP enrollments and control CAP costs if determined appropriate by the Commission</w:t>
      </w:r>
      <w:r w:rsidR="009F7846" w:rsidRPr="00C80D3A">
        <w:rPr>
          <w:bCs/>
          <w:sz w:val="26"/>
          <w:szCs w:val="26"/>
        </w:rPr>
        <w:t>.</w:t>
      </w:r>
    </w:p>
    <w:p w14:paraId="640FB465" w14:textId="77777777" w:rsidR="009F7846" w:rsidRPr="00C80D3A" w:rsidRDefault="009F7846" w:rsidP="006C1334">
      <w:pPr>
        <w:pStyle w:val="ListParagraph"/>
        <w:tabs>
          <w:tab w:val="left" w:pos="270"/>
        </w:tabs>
        <w:spacing w:line="360" w:lineRule="auto"/>
        <w:ind w:left="0"/>
        <w:rPr>
          <w:bCs/>
          <w:sz w:val="26"/>
          <w:szCs w:val="26"/>
        </w:rPr>
      </w:pPr>
    </w:p>
    <w:p w14:paraId="49887343" w14:textId="467EEABB" w:rsidR="009F7846" w:rsidRPr="00C80D3A" w:rsidRDefault="009F7846" w:rsidP="002B60AF">
      <w:pPr>
        <w:pStyle w:val="ListParagraph"/>
        <w:numPr>
          <w:ilvl w:val="0"/>
          <w:numId w:val="12"/>
        </w:numPr>
        <w:tabs>
          <w:tab w:val="left" w:pos="270"/>
        </w:tabs>
        <w:spacing w:line="360" w:lineRule="auto"/>
        <w:ind w:left="1440" w:hanging="720"/>
        <w:rPr>
          <w:sz w:val="26"/>
          <w:szCs w:val="26"/>
        </w:rPr>
      </w:pPr>
      <w:r w:rsidRPr="00C80D3A">
        <w:rPr>
          <w:sz w:val="26"/>
          <w:szCs w:val="26"/>
        </w:rPr>
        <w:t xml:space="preserve">Eliminate the provision in the CAP Policy Statement that a customer </w:t>
      </w:r>
      <w:r w:rsidR="00085473" w:rsidRPr="00C80D3A">
        <w:rPr>
          <w:sz w:val="26"/>
          <w:szCs w:val="26"/>
        </w:rPr>
        <w:t xml:space="preserve">should </w:t>
      </w:r>
      <w:r w:rsidRPr="00C80D3A">
        <w:rPr>
          <w:sz w:val="26"/>
          <w:szCs w:val="26"/>
        </w:rPr>
        <w:t xml:space="preserve">designate the </w:t>
      </w:r>
      <w:r w:rsidR="00CB63D0" w:rsidRPr="00C80D3A">
        <w:rPr>
          <w:sz w:val="26"/>
          <w:szCs w:val="26"/>
        </w:rPr>
        <w:t>Low Income Home Energy Assistance Program (</w:t>
      </w:r>
      <w:r w:rsidRPr="00C80D3A">
        <w:rPr>
          <w:sz w:val="26"/>
          <w:szCs w:val="26"/>
        </w:rPr>
        <w:t>LIHEAP</w:t>
      </w:r>
      <w:r w:rsidR="00CB63D0" w:rsidRPr="00C80D3A">
        <w:rPr>
          <w:sz w:val="26"/>
          <w:szCs w:val="26"/>
        </w:rPr>
        <w:t>)</w:t>
      </w:r>
      <w:r w:rsidRPr="00C80D3A">
        <w:rPr>
          <w:sz w:val="26"/>
          <w:szCs w:val="26"/>
        </w:rPr>
        <w:t xml:space="preserve"> grant to the utility sponsoring the CAP (Section 69.265(9)(i)) or be penalized for not applying for LIHEAP (Section 69.265(9)(ii)</w:t>
      </w:r>
      <w:r w:rsidR="000F2D01" w:rsidRPr="00C80D3A">
        <w:rPr>
          <w:sz w:val="26"/>
          <w:szCs w:val="26"/>
        </w:rPr>
        <w:t xml:space="preserve"> and (iv)</w:t>
      </w:r>
      <w:r w:rsidRPr="00C80D3A">
        <w:rPr>
          <w:sz w:val="26"/>
          <w:szCs w:val="26"/>
        </w:rPr>
        <w:t xml:space="preserve">).  However, all CAP customers </w:t>
      </w:r>
      <w:r w:rsidR="005C1834" w:rsidRPr="00C80D3A">
        <w:rPr>
          <w:sz w:val="26"/>
          <w:szCs w:val="26"/>
        </w:rPr>
        <w:t xml:space="preserve">should </w:t>
      </w:r>
      <w:r w:rsidRPr="00C80D3A">
        <w:rPr>
          <w:sz w:val="26"/>
          <w:szCs w:val="26"/>
        </w:rPr>
        <w:t>participate in LIHEAP, if eligible.</w:t>
      </w:r>
      <w:r w:rsidR="00ED4E70" w:rsidRPr="00C80D3A">
        <w:rPr>
          <w:sz w:val="26"/>
          <w:szCs w:val="26"/>
        </w:rPr>
        <w:t xml:space="preserve">  </w:t>
      </w:r>
      <w:r w:rsidR="006D705F" w:rsidRPr="00C80D3A">
        <w:rPr>
          <w:sz w:val="26"/>
          <w:szCs w:val="26"/>
        </w:rPr>
        <w:t>Eliminate the provisions in the CAP Policy Statement that a LIHEAP grant should be applied to reduce the amount of CAP credits (Section 69.265(9)(iii)).</w:t>
      </w:r>
    </w:p>
    <w:p w14:paraId="12BAB2C0" w14:textId="77777777" w:rsidR="009F7846" w:rsidRPr="00C80D3A" w:rsidRDefault="009F7846" w:rsidP="006C1334">
      <w:pPr>
        <w:pStyle w:val="ListParagraph"/>
        <w:tabs>
          <w:tab w:val="left" w:pos="270"/>
        </w:tabs>
        <w:spacing w:line="360" w:lineRule="auto"/>
        <w:ind w:left="0"/>
        <w:rPr>
          <w:bCs/>
          <w:sz w:val="26"/>
          <w:szCs w:val="26"/>
        </w:rPr>
      </w:pPr>
    </w:p>
    <w:p w14:paraId="1F682853" w14:textId="7D6536E5" w:rsidR="009F7846" w:rsidRPr="00C80D3A" w:rsidRDefault="00752F7B" w:rsidP="002B60AF">
      <w:pPr>
        <w:pStyle w:val="ListParagraph"/>
        <w:numPr>
          <w:ilvl w:val="0"/>
          <w:numId w:val="12"/>
        </w:numPr>
        <w:tabs>
          <w:tab w:val="left" w:pos="270"/>
        </w:tabs>
        <w:spacing w:line="360" w:lineRule="auto"/>
        <w:ind w:left="1440" w:hanging="720"/>
        <w:rPr>
          <w:bCs/>
          <w:sz w:val="26"/>
          <w:szCs w:val="26"/>
        </w:rPr>
      </w:pPr>
      <w:r w:rsidRPr="00C80D3A">
        <w:rPr>
          <w:bCs/>
          <w:sz w:val="26"/>
          <w:szCs w:val="26"/>
        </w:rPr>
        <w:t>Utilities should e</w:t>
      </w:r>
      <w:r w:rsidR="009F7846" w:rsidRPr="00C80D3A">
        <w:rPr>
          <w:bCs/>
          <w:sz w:val="26"/>
          <w:szCs w:val="26"/>
        </w:rPr>
        <w:t>xempt CAP customers from late payment charges.</w:t>
      </w:r>
    </w:p>
    <w:p w14:paraId="79DFB0F2" w14:textId="77777777" w:rsidR="009F7846" w:rsidRPr="00C80D3A" w:rsidRDefault="009F7846" w:rsidP="006C1334">
      <w:pPr>
        <w:pStyle w:val="ListParagraph"/>
        <w:tabs>
          <w:tab w:val="left" w:pos="270"/>
        </w:tabs>
        <w:spacing w:line="360" w:lineRule="auto"/>
        <w:ind w:left="0"/>
        <w:rPr>
          <w:bCs/>
          <w:sz w:val="26"/>
          <w:szCs w:val="26"/>
        </w:rPr>
      </w:pPr>
    </w:p>
    <w:p w14:paraId="159427FB" w14:textId="21B0D182" w:rsidR="009F7846" w:rsidRPr="00C80D3A" w:rsidRDefault="00752F7B" w:rsidP="002B60AF">
      <w:pPr>
        <w:pStyle w:val="ListParagraph"/>
        <w:numPr>
          <w:ilvl w:val="0"/>
          <w:numId w:val="12"/>
        </w:numPr>
        <w:tabs>
          <w:tab w:val="left" w:pos="270"/>
        </w:tabs>
        <w:spacing w:line="360" w:lineRule="auto"/>
        <w:ind w:left="1440" w:hanging="720"/>
        <w:rPr>
          <w:sz w:val="26"/>
          <w:szCs w:val="26"/>
        </w:rPr>
      </w:pPr>
      <w:r w:rsidRPr="00C80D3A">
        <w:rPr>
          <w:sz w:val="26"/>
          <w:szCs w:val="26"/>
        </w:rPr>
        <w:t xml:space="preserve">Utilities should </w:t>
      </w:r>
      <w:r w:rsidR="00933517" w:rsidRPr="00C80D3A">
        <w:rPr>
          <w:sz w:val="26"/>
          <w:szCs w:val="26"/>
        </w:rPr>
        <w:t>provide</w:t>
      </w:r>
      <w:r w:rsidR="009F7846" w:rsidRPr="00C80D3A">
        <w:rPr>
          <w:sz w:val="26"/>
          <w:szCs w:val="26"/>
        </w:rPr>
        <w:t xml:space="preserve"> CAP customers </w:t>
      </w:r>
      <w:r w:rsidR="00933517" w:rsidRPr="00C80D3A">
        <w:rPr>
          <w:sz w:val="26"/>
          <w:szCs w:val="26"/>
        </w:rPr>
        <w:t>with</w:t>
      </w:r>
      <w:r w:rsidR="009F7846" w:rsidRPr="00C80D3A">
        <w:rPr>
          <w:sz w:val="26"/>
          <w:szCs w:val="26"/>
        </w:rPr>
        <w:t xml:space="preserve"> (a) pre-program arrearage (PPA) forgiveness for each on-time and in-full monthly CAP payment regardless of in-CAP arrears and (b) retroactive PPA forgiveness for any month(s) missed once the household pays its in-CAP/in-program balance/debt in full.</w:t>
      </w:r>
    </w:p>
    <w:p w14:paraId="6FCE8998" w14:textId="77777777" w:rsidR="009F7846" w:rsidRPr="00C80D3A" w:rsidRDefault="009F7846" w:rsidP="006C1334">
      <w:pPr>
        <w:pStyle w:val="ListParagraph"/>
        <w:tabs>
          <w:tab w:val="left" w:pos="270"/>
        </w:tabs>
        <w:spacing w:line="360" w:lineRule="auto"/>
        <w:ind w:left="0"/>
        <w:rPr>
          <w:bCs/>
          <w:sz w:val="26"/>
          <w:szCs w:val="26"/>
        </w:rPr>
      </w:pPr>
    </w:p>
    <w:p w14:paraId="61817C03" w14:textId="63A159EB" w:rsidR="009F7846" w:rsidRPr="00C80D3A" w:rsidRDefault="00E92BCB" w:rsidP="002B60AF">
      <w:pPr>
        <w:pStyle w:val="ListParagraph"/>
        <w:numPr>
          <w:ilvl w:val="0"/>
          <w:numId w:val="12"/>
        </w:numPr>
        <w:tabs>
          <w:tab w:val="left" w:pos="270"/>
        </w:tabs>
        <w:spacing w:line="360" w:lineRule="auto"/>
        <w:ind w:left="1440" w:hanging="720"/>
        <w:rPr>
          <w:bCs/>
          <w:sz w:val="26"/>
          <w:szCs w:val="26"/>
        </w:rPr>
      </w:pPr>
      <w:r w:rsidRPr="00C80D3A">
        <w:rPr>
          <w:bCs/>
          <w:sz w:val="26"/>
          <w:szCs w:val="26"/>
        </w:rPr>
        <w:t>U</w:t>
      </w:r>
      <w:r w:rsidR="009F7846" w:rsidRPr="00C80D3A">
        <w:rPr>
          <w:bCs/>
          <w:sz w:val="26"/>
          <w:szCs w:val="26"/>
        </w:rPr>
        <w:t xml:space="preserve">tilities </w:t>
      </w:r>
      <w:r w:rsidRPr="00C80D3A">
        <w:rPr>
          <w:bCs/>
          <w:sz w:val="26"/>
          <w:szCs w:val="26"/>
        </w:rPr>
        <w:t>may</w:t>
      </w:r>
      <w:r w:rsidR="009F7846" w:rsidRPr="00C80D3A">
        <w:rPr>
          <w:bCs/>
          <w:sz w:val="26"/>
          <w:szCs w:val="26"/>
        </w:rPr>
        <w:t xml:space="preserve"> request Social Security numbers (SSNs) but not require them for household members when verifying identity for CAP enrollment.  </w:t>
      </w:r>
      <w:r w:rsidR="000F2D01" w:rsidRPr="00C80D3A">
        <w:rPr>
          <w:bCs/>
          <w:sz w:val="26"/>
          <w:szCs w:val="26"/>
        </w:rPr>
        <w:t xml:space="preserve">Utilities </w:t>
      </w:r>
      <w:r w:rsidR="00C75B5E" w:rsidRPr="00C80D3A">
        <w:rPr>
          <w:bCs/>
          <w:sz w:val="26"/>
          <w:szCs w:val="26"/>
        </w:rPr>
        <w:t xml:space="preserve">and entities acting on their behalf </w:t>
      </w:r>
      <w:r w:rsidR="000F2D01" w:rsidRPr="00C80D3A">
        <w:rPr>
          <w:bCs/>
          <w:sz w:val="26"/>
          <w:szCs w:val="26"/>
        </w:rPr>
        <w:t xml:space="preserve">should </w:t>
      </w:r>
      <w:r w:rsidR="00A847BF" w:rsidRPr="00C80D3A">
        <w:rPr>
          <w:bCs/>
          <w:sz w:val="26"/>
          <w:szCs w:val="26"/>
        </w:rPr>
        <w:t xml:space="preserve">offer and </w:t>
      </w:r>
      <w:r w:rsidR="000F2D01" w:rsidRPr="00C80D3A">
        <w:rPr>
          <w:bCs/>
          <w:sz w:val="26"/>
          <w:szCs w:val="26"/>
        </w:rPr>
        <w:t>explain the options on CAP applications and other communications with customers.</w:t>
      </w:r>
    </w:p>
    <w:p w14:paraId="3F7F593B" w14:textId="77777777" w:rsidR="009F7846" w:rsidRPr="00C80D3A" w:rsidRDefault="009F7846" w:rsidP="006C1334">
      <w:pPr>
        <w:pStyle w:val="ListParagraph"/>
        <w:tabs>
          <w:tab w:val="left" w:pos="270"/>
        </w:tabs>
        <w:spacing w:line="360" w:lineRule="auto"/>
        <w:ind w:left="0"/>
        <w:rPr>
          <w:bCs/>
          <w:sz w:val="26"/>
          <w:szCs w:val="26"/>
        </w:rPr>
      </w:pPr>
    </w:p>
    <w:p w14:paraId="138EF39E" w14:textId="2FD0567E" w:rsidR="009F7846" w:rsidRPr="00C80D3A" w:rsidRDefault="003A2754" w:rsidP="002B60AF">
      <w:pPr>
        <w:pStyle w:val="ListParagraph"/>
        <w:numPr>
          <w:ilvl w:val="0"/>
          <w:numId w:val="12"/>
        </w:numPr>
        <w:tabs>
          <w:tab w:val="left" w:pos="270"/>
        </w:tabs>
        <w:spacing w:line="360" w:lineRule="auto"/>
        <w:ind w:left="1440" w:hanging="720"/>
        <w:rPr>
          <w:bCs/>
          <w:sz w:val="26"/>
          <w:szCs w:val="26"/>
        </w:rPr>
      </w:pPr>
      <w:r w:rsidRPr="00C80D3A">
        <w:rPr>
          <w:sz w:val="26"/>
          <w:szCs w:val="26"/>
        </w:rPr>
        <w:t>Maximum CAP credit limits should be set in USECP review proceedings rather than in the CAP Policy Statement and should consist of a tiered structure based on the household</w:t>
      </w:r>
      <w:r w:rsidR="001529C6">
        <w:rPr>
          <w:sz w:val="26"/>
          <w:szCs w:val="26"/>
        </w:rPr>
        <w:t>’</w:t>
      </w:r>
      <w:r w:rsidRPr="00C80D3A">
        <w:rPr>
          <w:sz w:val="26"/>
          <w:szCs w:val="26"/>
        </w:rPr>
        <w:t>s FPIG level (</w:t>
      </w:r>
      <w:r w:rsidRPr="00C80D3A">
        <w:rPr>
          <w:i/>
          <w:iCs/>
          <w:sz w:val="26"/>
          <w:szCs w:val="26"/>
        </w:rPr>
        <w:t>i.e.</w:t>
      </w:r>
      <w:r w:rsidRPr="00C80D3A">
        <w:rPr>
          <w:sz w:val="26"/>
          <w:szCs w:val="26"/>
        </w:rPr>
        <w:t>, 0-50%, 51</w:t>
      </w:r>
      <w:r w:rsidRPr="00C80D3A">
        <w:rPr>
          <w:sz w:val="26"/>
          <w:szCs w:val="26"/>
        </w:rPr>
        <w:noBreakHyphen/>
        <w:t>100%, and 101-150%) which should provide lower income households with higher CAP credit limits.  Utilities should notify CAP customers when they approach their CAP credit limits, instruct them to contact the utility if they meet any exceptions, and refer them to LIURP (if eligible)</w:t>
      </w:r>
    </w:p>
    <w:p w14:paraId="17F97FAC" w14:textId="77777777" w:rsidR="000B56C6" w:rsidRPr="00C80D3A" w:rsidRDefault="000B56C6" w:rsidP="006C1334">
      <w:pPr>
        <w:pStyle w:val="ListParagraph"/>
        <w:tabs>
          <w:tab w:val="left" w:pos="270"/>
        </w:tabs>
        <w:spacing w:line="360" w:lineRule="auto"/>
        <w:ind w:left="792"/>
        <w:rPr>
          <w:bCs/>
          <w:sz w:val="26"/>
          <w:szCs w:val="26"/>
        </w:rPr>
      </w:pPr>
    </w:p>
    <w:p w14:paraId="127F2910" w14:textId="5BD0202C" w:rsidR="009F7846" w:rsidRPr="00C80D3A" w:rsidRDefault="00A85E08" w:rsidP="002B60AF">
      <w:pPr>
        <w:pStyle w:val="ListParagraph"/>
        <w:numPr>
          <w:ilvl w:val="0"/>
          <w:numId w:val="12"/>
        </w:numPr>
        <w:tabs>
          <w:tab w:val="left" w:pos="270"/>
        </w:tabs>
        <w:spacing w:line="360" w:lineRule="auto"/>
        <w:ind w:left="1440" w:hanging="720"/>
        <w:rPr>
          <w:sz w:val="26"/>
          <w:szCs w:val="26"/>
        </w:rPr>
      </w:pPr>
      <w:r w:rsidRPr="00C80D3A">
        <w:rPr>
          <w:sz w:val="26"/>
          <w:szCs w:val="26"/>
        </w:rPr>
        <w:t>Utilities should e</w:t>
      </w:r>
      <w:r w:rsidR="00F5398F" w:rsidRPr="00C80D3A">
        <w:rPr>
          <w:sz w:val="26"/>
          <w:szCs w:val="26"/>
        </w:rPr>
        <w:t xml:space="preserve">stablish </w:t>
      </w:r>
      <w:r w:rsidR="009F7846" w:rsidRPr="00C80D3A">
        <w:rPr>
          <w:sz w:val="26"/>
          <w:szCs w:val="26"/>
        </w:rPr>
        <w:t>online CAP application</w:t>
      </w:r>
      <w:r w:rsidR="00F5398F" w:rsidRPr="00C80D3A">
        <w:rPr>
          <w:sz w:val="26"/>
          <w:szCs w:val="26"/>
        </w:rPr>
        <w:t>s</w:t>
      </w:r>
      <w:r w:rsidR="009F7846" w:rsidRPr="00C80D3A">
        <w:rPr>
          <w:sz w:val="26"/>
          <w:szCs w:val="26"/>
        </w:rPr>
        <w:t xml:space="preserve"> and allow customers to submit documentation electronically.</w:t>
      </w:r>
    </w:p>
    <w:p w14:paraId="3357087B" w14:textId="77777777" w:rsidR="009F7846" w:rsidRPr="00C80D3A" w:rsidRDefault="009F7846" w:rsidP="006C1334">
      <w:pPr>
        <w:pStyle w:val="ListParagraph"/>
        <w:tabs>
          <w:tab w:val="left" w:pos="270"/>
        </w:tabs>
        <w:spacing w:line="360" w:lineRule="auto"/>
        <w:ind w:left="0"/>
        <w:rPr>
          <w:sz w:val="26"/>
          <w:szCs w:val="26"/>
        </w:rPr>
      </w:pPr>
    </w:p>
    <w:p w14:paraId="2CED1CF8" w14:textId="2F8B081B" w:rsidR="009F7846" w:rsidRPr="00C80D3A" w:rsidRDefault="003F5646" w:rsidP="002B60AF">
      <w:pPr>
        <w:pStyle w:val="ListParagraph"/>
        <w:numPr>
          <w:ilvl w:val="0"/>
          <w:numId w:val="12"/>
        </w:numPr>
        <w:tabs>
          <w:tab w:val="left" w:pos="270"/>
        </w:tabs>
        <w:spacing w:line="360" w:lineRule="auto"/>
        <w:ind w:left="1440" w:hanging="720"/>
        <w:rPr>
          <w:bCs/>
          <w:sz w:val="26"/>
          <w:szCs w:val="26"/>
        </w:rPr>
      </w:pPr>
      <w:r w:rsidRPr="00C80D3A">
        <w:rPr>
          <w:sz w:val="26"/>
          <w:szCs w:val="26"/>
        </w:rPr>
        <w:t>Utilities should use a standardized zero-income form and develop other industry-wide standardized forms</w:t>
      </w:r>
      <w:r w:rsidR="009F7846" w:rsidRPr="00C80D3A">
        <w:rPr>
          <w:bCs/>
          <w:sz w:val="26"/>
          <w:szCs w:val="26"/>
        </w:rPr>
        <w:t>.</w:t>
      </w:r>
    </w:p>
    <w:p w14:paraId="1F7D181C" w14:textId="77777777" w:rsidR="009F7846" w:rsidRPr="00C80D3A" w:rsidRDefault="009F7846" w:rsidP="006C1334">
      <w:pPr>
        <w:pStyle w:val="ListParagraph"/>
        <w:tabs>
          <w:tab w:val="left" w:pos="270"/>
        </w:tabs>
        <w:spacing w:line="360" w:lineRule="auto"/>
        <w:ind w:left="0"/>
        <w:rPr>
          <w:bCs/>
          <w:sz w:val="26"/>
          <w:szCs w:val="26"/>
        </w:rPr>
      </w:pPr>
    </w:p>
    <w:p w14:paraId="1D129EA0" w14:textId="073258AC" w:rsidR="009F7846" w:rsidRPr="00C80D3A" w:rsidRDefault="000B2427" w:rsidP="002B60AF">
      <w:pPr>
        <w:pStyle w:val="ListParagraph"/>
        <w:numPr>
          <w:ilvl w:val="0"/>
          <w:numId w:val="12"/>
        </w:numPr>
        <w:tabs>
          <w:tab w:val="left" w:pos="270"/>
        </w:tabs>
        <w:spacing w:line="360" w:lineRule="auto"/>
        <w:ind w:left="1440" w:hanging="720"/>
        <w:rPr>
          <w:bCs/>
          <w:sz w:val="26"/>
          <w:szCs w:val="26"/>
        </w:rPr>
      </w:pPr>
      <w:r w:rsidRPr="00C80D3A">
        <w:rPr>
          <w:bCs/>
          <w:sz w:val="26"/>
          <w:szCs w:val="26"/>
        </w:rPr>
        <w:t>E</w:t>
      </w:r>
      <w:r w:rsidR="009F7846" w:rsidRPr="00C80D3A">
        <w:rPr>
          <w:bCs/>
          <w:sz w:val="26"/>
          <w:szCs w:val="26"/>
        </w:rPr>
        <w:t>stablish new maximum recertification timeframe</w:t>
      </w:r>
      <w:r w:rsidR="00BB6C68" w:rsidRPr="00C80D3A">
        <w:rPr>
          <w:bCs/>
          <w:sz w:val="26"/>
          <w:szCs w:val="26"/>
        </w:rPr>
        <w:t>s</w:t>
      </w:r>
      <w:r w:rsidR="009F7846" w:rsidRPr="00C80D3A">
        <w:rPr>
          <w:bCs/>
          <w:sz w:val="26"/>
          <w:szCs w:val="26"/>
        </w:rPr>
        <w:t xml:space="preserve"> for CAPs</w:t>
      </w:r>
      <w:r w:rsidR="00C01D38">
        <w:rPr>
          <w:bCs/>
          <w:sz w:val="26"/>
          <w:szCs w:val="26"/>
        </w:rPr>
        <w:t xml:space="preserve"> and strive to minimize disruptions in CAP participation</w:t>
      </w:r>
      <w:r w:rsidR="004B022B">
        <w:rPr>
          <w:bCs/>
          <w:sz w:val="26"/>
          <w:szCs w:val="26"/>
        </w:rPr>
        <w:t xml:space="preserve">.  </w:t>
      </w:r>
      <w:r w:rsidR="00F66667">
        <w:rPr>
          <w:bCs/>
          <w:sz w:val="26"/>
          <w:szCs w:val="26"/>
        </w:rPr>
        <w:br/>
      </w:r>
      <w:r w:rsidR="00CA640A">
        <w:rPr>
          <w:bCs/>
          <w:sz w:val="26"/>
          <w:szCs w:val="26"/>
        </w:rPr>
        <w:t xml:space="preserve">●  </w:t>
      </w:r>
      <w:r w:rsidR="00AE02DB">
        <w:rPr>
          <w:bCs/>
          <w:sz w:val="26"/>
          <w:szCs w:val="26"/>
        </w:rPr>
        <w:t>CAP h</w:t>
      </w:r>
      <w:r w:rsidR="009F7846" w:rsidRPr="00C80D3A">
        <w:rPr>
          <w:bCs/>
          <w:sz w:val="26"/>
          <w:szCs w:val="26"/>
        </w:rPr>
        <w:t xml:space="preserve">ouseholds reporting no income </w:t>
      </w:r>
      <w:r w:rsidR="00745B35">
        <w:rPr>
          <w:bCs/>
          <w:sz w:val="26"/>
          <w:szCs w:val="26"/>
        </w:rPr>
        <w:t xml:space="preserve">should be required </w:t>
      </w:r>
      <w:r w:rsidR="009F7846" w:rsidRPr="00C80D3A">
        <w:rPr>
          <w:bCs/>
          <w:sz w:val="26"/>
          <w:szCs w:val="26"/>
        </w:rPr>
        <w:t xml:space="preserve">to recertify at least every six </w:t>
      </w:r>
      <w:r w:rsidR="007B2430">
        <w:rPr>
          <w:bCs/>
          <w:sz w:val="26"/>
          <w:szCs w:val="26"/>
        </w:rPr>
        <w:t xml:space="preserve">(6) </w:t>
      </w:r>
      <w:r w:rsidR="009F7846" w:rsidRPr="00C80D3A">
        <w:rPr>
          <w:bCs/>
          <w:sz w:val="26"/>
          <w:szCs w:val="26"/>
        </w:rPr>
        <w:t>months</w:t>
      </w:r>
      <w:r w:rsidR="00781AD7">
        <w:rPr>
          <w:bCs/>
          <w:sz w:val="26"/>
          <w:szCs w:val="26"/>
        </w:rPr>
        <w:t xml:space="preserve"> regardless of LIHEAP participation</w:t>
      </w:r>
      <w:r w:rsidR="009F7846" w:rsidRPr="00C80D3A">
        <w:rPr>
          <w:bCs/>
          <w:sz w:val="26"/>
          <w:szCs w:val="26"/>
        </w:rPr>
        <w:t xml:space="preserve">; </w:t>
      </w:r>
      <w:r w:rsidR="00F66667">
        <w:rPr>
          <w:bCs/>
          <w:sz w:val="26"/>
          <w:szCs w:val="26"/>
        </w:rPr>
        <w:br/>
      </w:r>
      <w:r w:rsidR="00CA640A">
        <w:rPr>
          <w:bCs/>
          <w:sz w:val="26"/>
          <w:szCs w:val="26"/>
        </w:rPr>
        <w:t xml:space="preserve">●  </w:t>
      </w:r>
      <w:r w:rsidR="00AE02DB">
        <w:rPr>
          <w:bCs/>
          <w:sz w:val="26"/>
          <w:szCs w:val="26"/>
        </w:rPr>
        <w:t>CAP h</w:t>
      </w:r>
      <w:r w:rsidR="009F7846" w:rsidRPr="00C80D3A">
        <w:rPr>
          <w:bCs/>
          <w:sz w:val="26"/>
          <w:szCs w:val="26"/>
        </w:rPr>
        <w:t xml:space="preserve">ouseholds </w:t>
      </w:r>
      <w:r w:rsidR="00093F87">
        <w:rPr>
          <w:bCs/>
          <w:sz w:val="26"/>
          <w:szCs w:val="26"/>
        </w:rPr>
        <w:t xml:space="preserve">with income </w:t>
      </w:r>
      <w:r w:rsidR="00926A8D">
        <w:rPr>
          <w:bCs/>
          <w:sz w:val="26"/>
          <w:szCs w:val="26"/>
        </w:rPr>
        <w:t xml:space="preserve">that </w:t>
      </w:r>
      <w:r w:rsidR="009F7846" w:rsidRPr="00C80D3A">
        <w:rPr>
          <w:bCs/>
          <w:sz w:val="26"/>
          <w:szCs w:val="26"/>
        </w:rPr>
        <w:t xml:space="preserve">participate in LIHEAP annually </w:t>
      </w:r>
      <w:r w:rsidR="002D63E4" w:rsidRPr="00C80D3A">
        <w:rPr>
          <w:bCs/>
          <w:sz w:val="26"/>
          <w:szCs w:val="26"/>
        </w:rPr>
        <w:t xml:space="preserve">should </w:t>
      </w:r>
      <w:r w:rsidR="004576BD">
        <w:rPr>
          <w:bCs/>
          <w:sz w:val="26"/>
          <w:szCs w:val="26"/>
        </w:rPr>
        <w:t xml:space="preserve">be required to </w:t>
      </w:r>
      <w:r w:rsidR="009F7846" w:rsidRPr="00C80D3A">
        <w:rPr>
          <w:bCs/>
          <w:sz w:val="26"/>
          <w:szCs w:val="26"/>
        </w:rPr>
        <w:t xml:space="preserve">recertify at least once every three </w:t>
      </w:r>
      <w:r w:rsidR="007B2430">
        <w:rPr>
          <w:bCs/>
          <w:sz w:val="26"/>
          <w:szCs w:val="26"/>
        </w:rPr>
        <w:t xml:space="preserve">(3) </w:t>
      </w:r>
      <w:r w:rsidR="009F7846" w:rsidRPr="00C80D3A">
        <w:rPr>
          <w:bCs/>
          <w:sz w:val="26"/>
          <w:szCs w:val="26"/>
        </w:rPr>
        <w:t xml:space="preserve">years; </w:t>
      </w:r>
      <w:r w:rsidR="00F66667">
        <w:rPr>
          <w:bCs/>
          <w:sz w:val="26"/>
          <w:szCs w:val="26"/>
        </w:rPr>
        <w:br/>
      </w:r>
      <w:r w:rsidR="00CA640A">
        <w:rPr>
          <w:bCs/>
          <w:sz w:val="26"/>
          <w:szCs w:val="26"/>
        </w:rPr>
        <w:t xml:space="preserve">●  </w:t>
      </w:r>
      <w:r w:rsidR="00AE02DB">
        <w:rPr>
          <w:bCs/>
          <w:sz w:val="26"/>
          <w:szCs w:val="26"/>
        </w:rPr>
        <w:t>CAP h</w:t>
      </w:r>
      <w:r w:rsidR="009F7846" w:rsidRPr="00C80D3A">
        <w:rPr>
          <w:bCs/>
          <w:sz w:val="26"/>
          <w:szCs w:val="26"/>
        </w:rPr>
        <w:t xml:space="preserve">ouseholds whose primary source of income is Social Security, Supplemental Security Income (SSI), or pensions </w:t>
      </w:r>
      <w:r w:rsidR="00D7484D" w:rsidRPr="00C80D3A">
        <w:rPr>
          <w:bCs/>
          <w:sz w:val="26"/>
          <w:szCs w:val="26"/>
        </w:rPr>
        <w:t xml:space="preserve">should </w:t>
      </w:r>
      <w:r w:rsidR="004576BD">
        <w:rPr>
          <w:bCs/>
          <w:sz w:val="26"/>
          <w:szCs w:val="26"/>
        </w:rPr>
        <w:t xml:space="preserve">be required to </w:t>
      </w:r>
      <w:r w:rsidR="009F7846" w:rsidRPr="00C80D3A">
        <w:rPr>
          <w:bCs/>
          <w:sz w:val="26"/>
          <w:szCs w:val="26"/>
        </w:rPr>
        <w:t xml:space="preserve">recertify at least once every </w:t>
      </w:r>
      <w:r w:rsidR="003E7F92">
        <w:rPr>
          <w:bCs/>
          <w:sz w:val="26"/>
          <w:szCs w:val="26"/>
        </w:rPr>
        <w:t>t</w:t>
      </w:r>
      <w:r w:rsidR="007D4BCE">
        <w:rPr>
          <w:bCs/>
          <w:sz w:val="26"/>
          <w:szCs w:val="26"/>
        </w:rPr>
        <w:t>hree</w:t>
      </w:r>
      <w:r w:rsidR="003E7F92">
        <w:rPr>
          <w:bCs/>
          <w:sz w:val="26"/>
          <w:szCs w:val="26"/>
        </w:rPr>
        <w:t xml:space="preserve"> </w:t>
      </w:r>
      <w:r w:rsidR="007B2430">
        <w:rPr>
          <w:bCs/>
          <w:sz w:val="26"/>
          <w:szCs w:val="26"/>
        </w:rPr>
        <w:t xml:space="preserve">(3) </w:t>
      </w:r>
      <w:r w:rsidR="009F7846" w:rsidRPr="00C80D3A">
        <w:rPr>
          <w:bCs/>
          <w:sz w:val="26"/>
          <w:szCs w:val="26"/>
        </w:rPr>
        <w:t xml:space="preserve">years; </w:t>
      </w:r>
      <w:r w:rsidR="0001098A">
        <w:rPr>
          <w:bCs/>
          <w:sz w:val="26"/>
          <w:szCs w:val="26"/>
        </w:rPr>
        <w:t>and</w:t>
      </w:r>
      <w:r w:rsidR="00F66667">
        <w:rPr>
          <w:bCs/>
          <w:sz w:val="26"/>
          <w:szCs w:val="26"/>
        </w:rPr>
        <w:br/>
      </w:r>
      <w:r w:rsidR="00CA640A">
        <w:rPr>
          <w:bCs/>
          <w:sz w:val="26"/>
          <w:szCs w:val="26"/>
        </w:rPr>
        <w:t xml:space="preserve">●  </w:t>
      </w:r>
      <w:r w:rsidR="00F66667">
        <w:rPr>
          <w:bCs/>
          <w:sz w:val="26"/>
          <w:szCs w:val="26"/>
        </w:rPr>
        <w:t>A</w:t>
      </w:r>
      <w:r w:rsidR="009F7846" w:rsidRPr="00C80D3A">
        <w:rPr>
          <w:bCs/>
          <w:sz w:val="26"/>
          <w:szCs w:val="26"/>
        </w:rPr>
        <w:t xml:space="preserve">ll other CAP households </w:t>
      </w:r>
      <w:r w:rsidR="00D7484D" w:rsidRPr="00C80D3A">
        <w:rPr>
          <w:bCs/>
          <w:sz w:val="26"/>
          <w:szCs w:val="26"/>
        </w:rPr>
        <w:t xml:space="preserve">should </w:t>
      </w:r>
      <w:r w:rsidR="009F7846" w:rsidRPr="00C80D3A">
        <w:rPr>
          <w:bCs/>
          <w:sz w:val="26"/>
          <w:szCs w:val="26"/>
        </w:rPr>
        <w:t>recertify at least once every two</w:t>
      </w:r>
      <w:r w:rsidR="00D67A45">
        <w:rPr>
          <w:bCs/>
          <w:sz w:val="26"/>
          <w:szCs w:val="26"/>
        </w:rPr>
        <w:t> </w:t>
      </w:r>
      <w:r w:rsidR="007B2430">
        <w:rPr>
          <w:bCs/>
          <w:sz w:val="26"/>
          <w:szCs w:val="26"/>
        </w:rPr>
        <w:t>(2)</w:t>
      </w:r>
      <w:r w:rsidR="00D67A45">
        <w:rPr>
          <w:bCs/>
          <w:sz w:val="26"/>
          <w:szCs w:val="26"/>
        </w:rPr>
        <w:t> </w:t>
      </w:r>
      <w:r w:rsidR="009F7846" w:rsidRPr="00C80D3A">
        <w:rPr>
          <w:bCs/>
          <w:sz w:val="26"/>
          <w:szCs w:val="26"/>
        </w:rPr>
        <w:t>years</w:t>
      </w:r>
      <w:r w:rsidR="0001098A">
        <w:rPr>
          <w:bCs/>
          <w:sz w:val="26"/>
          <w:szCs w:val="26"/>
        </w:rPr>
        <w:t>.</w:t>
      </w:r>
      <w:r w:rsidR="00565C06">
        <w:rPr>
          <w:bCs/>
          <w:sz w:val="26"/>
          <w:szCs w:val="26"/>
        </w:rPr>
        <w:br/>
      </w:r>
    </w:p>
    <w:p w14:paraId="5E4342C9" w14:textId="286DC184" w:rsidR="009F7846" w:rsidRPr="00C80D3A" w:rsidRDefault="009E4F72" w:rsidP="002B60AF">
      <w:pPr>
        <w:pStyle w:val="ListParagraph"/>
        <w:numPr>
          <w:ilvl w:val="0"/>
          <w:numId w:val="12"/>
        </w:numPr>
        <w:tabs>
          <w:tab w:val="left" w:pos="270"/>
        </w:tabs>
        <w:spacing w:line="360" w:lineRule="auto"/>
        <w:ind w:left="1440" w:hanging="720"/>
        <w:rPr>
          <w:bCs/>
          <w:sz w:val="26"/>
          <w:szCs w:val="26"/>
        </w:rPr>
      </w:pPr>
      <w:r w:rsidRPr="00C80D3A">
        <w:rPr>
          <w:sz w:val="26"/>
          <w:szCs w:val="26"/>
        </w:rPr>
        <w:t>Utilities should i</w:t>
      </w:r>
      <w:r w:rsidRPr="00C80D3A">
        <w:rPr>
          <w:bCs/>
          <w:sz w:val="26"/>
          <w:szCs w:val="26"/>
        </w:rPr>
        <w:t xml:space="preserve">nitiate collection activity for CAP accounts when a customer has no more than two </w:t>
      </w:r>
      <w:r w:rsidR="009606E1">
        <w:rPr>
          <w:bCs/>
          <w:sz w:val="26"/>
          <w:szCs w:val="26"/>
        </w:rPr>
        <w:t xml:space="preserve">(2) </w:t>
      </w:r>
      <w:r w:rsidRPr="00C80D3A">
        <w:rPr>
          <w:bCs/>
          <w:sz w:val="26"/>
          <w:szCs w:val="26"/>
        </w:rPr>
        <w:t>in-program payments in arrears.  Customers should not be removed or defaulted from CAP as a precursor to termination for non-payment</w:t>
      </w:r>
      <w:r w:rsidR="009F7846" w:rsidRPr="00C80D3A">
        <w:rPr>
          <w:bCs/>
          <w:sz w:val="26"/>
          <w:szCs w:val="26"/>
        </w:rPr>
        <w:t>.</w:t>
      </w:r>
    </w:p>
    <w:p w14:paraId="556612A1" w14:textId="77777777" w:rsidR="009F7846" w:rsidRPr="00C80D3A" w:rsidRDefault="009F7846" w:rsidP="006C1334">
      <w:pPr>
        <w:pStyle w:val="ListParagraph"/>
        <w:tabs>
          <w:tab w:val="left" w:pos="270"/>
        </w:tabs>
        <w:spacing w:line="360" w:lineRule="auto"/>
        <w:ind w:left="792"/>
        <w:rPr>
          <w:bCs/>
          <w:sz w:val="26"/>
          <w:szCs w:val="26"/>
        </w:rPr>
      </w:pPr>
    </w:p>
    <w:p w14:paraId="47E57CC2" w14:textId="2BA7B9F0" w:rsidR="009F7846" w:rsidRPr="00C80D3A" w:rsidRDefault="00F51A49" w:rsidP="002B60AF">
      <w:pPr>
        <w:pStyle w:val="ListParagraph"/>
        <w:numPr>
          <w:ilvl w:val="0"/>
          <w:numId w:val="12"/>
        </w:numPr>
        <w:tabs>
          <w:tab w:val="left" w:pos="270"/>
        </w:tabs>
        <w:spacing w:line="360" w:lineRule="auto"/>
        <w:ind w:left="1440" w:hanging="720"/>
        <w:rPr>
          <w:bCs/>
          <w:sz w:val="26"/>
          <w:szCs w:val="26"/>
        </w:rPr>
      </w:pPr>
      <w:r w:rsidRPr="00C80D3A">
        <w:rPr>
          <w:sz w:val="26"/>
          <w:szCs w:val="26"/>
        </w:rPr>
        <w:t>Utilities should e</w:t>
      </w:r>
      <w:r w:rsidR="009F7846" w:rsidRPr="00C80D3A">
        <w:rPr>
          <w:sz w:val="26"/>
          <w:szCs w:val="26"/>
        </w:rPr>
        <w:t>valuate household CAP bills at least quarterly to determine whether the customer</w:t>
      </w:r>
      <w:r w:rsidR="001529C6">
        <w:rPr>
          <w:sz w:val="26"/>
          <w:szCs w:val="26"/>
        </w:rPr>
        <w:t>’</w:t>
      </w:r>
      <w:r w:rsidR="009F7846" w:rsidRPr="00C80D3A">
        <w:rPr>
          <w:sz w:val="26"/>
          <w:szCs w:val="26"/>
        </w:rPr>
        <w:t>s CAP credit amount or billing method is appropriate.</w:t>
      </w:r>
    </w:p>
    <w:p w14:paraId="49F00940" w14:textId="77777777" w:rsidR="009F7846" w:rsidRPr="00C80D3A" w:rsidRDefault="009F7846" w:rsidP="006C1334">
      <w:pPr>
        <w:pStyle w:val="ListParagraph"/>
        <w:tabs>
          <w:tab w:val="left" w:pos="270"/>
        </w:tabs>
        <w:spacing w:line="360" w:lineRule="auto"/>
        <w:ind w:left="792"/>
        <w:rPr>
          <w:bCs/>
          <w:sz w:val="26"/>
          <w:szCs w:val="26"/>
        </w:rPr>
      </w:pPr>
    </w:p>
    <w:p w14:paraId="2EF04AFD" w14:textId="05795884" w:rsidR="00FD1F22" w:rsidRPr="00C90137" w:rsidRDefault="00FD1F22" w:rsidP="00C90137">
      <w:pPr>
        <w:pStyle w:val="ListParagraph"/>
        <w:numPr>
          <w:ilvl w:val="0"/>
          <w:numId w:val="12"/>
        </w:numPr>
        <w:tabs>
          <w:tab w:val="left" w:pos="270"/>
        </w:tabs>
        <w:spacing w:line="360" w:lineRule="auto"/>
        <w:ind w:left="1440" w:hanging="720"/>
        <w:rPr>
          <w:bCs/>
          <w:sz w:val="26"/>
          <w:szCs w:val="26"/>
        </w:rPr>
      </w:pPr>
      <w:r w:rsidRPr="002826DF">
        <w:rPr>
          <w:bCs/>
          <w:sz w:val="26"/>
          <w:szCs w:val="26"/>
        </w:rPr>
        <w:t xml:space="preserve">Utilities should work with stakeholders to develop </w:t>
      </w:r>
      <w:r w:rsidR="005F5A13">
        <w:rPr>
          <w:bCs/>
          <w:sz w:val="26"/>
          <w:szCs w:val="26"/>
        </w:rPr>
        <w:t xml:space="preserve">Consumer Education </w:t>
      </w:r>
      <w:r w:rsidR="00B51000">
        <w:rPr>
          <w:bCs/>
          <w:sz w:val="26"/>
          <w:szCs w:val="26"/>
        </w:rPr>
        <w:t xml:space="preserve">and </w:t>
      </w:r>
      <w:r w:rsidR="005F5A13">
        <w:rPr>
          <w:bCs/>
          <w:sz w:val="26"/>
          <w:szCs w:val="26"/>
        </w:rPr>
        <w:t>Outreach P</w:t>
      </w:r>
      <w:r w:rsidR="005F5A13" w:rsidRPr="002826DF">
        <w:rPr>
          <w:bCs/>
          <w:sz w:val="26"/>
          <w:szCs w:val="26"/>
        </w:rPr>
        <w:t>lans</w:t>
      </w:r>
      <w:r w:rsidRPr="002826DF">
        <w:rPr>
          <w:bCs/>
          <w:sz w:val="26"/>
          <w:szCs w:val="26"/>
        </w:rPr>
        <w:t xml:space="preserve">. </w:t>
      </w:r>
    </w:p>
    <w:p w14:paraId="53799B1C" w14:textId="77777777" w:rsidR="00FD1F22" w:rsidRPr="002826DF" w:rsidRDefault="00FD1F22" w:rsidP="00FD1F22">
      <w:pPr>
        <w:pStyle w:val="ListParagraph"/>
        <w:tabs>
          <w:tab w:val="left" w:pos="270"/>
        </w:tabs>
        <w:spacing w:line="360" w:lineRule="auto"/>
        <w:rPr>
          <w:sz w:val="26"/>
          <w:szCs w:val="26"/>
        </w:rPr>
      </w:pPr>
    </w:p>
    <w:p w14:paraId="43D06FD0" w14:textId="21BB3148" w:rsidR="00C90137" w:rsidRDefault="00C90137" w:rsidP="002B60AF">
      <w:pPr>
        <w:pStyle w:val="ListParagraph"/>
        <w:numPr>
          <w:ilvl w:val="0"/>
          <w:numId w:val="12"/>
        </w:numPr>
        <w:tabs>
          <w:tab w:val="left" w:pos="270"/>
        </w:tabs>
        <w:spacing w:line="360" w:lineRule="auto"/>
        <w:ind w:left="1440" w:hanging="720"/>
        <w:rPr>
          <w:bCs/>
          <w:sz w:val="26"/>
          <w:szCs w:val="26"/>
        </w:rPr>
      </w:pPr>
      <w:r w:rsidRPr="002826DF">
        <w:rPr>
          <w:bCs/>
          <w:sz w:val="26"/>
          <w:szCs w:val="26"/>
        </w:rPr>
        <w:t xml:space="preserve">Utilities should use the definition of </w:t>
      </w:r>
      <w:r w:rsidR="003346CC">
        <w:rPr>
          <w:bCs/>
          <w:sz w:val="26"/>
          <w:szCs w:val="26"/>
        </w:rPr>
        <w:t>“h</w:t>
      </w:r>
      <w:r w:rsidRPr="002826DF">
        <w:rPr>
          <w:bCs/>
          <w:sz w:val="26"/>
          <w:szCs w:val="26"/>
        </w:rPr>
        <w:t xml:space="preserve">ousehold </w:t>
      </w:r>
      <w:r w:rsidR="003346CC">
        <w:rPr>
          <w:bCs/>
          <w:sz w:val="26"/>
          <w:szCs w:val="26"/>
        </w:rPr>
        <w:t>i</w:t>
      </w:r>
      <w:r w:rsidRPr="002826DF">
        <w:rPr>
          <w:bCs/>
          <w:sz w:val="26"/>
          <w:szCs w:val="26"/>
        </w:rPr>
        <w:t>ncome</w:t>
      </w:r>
      <w:r w:rsidR="003346CC">
        <w:rPr>
          <w:bCs/>
          <w:sz w:val="26"/>
          <w:szCs w:val="26"/>
        </w:rPr>
        <w:t>”</w:t>
      </w:r>
      <w:r w:rsidRPr="002826DF">
        <w:rPr>
          <w:bCs/>
          <w:sz w:val="26"/>
          <w:szCs w:val="26"/>
        </w:rPr>
        <w:t xml:space="preserve"> in Chapter 14 of the Public Utility Code.</w:t>
      </w:r>
      <w:r w:rsidR="005F5A13">
        <w:rPr>
          <w:rStyle w:val="FootnoteReference"/>
          <w:bCs/>
          <w:sz w:val="26"/>
          <w:szCs w:val="26"/>
        </w:rPr>
        <w:footnoteReference w:id="15"/>
      </w:r>
      <w:r w:rsidRPr="002826DF">
        <w:rPr>
          <w:bCs/>
          <w:sz w:val="26"/>
          <w:szCs w:val="26"/>
        </w:rPr>
        <w:t xml:space="preserve"> </w:t>
      </w:r>
    </w:p>
    <w:p w14:paraId="2E5E4885" w14:textId="77777777" w:rsidR="00C90137" w:rsidRPr="00C90137" w:rsidRDefault="00C90137" w:rsidP="00C90137">
      <w:pPr>
        <w:pStyle w:val="ListParagraph"/>
        <w:rPr>
          <w:sz w:val="26"/>
          <w:szCs w:val="26"/>
        </w:rPr>
      </w:pPr>
    </w:p>
    <w:p w14:paraId="529152FC" w14:textId="409F8C26" w:rsidR="001A1279" w:rsidRPr="00C80D3A" w:rsidRDefault="007C3CB7" w:rsidP="002B60AF">
      <w:pPr>
        <w:pStyle w:val="ListParagraph"/>
        <w:numPr>
          <w:ilvl w:val="0"/>
          <w:numId w:val="12"/>
        </w:numPr>
        <w:tabs>
          <w:tab w:val="left" w:pos="270"/>
        </w:tabs>
        <w:spacing w:line="360" w:lineRule="auto"/>
        <w:ind w:left="1440" w:hanging="720"/>
        <w:rPr>
          <w:bCs/>
          <w:sz w:val="26"/>
          <w:szCs w:val="26"/>
        </w:rPr>
      </w:pPr>
      <w:r w:rsidRPr="00C80D3A">
        <w:rPr>
          <w:sz w:val="26"/>
          <w:szCs w:val="26"/>
        </w:rPr>
        <w:t>Utilities should be prepared to address recovery of CAP cost</w:t>
      </w:r>
      <w:r w:rsidRPr="00C80D3A" w:rsidDel="00356968">
        <w:rPr>
          <w:sz w:val="26"/>
          <w:szCs w:val="26"/>
        </w:rPr>
        <w:t xml:space="preserve">s </w:t>
      </w:r>
      <w:r w:rsidRPr="00C80D3A">
        <w:rPr>
          <w:sz w:val="26"/>
          <w:szCs w:val="26"/>
        </w:rPr>
        <w:t>(</w:t>
      </w:r>
      <w:r w:rsidRPr="00C80D3A" w:rsidDel="00356968">
        <w:rPr>
          <w:sz w:val="26"/>
          <w:szCs w:val="26"/>
        </w:rPr>
        <w:t>and other universal service costs</w:t>
      </w:r>
      <w:r w:rsidRPr="00C80D3A">
        <w:rPr>
          <w:sz w:val="26"/>
          <w:szCs w:val="26"/>
        </w:rPr>
        <w:t>) from any ratepayer classes in their individual rate case filing</w:t>
      </w:r>
      <w:r w:rsidR="00D758C8" w:rsidRPr="00C80D3A">
        <w:rPr>
          <w:bCs/>
          <w:sz w:val="26"/>
          <w:szCs w:val="26"/>
        </w:rPr>
        <w:t>.</w:t>
      </w:r>
      <w:r w:rsidR="002A39DD" w:rsidRPr="00C80D3A">
        <w:rPr>
          <w:rStyle w:val="FootnoteReference"/>
          <w:bCs/>
          <w:sz w:val="26"/>
          <w:szCs w:val="26"/>
        </w:rPr>
        <w:footnoteReference w:id="16"/>
      </w:r>
      <w:r w:rsidR="00A63577" w:rsidRPr="00C80D3A" w:rsidDel="00A63577">
        <w:rPr>
          <w:bCs/>
          <w:sz w:val="26"/>
          <w:szCs w:val="26"/>
        </w:rPr>
        <w:t xml:space="preserve"> </w:t>
      </w:r>
    </w:p>
    <w:p w14:paraId="617E0430" w14:textId="77777777" w:rsidR="009F7846" w:rsidRPr="00C80D3A" w:rsidRDefault="009F7846" w:rsidP="00315DBC">
      <w:pPr>
        <w:spacing w:after="0" w:line="360" w:lineRule="auto"/>
        <w:ind w:firstLine="720"/>
        <w:contextualSpacing/>
        <w:rPr>
          <w:rFonts w:ascii="Times New Roman" w:hAnsi="Times New Roman" w:cs="Times New Roman"/>
          <w:sz w:val="26"/>
          <w:szCs w:val="26"/>
        </w:rPr>
      </w:pPr>
    </w:p>
    <w:p w14:paraId="15669837" w14:textId="21AB561D" w:rsidR="0077058C" w:rsidRDefault="00CE568E" w:rsidP="0077058C">
      <w:pPr>
        <w:keepNext/>
        <w:spacing w:after="0" w:line="240" w:lineRule="auto"/>
        <w:jc w:val="center"/>
        <w:rPr>
          <w:rFonts w:ascii="Times New Roman" w:hAnsi="Times New Roman" w:cs="Times New Roman"/>
          <w:b/>
          <w:sz w:val="26"/>
          <w:szCs w:val="26"/>
        </w:rPr>
      </w:pPr>
      <w:r w:rsidRPr="00C80D3A">
        <w:rPr>
          <w:rFonts w:ascii="Times New Roman" w:hAnsi="Times New Roman" w:cs="Times New Roman"/>
          <w:b/>
          <w:sz w:val="26"/>
          <w:szCs w:val="26"/>
        </w:rPr>
        <w:t>BACKGROUND</w:t>
      </w:r>
    </w:p>
    <w:p w14:paraId="45136E0D" w14:textId="77777777" w:rsidR="0077058C" w:rsidRPr="00C80D3A" w:rsidRDefault="0077058C" w:rsidP="00F04703">
      <w:pPr>
        <w:keepNext/>
        <w:spacing w:after="0" w:line="240" w:lineRule="auto"/>
        <w:jc w:val="center"/>
        <w:rPr>
          <w:rFonts w:ascii="Times New Roman" w:hAnsi="Times New Roman" w:cs="Times New Roman"/>
          <w:b/>
          <w:sz w:val="26"/>
          <w:szCs w:val="26"/>
        </w:rPr>
      </w:pPr>
    </w:p>
    <w:p w14:paraId="1A2EA652" w14:textId="06A53387" w:rsidR="00506216" w:rsidRPr="00C80D3A" w:rsidRDefault="00506216" w:rsidP="00315DBC">
      <w:pPr>
        <w:tabs>
          <w:tab w:val="left" w:pos="720"/>
        </w:tabs>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This Commission and various stakeholders began to formally address low-income policies, practices, and services at least as early as 1984.  </w:t>
      </w:r>
      <w:r w:rsidRPr="00C80D3A">
        <w:rPr>
          <w:rFonts w:ascii="Times New Roman" w:hAnsi="Times New Roman" w:cs="Times New Roman"/>
          <w:i/>
          <w:sz w:val="26"/>
          <w:szCs w:val="26"/>
        </w:rPr>
        <w:t>See Recommendations for Dealing with Payment Troubled Customers</w:t>
      </w:r>
      <w:r w:rsidRPr="00C80D3A">
        <w:rPr>
          <w:rFonts w:ascii="Times New Roman" w:hAnsi="Times New Roman" w:cs="Times New Roman"/>
          <w:sz w:val="26"/>
          <w:szCs w:val="26"/>
        </w:rPr>
        <w:t>, Docket No. M-840403.</w:t>
      </w:r>
      <w:r w:rsidRPr="00C80D3A">
        <w:rPr>
          <w:rStyle w:val="FootnoteReference"/>
          <w:rFonts w:ascii="Times New Roman" w:hAnsi="Times New Roman" w:cs="Times New Roman"/>
          <w:sz w:val="26"/>
          <w:szCs w:val="26"/>
        </w:rPr>
        <w:footnoteReference w:id="17"/>
      </w:r>
      <w:r w:rsidRPr="00C80D3A">
        <w:rPr>
          <w:rFonts w:ascii="Times New Roman" w:hAnsi="Times New Roman" w:cs="Times New Roman"/>
          <w:sz w:val="26"/>
          <w:szCs w:val="26"/>
        </w:rPr>
        <w:t xml:space="preserve">  As a result of that proceeding, the energy utilities began filing usage reduction programs and considering how to address arrearages for low-income customers.  </w:t>
      </w:r>
      <w:r w:rsidR="004C5E53" w:rsidRPr="00C80D3A">
        <w:rPr>
          <w:rFonts w:ascii="Times New Roman" w:hAnsi="Times New Roman" w:cs="Times New Roman"/>
          <w:sz w:val="26"/>
          <w:szCs w:val="26"/>
        </w:rPr>
        <w:t xml:space="preserve">The </w:t>
      </w:r>
      <w:r w:rsidR="00267BBE" w:rsidRPr="00C80D3A">
        <w:rPr>
          <w:rFonts w:ascii="Times New Roman" w:hAnsi="Times New Roman" w:cs="Times New Roman"/>
          <w:sz w:val="26"/>
          <w:szCs w:val="26"/>
        </w:rPr>
        <w:t xml:space="preserve">summaries below highlight some of the </w:t>
      </w:r>
      <w:r w:rsidR="005E22FA" w:rsidRPr="00C80D3A">
        <w:rPr>
          <w:rFonts w:ascii="Times New Roman" w:hAnsi="Times New Roman" w:cs="Times New Roman"/>
          <w:sz w:val="26"/>
          <w:szCs w:val="26"/>
        </w:rPr>
        <w:t xml:space="preserve">developments </w:t>
      </w:r>
      <w:r w:rsidR="00267BBE" w:rsidRPr="00C80D3A">
        <w:rPr>
          <w:rFonts w:ascii="Times New Roman" w:hAnsi="Times New Roman" w:cs="Times New Roman"/>
          <w:sz w:val="26"/>
          <w:szCs w:val="26"/>
        </w:rPr>
        <w:t xml:space="preserve">in this </w:t>
      </w:r>
      <w:r w:rsidR="005E22FA" w:rsidRPr="00C80D3A">
        <w:rPr>
          <w:rFonts w:ascii="Times New Roman" w:hAnsi="Times New Roman" w:cs="Times New Roman"/>
          <w:sz w:val="26"/>
          <w:szCs w:val="26"/>
        </w:rPr>
        <w:t>endeavor.</w:t>
      </w:r>
    </w:p>
    <w:p w14:paraId="0AAF56E2" w14:textId="77777777" w:rsidR="00506216" w:rsidRPr="00C80D3A" w:rsidRDefault="00506216" w:rsidP="00315DBC">
      <w:pPr>
        <w:tabs>
          <w:tab w:val="left" w:pos="720"/>
        </w:tabs>
        <w:spacing w:after="0" w:line="360" w:lineRule="auto"/>
        <w:ind w:firstLine="720"/>
        <w:contextualSpacing/>
        <w:rPr>
          <w:rFonts w:ascii="Times New Roman" w:hAnsi="Times New Roman" w:cs="Times New Roman"/>
          <w:sz w:val="26"/>
          <w:szCs w:val="26"/>
        </w:rPr>
      </w:pPr>
    </w:p>
    <w:p w14:paraId="03A4CD55" w14:textId="60CB68C7" w:rsidR="00506216" w:rsidRPr="00C80D3A" w:rsidRDefault="00506216" w:rsidP="002B60AF">
      <w:pPr>
        <w:keepNext/>
        <w:tabs>
          <w:tab w:val="left" w:pos="720"/>
        </w:tabs>
        <w:spacing w:after="0" w:line="240" w:lineRule="auto"/>
        <w:contextualSpacing/>
        <w:rPr>
          <w:rFonts w:ascii="Times New Roman" w:hAnsi="Times New Roman" w:cs="Times New Roman"/>
          <w:i/>
          <w:sz w:val="26"/>
          <w:szCs w:val="26"/>
        </w:rPr>
      </w:pPr>
      <w:r w:rsidRPr="00C80D3A">
        <w:rPr>
          <w:rFonts w:ascii="Times New Roman" w:hAnsi="Times New Roman" w:cs="Times New Roman"/>
          <w:i/>
          <w:sz w:val="26"/>
          <w:szCs w:val="26"/>
        </w:rPr>
        <w:t>Customer Assistance Program</w:t>
      </w:r>
    </w:p>
    <w:p w14:paraId="6465F651" w14:textId="77777777" w:rsidR="00506216" w:rsidRPr="00C80D3A" w:rsidRDefault="00506216" w:rsidP="002B60AF">
      <w:pPr>
        <w:keepNext/>
        <w:tabs>
          <w:tab w:val="left" w:pos="720"/>
        </w:tabs>
        <w:spacing w:after="0" w:line="240" w:lineRule="auto"/>
        <w:contextualSpacing/>
        <w:rPr>
          <w:rFonts w:ascii="Times New Roman" w:hAnsi="Times New Roman" w:cs="Times New Roman"/>
          <w:i/>
          <w:sz w:val="26"/>
          <w:szCs w:val="26"/>
        </w:rPr>
      </w:pPr>
    </w:p>
    <w:p w14:paraId="36A7635C" w14:textId="0FD4F55A" w:rsidR="00506216" w:rsidRPr="00C80D3A" w:rsidRDefault="00506216" w:rsidP="00315DBC">
      <w:pPr>
        <w:tabs>
          <w:tab w:val="left" w:pos="720"/>
        </w:tabs>
        <w:spacing w:after="0" w:line="360" w:lineRule="auto"/>
        <w:contextualSpacing/>
        <w:rPr>
          <w:rFonts w:ascii="Times New Roman" w:hAnsi="Times New Roman" w:cs="Times New Roman"/>
          <w:color w:val="0D0D0D" w:themeColor="text1" w:themeTint="F2"/>
          <w:sz w:val="26"/>
          <w:szCs w:val="26"/>
        </w:rPr>
      </w:pPr>
      <w:r w:rsidRPr="00C80D3A">
        <w:rPr>
          <w:rFonts w:ascii="Times New Roman" w:hAnsi="Times New Roman" w:cs="Times New Roman"/>
          <w:sz w:val="26"/>
          <w:szCs w:val="26"/>
        </w:rPr>
        <w:tab/>
        <w:t>The Commission</w:t>
      </w:r>
      <w:r w:rsidR="001529C6">
        <w:rPr>
          <w:rFonts w:ascii="Times New Roman" w:hAnsi="Times New Roman" w:cs="Times New Roman"/>
          <w:sz w:val="26"/>
          <w:szCs w:val="26"/>
        </w:rPr>
        <w:t>’</w:t>
      </w:r>
      <w:r w:rsidRPr="00C80D3A">
        <w:rPr>
          <w:rFonts w:ascii="Times New Roman" w:hAnsi="Times New Roman" w:cs="Times New Roman"/>
          <w:sz w:val="26"/>
          <w:szCs w:val="26"/>
        </w:rPr>
        <w:t>s CAP Policy Statement at 52 Pa. Code §§ 69.261</w:t>
      </w:r>
      <w:r w:rsidR="004E2E90" w:rsidRPr="00C80D3A">
        <w:rPr>
          <w:rFonts w:ascii="Times New Roman" w:hAnsi="Times New Roman" w:cs="Times New Roman"/>
          <w:sz w:val="26"/>
          <w:szCs w:val="26"/>
        </w:rPr>
        <w:t>–</w:t>
      </w:r>
      <w:r w:rsidRPr="00C80D3A">
        <w:rPr>
          <w:rFonts w:ascii="Times New Roman" w:hAnsi="Times New Roman" w:cs="Times New Roman"/>
          <w:sz w:val="26"/>
          <w:szCs w:val="26"/>
        </w:rPr>
        <w:t xml:space="preserve">69.267 (adopted in 1992 and amended in 1999 and 2010) applies to Class A EDCs and NGDCs with gross </w:t>
      </w:r>
      <w:r w:rsidR="006C6967" w:rsidRPr="00C80D3A">
        <w:rPr>
          <w:rFonts w:ascii="Times New Roman" w:hAnsi="Times New Roman" w:cs="Times New Roman"/>
          <w:sz w:val="26"/>
          <w:szCs w:val="26"/>
        </w:rPr>
        <w:t xml:space="preserve">intrastate </w:t>
      </w:r>
      <w:r w:rsidRPr="00C80D3A">
        <w:rPr>
          <w:rFonts w:ascii="Times New Roman" w:hAnsi="Times New Roman" w:cs="Times New Roman"/>
          <w:sz w:val="26"/>
          <w:szCs w:val="26"/>
        </w:rPr>
        <w:t xml:space="preserve">annual operating revenue in excess of $40 million.  It provides guidance on affordable payments and arrearages and establishes a process for utilities to work with </w:t>
      </w:r>
      <w:r w:rsidR="00C31657" w:rsidRPr="00C80D3A">
        <w:rPr>
          <w:rFonts w:ascii="Times New Roman" w:hAnsi="Times New Roman" w:cs="Times New Roman"/>
          <w:sz w:val="26"/>
          <w:szCs w:val="26"/>
        </w:rPr>
        <w:t>the Commission</w:t>
      </w:r>
      <w:r w:rsidR="001529C6">
        <w:rPr>
          <w:rFonts w:ascii="Times New Roman" w:hAnsi="Times New Roman" w:cs="Times New Roman"/>
          <w:sz w:val="26"/>
          <w:szCs w:val="26"/>
        </w:rPr>
        <w:t>’</w:t>
      </w:r>
      <w:r w:rsidR="00C31657" w:rsidRPr="00C80D3A">
        <w:rPr>
          <w:rFonts w:ascii="Times New Roman" w:hAnsi="Times New Roman" w:cs="Times New Roman"/>
          <w:sz w:val="26"/>
          <w:szCs w:val="26"/>
        </w:rPr>
        <w:t>s Bureau of Consumer Services (</w:t>
      </w:r>
      <w:r w:rsidRPr="00C80D3A">
        <w:rPr>
          <w:rFonts w:ascii="Times New Roman" w:hAnsi="Times New Roman" w:cs="Times New Roman"/>
          <w:sz w:val="26"/>
          <w:szCs w:val="26"/>
        </w:rPr>
        <w:t>BCS</w:t>
      </w:r>
      <w:r w:rsidR="00C31657" w:rsidRPr="00C80D3A">
        <w:rPr>
          <w:rFonts w:ascii="Times New Roman" w:hAnsi="Times New Roman" w:cs="Times New Roman"/>
          <w:sz w:val="26"/>
          <w:szCs w:val="26"/>
        </w:rPr>
        <w:t>)</w:t>
      </w:r>
      <w:r w:rsidRPr="00C80D3A">
        <w:rPr>
          <w:rFonts w:ascii="Times New Roman" w:hAnsi="Times New Roman" w:cs="Times New Roman"/>
          <w:sz w:val="26"/>
          <w:szCs w:val="26"/>
        </w:rPr>
        <w:t xml:space="preserve"> to develop CAPs.  The Commission balances the interests of customers who benefit from CAPs with the interests of the other residential customers who pay for such programs.  </w:t>
      </w:r>
      <w:r w:rsidRPr="00C80D3A">
        <w:rPr>
          <w:rFonts w:ascii="Times New Roman" w:hAnsi="Times New Roman" w:cs="Times New Roman"/>
          <w:i/>
          <w:sz w:val="26"/>
          <w:szCs w:val="26"/>
        </w:rPr>
        <w:t>See</w:t>
      </w:r>
      <w:r w:rsidRPr="00C80D3A">
        <w:rPr>
          <w:rFonts w:ascii="Times New Roman" w:hAnsi="Times New Roman" w:cs="Times New Roman"/>
          <w:sz w:val="26"/>
          <w:szCs w:val="26"/>
        </w:rPr>
        <w:t xml:space="preserve"> </w:t>
      </w:r>
      <w:r w:rsidRPr="00C80D3A">
        <w:rPr>
          <w:rFonts w:ascii="Times New Roman" w:hAnsi="Times New Roman" w:cs="Times New Roman"/>
          <w:i/>
          <w:sz w:val="26"/>
          <w:szCs w:val="26"/>
        </w:rPr>
        <w:t>Final Investigatory Order on CAPs: Funding Levels and Cost Recovery Mechanisms</w:t>
      </w:r>
      <w:r w:rsidRPr="00C80D3A">
        <w:rPr>
          <w:rFonts w:ascii="Times New Roman" w:hAnsi="Times New Roman" w:cs="Times New Roman"/>
          <w:sz w:val="26"/>
          <w:szCs w:val="26"/>
        </w:rPr>
        <w:t>, Docket No. M-00051923 (Dec. 18, 2006) (</w:t>
      </w:r>
      <w:r w:rsidRPr="00C80D3A">
        <w:rPr>
          <w:rFonts w:ascii="Times New Roman" w:hAnsi="Times New Roman" w:cs="Times New Roman"/>
          <w:i/>
          <w:sz w:val="26"/>
          <w:szCs w:val="26"/>
        </w:rPr>
        <w:t>Final CAP Investigatory Order</w:t>
      </w:r>
      <w:r w:rsidR="000154DE" w:rsidRPr="00C80D3A">
        <w:rPr>
          <w:rFonts w:ascii="Times New Roman" w:hAnsi="Times New Roman" w:cs="Times New Roman"/>
          <w:sz w:val="26"/>
          <w:szCs w:val="26"/>
        </w:rPr>
        <w:t>), at</w:t>
      </w:r>
      <w:r w:rsidRPr="00C80D3A">
        <w:rPr>
          <w:rFonts w:ascii="Times New Roman" w:hAnsi="Times New Roman" w:cs="Times New Roman"/>
          <w:sz w:val="26"/>
          <w:szCs w:val="26"/>
        </w:rPr>
        <w:t xml:space="preserve"> 6</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7.</w:t>
      </w:r>
      <w:r w:rsidRPr="00C80D3A">
        <w:rPr>
          <w:rFonts w:ascii="Times New Roman" w:hAnsi="Times New Roman" w:cs="Times New Roman"/>
          <w:color w:val="0D0D0D" w:themeColor="text1" w:themeTint="F2"/>
          <w:sz w:val="26"/>
          <w:szCs w:val="26"/>
        </w:rPr>
        <w:t xml:space="preserve">  </w:t>
      </w:r>
    </w:p>
    <w:p w14:paraId="4E9B8368" w14:textId="77777777" w:rsidR="00506216" w:rsidRPr="00C80D3A" w:rsidRDefault="00506216" w:rsidP="00315DBC">
      <w:pPr>
        <w:tabs>
          <w:tab w:val="left" w:pos="720"/>
        </w:tabs>
        <w:spacing w:after="0" w:line="360" w:lineRule="auto"/>
        <w:ind w:firstLine="720"/>
        <w:contextualSpacing/>
        <w:rPr>
          <w:rFonts w:ascii="Times New Roman" w:hAnsi="Times New Roman" w:cs="Times New Roman"/>
          <w:sz w:val="26"/>
          <w:szCs w:val="26"/>
        </w:rPr>
      </w:pPr>
    </w:p>
    <w:p w14:paraId="4159154C" w14:textId="77777777" w:rsidR="00506216" w:rsidRPr="00C80D3A" w:rsidRDefault="00506216" w:rsidP="002B60AF">
      <w:pPr>
        <w:keepNext/>
        <w:tabs>
          <w:tab w:val="left" w:pos="720"/>
        </w:tabs>
        <w:spacing w:after="0" w:line="240" w:lineRule="auto"/>
        <w:contextualSpacing/>
        <w:rPr>
          <w:rFonts w:ascii="Times New Roman" w:hAnsi="Times New Roman" w:cs="Times New Roman"/>
          <w:i/>
          <w:color w:val="0D0D0D" w:themeColor="text1" w:themeTint="F2"/>
          <w:sz w:val="26"/>
          <w:szCs w:val="26"/>
        </w:rPr>
      </w:pPr>
      <w:r w:rsidRPr="00C80D3A">
        <w:rPr>
          <w:rFonts w:ascii="Times New Roman" w:hAnsi="Times New Roman" w:cs="Times New Roman"/>
          <w:i/>
          <w:color w:val="0D0D0D" w:themeColor="text1" w:themeTint="F2"/>
          <w:sz w:val="26"/>
          <w:szCs w:val="26"/>
        </w:rPr>
        <w:t>Competition Acts</w:t>
      </w:r>
    </w:p>
    <w:p w14:paraId="1192DE9A" w14:textId="77777777" w:rsidR="00506216" w:rsidRPr="00C80D3A" w:rsidRDefault="00506216" w:rsidP="002B60AF">
      <w:pPr>
        <w:pStyle w:val="ListParagraph"/>
        <w:keepNext/>
        <w:tabs>
          <w:tab w:val="left" w:pos="270"/>
        </w:tabs>
        <w:ind w:left="0"/>
        <w:rPr>
          <w:color w:val="0D0D0D" w:themeColor="text1" w:themeTint="F2"/>
          <w:sz w:val="26"/>
          <w:szCs w:val="26"/>
        </w:rPr>
      </w:pPr>
    </w:p>
    <w:p w14:paraId="4A727331" w14:textId="4B951695" w:rsidR="00506216" w:rsidRPr="00C80D3A" w:rsidRDefault="00506216" w:rsidP="00315DBC">
      <w:pPr>
        <w:pStyle w:val="ListParagraph"/>
        <w:tabs>
          <w:tab w:val="left" w:pos="720"/>
        </w:tabs>
        <w:spacing w:line="360" w:lineRule="auto"/>
        <w:ind w:left="0"/>
        <w:rPr>
          <w:sz w:val="26"/>
          <w:szCs w:val="26"/>
        </w:rPr>
      </w:pPr>
      <w:r w:rsidRPr="00C80D3A">
        <w:rPr>
          <w:color w:val="0D0D0D" w:themeColor="text1" w:themeTint="F2"/>
          <w:sz w:val="26"/>
          <w:szCs w:val="26"/>
        </w:rPr>
        <w:tab/>
      </w:r>
      <w:r w:rsidRPr="00C80D3A">
        <w:rPr>
          <w:sz w:val="26"/>
          <w:szCs w:val="26"/>
        </w:rPr>
        <w:t xml:space="preserve">The universal service provisions </w:t>
      </w:r>
      <w:r w:rsidR="002672F4" w:rsidRPr="00C80D3A">
        <w:rPr>
          <w:sz w:val="26"/>
          <w:szCs w:val="26"/>
        </w:rPr>
        <w:t xml:space="preserve">in the Competition Acts </w:t>
      </w:r>
      <w:r w:rsidRPr="00C80D3A">
        <w:rPr>
          <w:sz w:val="26"/>
          <w:szCs w:val="26"/>
        </w:rPr>
        <w:t>tie the affordability of electric service to a customer</w:t>
      </w:r>
      <w:r w:rsidR="001529C6">
        <w:rPr>
          <w:sz w:val="26"/>
          <w:szCs w:val="26"/>
        </w:rPr>
        <w:t>’</w:t>
      </w:r>
      <w:r w:rsidRPr="00C80D3A">
        <w:rPr>
          <w:sz w:val="26"/>
          <w:szCs w:val="26"/>
        </w:rPr>
        <w:t>s ability to maintain utility service.  The Competition Acts require the Commonwealth to continue, at a minimum, the policies, practices, and services that were in existence to assist low-income customers in affording utility service, as of the effective dates of the respective Competition Acts.  66 Pa. C.S. § 2802(10) for electric and § 2203(7) for natural gas.  Universal service programs</w:t>
      </w:r>
      <w:r w:rsidR="00C80F3E" w:rsidRPr="00C80D3A">
        <w:rPr>
          <w:sz w:val="26"/>
          <w:szCs w:val="26"/>
        </w:rPr>
        <w:t>, including CAPs,</w:t>
      </w:r>
      <w:r w:rsidRPr="00C80D3A">
        <w:rPr>
          <w:sz w:val="26"/>
          <w:szCs w:val="26"/>
        </w:rPr>
        <w:t xml:space="preserve"> are subject to the administrative oversight of the Commission, which must ensure that the utilities run the programs in a cost-effective manner and that services are appropriately funded and available in each utility distribution territory.  66 Pa. C.S. § 2804(9) for electric and § 2203(8) for natural gas.</w:t>
      </w:r>
    </w:p>
    <w:p w14:paraId="23B9EFF3" w14:textId="77777777" w:rsidR="00506216" w:rsidRPr="00C80D3A" w:rsidRDefault="00506216" w:rsidP="00315DBC">
      <w:pPr>
        <w:pStyle w:val="ListParagraph"/>
        <w:tabs>
          <w:tab w:val="left" w:pos="270"/>
        </w:tabs>
        <w:spacing w:line="360" w:lineRule="auto"/>
        <w:ind w:left="0"/>
        <w:rPr>
          <w:sz w:val="26"/>
          <w:szCs w:val="26"/>
        </w:rPr>
      </w:pPr>
    </w:p>
    <w:p w14:paraId="2F370C41" w14:textId="627591FD" w:rsidR="00506216" w:rsidRPr="00C80D3A" w:rsidRDefault="00506216" w:rsidP="002B60AF">
      <w:pPr>
        <w:keepNext/>
        <w:tabs>
          <w:tab w:val="left" w:pos="720"/>
          <w:tab w:val="left" w:pos="990"/>
        </w:tabs>
        <w:spacing w:after="0" w:line="240" w:lineRule="auto"/>
        <w:contextualSpacing/>
        <w:rPr>
          <w:rFonts w:ascii="Times New Roman" w:hAnsi="Times New Roman" w:cs="Times New Roman"/>
          <w:i/>
          <w:color w:val="0D0D0D" w:themeColor="text1" w:themeTint="F2"/>
          <w:sz w:val="26"/>
          <w:szCs w:val="26"/>
        </w:rPr>
      </w:pPr>
      <w:r w:rsidRPr="00C80D3A">
        <w:rPr>
          <w:rFonts w:ascii="Times New Roman" w:hAnsi="Times New Roman" w:cs="Times New Roman"/>
          <w:i/>
          <w:color w:val="0D0D0D" w:themeColor="text1" w:themeTint="F2"/>
          <w:sz w:val="26"/>
          <w:szCs w:val="26"/>
        </w:rPr>
        <w:t>Universal Service Reporting Requirements</w:t>
      </w:r>
    </w:p>
    <w:p w14:paraId="6DDDDE52" w14:textId="77777777" w:rsidR="00506216" w:rsidRPr="00C80D3A" w:rsidRDefault="00506216" w:rsidP="002B60AF">
      <w:pPr>
        <w:keepNext/>
        <w:tabs>
          <w:tab w:val="left" w:pos="720"/>
          <w:tab w:val="left" w:pos="990"/>
        </w:tabs>
        <w:spacing w:after="0" w:line="240" w:lineRule="auto"/>
        <w:contextualSpacing/>
        <w:rPr>
          <w:rFonts w:ascii="Times New Roman" w:hAnsi="Times New Roman" w:cs="Times New Roman"/>
          <w:i/>
          <w:color w:val="0D0D0D" w:themeColor="text1" w:themeTint="F2"/>
          <w:sz w:val="26"/>
          <w:szCs w:val="26"/>
        </w:rPr>
      </w:pPr>
    </w:p>
    <w:p w14:paraId="73A6DF48" w14:textId="6360A6A6" w:rsidR="00506216" w:rsidRPr="00C80D3A" w:rsidRDefault="00506216" w:rsidP="00315DBC">
      <w:pPr>
        <w:pStyle w:val="ListParagraph"/>
        <w:tabs>
          <w:tab w:val="left" w:pos="720"/>
        </w:tabs>
        <w:spacing w:line="360" w:lineRule="auto"/>
        <w:ind w:left="0"/>
        <w:rPr>
          <w:sz w:val="26"/>
          <w:szCs w:val="26"/>
        </w:rPr>
      </w:pPr>
      <w:r w:rsidRPr="00C80D3A">
        <w:rPr>
          <w:color w:val="0D0D0D" w:themeColor="text1" w:themeTint="F2"/>
          <w:sz w:val="26"/>
          <w:szCs w:val="26"/>
        </w:rPr>
        <w:tab/>
      </w:r>
      <w:r w:rsidR="0069040F" w:rsidRPr="00C80D3A">
        <w:rPr>
          <w:sz w:val="26"/>
          <w:szCs w:val="26"/>
        </w:rPr>
        <w:t xml:space="preserve">The utilities </w:t>
      </w:r>
      <w:r w:rsidR="00463A9C" w:rsidRPr="00C80D3A">
        <w:rPr>
          <w:sz w:val="26"/>
          <w:szCs w:val="26"/>
        </w:rPr>
        <w:t xml:space="preserve">have reporting obligations relative to their </w:t>
      </w:r>
      <w:r w:rsidR="0069040F" w:rsidRPr="00C80D3A">
        <w:rPr>
          <w:sz w:val="26"/>
          <w:szCs w:val="26"/>
        </w:rPr>
        <w:t xml:space="preserve">CAP, LIURP, CARES, and hardship fund programs in their universal service portfolios.  </w:t>
      </w:r>
      <w:r w:rsidRPr="00C80D3A">
        <w:rPr>
          <w:color w:val="0D0D0D" w:themeColor="text1" w:themeTint="F2"/>
          <w:sz w:val="26"/>
          <w:szCs w:val="26"/>
        </w:rPr>
        <w:t>The Commission</w:t>
      </w:r>
      <w:r w:rsidR="001529C6">
        <w:rPr>
          <w:color w:val="0D0D0D" w:themeColor="text1" w:themeTint="F2"/>
          <w:sz w:val="26"/>
          <w:szCs w:val="26"/>
        </w:rPr>
        <w:t>’</w:t>
      </w:r>
      <w:r w:rsidRPr="00C80D3A">
        <w:rPr>
          <w:color w:val="0D0D0D" w:themeColor="text1" w:themeTint="F2"/>
          <w:sz w:val="26"/>
          <w:szCs w:val="26"/>
        </w:rPr>
        <w:t>s Universal Service and Energy Conservation Reporting Requirements (Universal Service Reporting Requirements or USRR) for electric utilities at 52 Pa. Code §§ 54.71</w:t>
      </w:r>
      <w:r w:rsidR="004E2E90" w:rsidRPr="00C80D3A">
        <w:rPr>
          <w:color w:val="0D0D0D" w:themeColor="text1" w:themeTint="F2"/>
          <w:sz w:val="26"/>
          <w:szCs w:val="26"/>
        </w:rPr>
        <w:t>–</w:t>
      </w:r>
      <w:r w:rsidRPr="00C80D3A">
        <w:rPr>
          <w:color w:val="0D0D0D" w:themeColor="text1" w:themeTint="F2"/>
          <w:sz w:val="26"/>
          <w:szCs w:val="26"/>
        </w:rPr>
        <w:t xml:space="preserve">54.78 (1998) require each EDC serving more than 60,000 residential accounts to submit an updated USECP every three years to the Commission for approval.  </w:t>
      </w:r>
      <w:r w:rsidRPr="00C80D3A">
        <w:rPr>
          <w:sz w:val="26"/>
          <w:szCs w:val="26"/>
        </w:rPr>
        <w:t>52 Pa. Code § 54.77.  Similarly, t</w:t>
      </w:r>
      <w:r w:rsidRPr="00C80D3A">
        <w:rPr>
          <w:color w:val="0D0D0D" w:themeColor="text1" w:themeTint="F2"/>
          <w:sz w:val="26"/>
          <w:szCs w:val="26"/>
        </w:rPr>
        <w:t>he Commission</w:t>
      </w:r>
      <w:r w:rsidR="001529C6">
        <w:rPr>
          <w:color w:val="0D0D0D" w:themeColor="text1" w:themeTint="F2"/>
          <w:sz w:val="26"/>
          <w:szCs w:val="26"/>
        </w:rPr>
        <w:t>’</w:t>
      </w:r>
      <w:r w:rsidRPr="00C80D3A">
        <w:rPr>
          <w:color w:val="0D0D0D" w:themeColor="text1" w:themeTint="F2"/>
          <w:sz w:val="26"/>
          <w:szCs w:val="26"/>
        </w:rPr>
        <w:t>s USRR for natural gas utilities at 52 Pa. Code §§ 62.1</w:t>
      </w:r>
      <w:r w:rsidR="004E2E90" w:rsidRPr="00C80D3A">
        <w:rPr>
          <w:color w:val="0D0D0D" w:themeColor="text1" w:themeTint="F2"/>
          <w:sz w:val="26"/>
          <w:szCs w:val="26"/>
        </w:rPr>
        <w:t>–</w:t>
      </w:r>
      <w:r w:rsidRPr="00C80D3A">
        <w:rPr>
          <w:color w:val="0D0D0D" w:themeColor="text1" w:themeTint="F2"/>
          <w:sz w:val="26"/>
          <w:szCs w:val="26"/>
        </w:rPr>
        <w:t>62.8 (2000) require each NGDC</w:t>
      </w:r>
      <w:r w:rsidRPr="00C80D3A">
        <w:rPr>
          <w:rStyle w:val="FootnoteReference"/>
          <w:color w:val="0D0D0D" w:themeColor="text1" w:themeTint="F2"/>
          <w:sz w:val="26"/>
          <w:szCs w:val="26"/>
        </w:rPr>
        <w:footnoteReference w:id="18"/>
      </w:r>
      <w:r w:rsidRPr="00C80D3A">
        <w:rPr>
          <w:color w:val="0D0D0D" w:themeColor="text1" w:themeTint="F2"/>
          <w:sz w:val="26"/>
          <w:szCs w:val="26"/>
        </w:rPr>
        <w:t xml:space="preserve"> serving more than 100,000 residential accounts also to submit an updated USECP every three years to the Commission for approval.  </w:t>
      </w:r>
      <w:r w:rsidRPr="00C80D3A">
        <w:rPr>
          <w:sz w:val="26"/>
          <w:szCs w:val="26"/>
        </w:rPr>
        <w:t>52 Pa.</w:t>
      </w:r>
      <w:r w:rsidR="004E2E90" w:rsidRPr="00C80D3A">
        <w:rPr>
          <w:sz w:val="26"/>
          <w:szCs w:val="26"/>
        </w:rPr>
        <w:t> </w:t>
      </w:r>
      <w:r w:rsidRPr="00C80D3A">
        <w:rPr>
          <w:sz w:val="26"/>
          <w:szCs w:val="26"/>
        </w:rPr>
        <w:t>Code § 62.7.  The Commission has delegated responsibility to BCS for monitoring and evaluating the utilities</w:t>
      </w:r>
      <w:r w:rsidR="001529C6">
        <w:rPr>
          <w:sz w:val="26"/>
          <w:szCs w:val="26"/>
        </w:rPr>
        <w:t>’</w:t>
      </w:r>
      <w:r w:rsidRPr="00C80D3A">
        <w:rPr>
          <w:sz w:val="26"/>
          <w:szCs w:val="26"/>
        </w:rPr>
        <w:t xml:space="preserve"> universal service programs as part of the Commission</w:t>
      </w:r>
      <w:r w:rsidR="001529C6">
        <w:rPr>
          <w:sz w:val="26"/>
          <w:szCs w:val="26"/>
        </w:rPr>
        <w:t>’</w:t>
      </w:r>
      <w:r w:rsidRPr="00C80D3A">
        <w:rPr>
          <w:sz w:val="26"/>
          <w:szCs w:val="26"/>
        </w:rPr>
        <w:t>s USECP approval process.</w:t>
      </w:r>
    </w:p>
    <w:p w14:paraId="63D0B1C8" w14:textId="77777777" w:rsidR="00506216" w:rsidRPr="00C80D3A" w:rsidRDefault="00506216" w:rsidP="00315DBC">
      <w:pPr>
        <w:pStyle w:val="ListParagraph"/>
        <w:tabs>
          <w:tab w:val="left" w:pos="270"/>
        </w:tabs>
        <w:spacing w:line="360" w:lineRule="auto"/>
        <w:ind w:left="0"/>
        <w:rPr>
          <w:sz w:val="26"/>
          <w:szCs w:val="26"/>
        </w:rPr>
      </w:pPr>
    </w:p>
    <w:p w14:paraId="4719BD79" w14:textId="77777777" w:rsidR="00506216" w:rsidRPr="00C80D3A" w:rsidRDefault="00506216" w:rsidP="00775EA3">
      <w:pPr>
        <w:pStyle w:val="ListParagraph"/>
        <w:keepNext/>
        <w:tabs>
          <w:tab w:val="left" w:pos="270"/>
        </w:tabs>
        <w:ind w:left="0"/>
        <w:rPr>
          <w:i/>
          <w:iCs/>
          <w:sz w:val="26"/>
          <w:szCs w:val="26"/>
        </w:rPr>
      </w:pPr>
      <w:r w:rsidRPr="00C80D3A">
        <w:rPr>
          <w:i/>
          <w:sz w:val="26"/>
          <w:szCs w:val="26"/>
        </w:rPr>
        <w:t>Energy Affordability for Low-Income Customers, Docket No. M-2017-2587711</w:t>
      </w:r>
      <w:r w:rsidRPr="00C80D3A">
        <w:rPr>
          <w:i/>
          <w:iCs/>
          <w:sz w:val="26"/>
          <w:szCs w:val="26"/>
        </w:rPr>
        <w:t xml:space="preserve"> </w:t>
      </w:r>
    </w:p>
    <w:p w14:paraId="4186B0B6" w14:textId="77777777" w:rsidR="00506216" w:rsidRPr="00C80D3A" w:rsidRDefault="00506216" w:rsidP="00775EA3">
      <w:pPr>
        <w:pStyle w:val="ListParagraph"/>
        <w:keepNext/>
        <w:tabs>
          <w:tab w:val="left" w:pos="270"/>
        </w:tabs>
        <w:ind w:left="0"/>
        <w:rPr>
          <w:sz w:val="26"/>
          <w:szCs w:val="26"/>
        </w:rPr>
      </w:pPr>
    </w:p>
    <w:p w14:paraId="67360337" w14:textId="4E6B72C0" w:rsidR="00506216" w:rsidRPr="00C80D3A" w:rsidRDefault="00506216" w:rsidP="00315DBC">
      <w:pPr>
        <w:tabs>
          <w:tab w:val="left" w:pos="720"/>
        </w:tabs>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3A4801" w:rsidRPr="00C80D3A">
        <w:rPr>
          <w:rFonts w:ascii="Times New Roman" w:hAnsi="Times New Roman" w:cs="Times New Roman"/>
          <w:sz w:val="26"/>
          <w:szCs w:val="26"/>
        </w:rPr>
        <w:t xml:space="preserve">Energy burdens are addressed in the CAP Policy Statement.  </w:t>
      </w:r>
      <w:r w:rsidRPr="00C80D3A">
        <w:rPr>
          <w:rFonts w:ascii="Times New Roman" w:hAnsi="Times New Roman" w:cs="Times New Roman"/>
          <w:sz w:val="26"/>
          <w:szCs w:val="26"/>
        </w:rPr>
        <w:t xml:space="preserve">On May 5, 2017, the Commission entered an </w:t>
      </w:r>
      <w:r w:rsidR="003C0BBA" w:rsidRPr="00C80D3A">
        <w:rPr>
          <w:rFonts w:ascii="Times New Roman" w:hAnsi="Times New Roman" w:cs="Times New Roman"/>
          <w:sz w:val="26"/>
          <w:szCs w:val="26"/>
        </w:rPr>
        <w:t>o</w:t>
      </w:r>
      <w:r w:rsidRPr="00C80D3A">
        <w:rPr>
          <w:rFonts w:ascii="Times New Roman" w:hAnsi="Times New Roman" w:cs="Times New Roman"/>
          <w:sz w:val="26"/>
          <w:szCs w:val="26"/>
        </w:rPr>
        <w:t>rder initiating a study to evaluate residential energy burdens for electric and natural gas service in Pennsylvania and to determine what may constitute an affordable energy burden for Pennsylvania</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low-income households (referred to herein as the </w:t>
      </w:r>
      <w:r w:rsidRPr="00C80D3A">
        <w:rPr>
          <w:rFonts w:ascii="Times New Roman" w:hAnsi="Times New Roman" w:cs="Times New Roman"/>
          <w:i/>
          <w:iCs/>
          <w:sz w:val="26"/>
          <w:szCs w:val="26"/>
        </w:rPr>
        <w:t>Energy Affordability</w:t>
      </w:r>
      <w:r w:rsidRPr="00C80D3A">
        <w:rPr>
          <w:rFonts w:ascii="Times New Roman" w:hAnsi="Times New Roman" w:cs="Times New Roman"/>
          <w:sz w:val="26"/>
          <w:szCs w:val="26"/>
        </w:rPr>
        <w:t xml:space="preserve"> proceeding).</w:t>
      </w:r>
      <w:r w:rsidR="00A77100" w:rsidRPr="00C80D3A">
        <w:rPr>
          <w:rStyle w:val="FootnoteReference"/>
          <w:rFonts w:ascii="Times New Roman" w:hAnsi="Times New Roman" w:cs="Times New Roman"/>
          <w:sz w:val="26"/>
          <w:szCs w:val="26"/>
        </w:rPr>
        <w:footnoteReference w:id="19"/>
      </w:r>
    </w:p>
    <w:p w14:paraId="1E2651AA" w14:textId="77777777" w:rsidR="00506216" w:rsidRPr="00C80D3A" w:rsidRDefault="00506216" w:rsidP="00315DBC">
      <w:pPr>
        <w:tabs>
          <w:tab w:val="left" w:pos="720"/>
          <w:tab w:val="left" w:pos="990"/>
        </w:tabs>
        <w:spacing w:after="0" w:line="360" w:lineRule="auto"/>
        <w:contextualSpacing/>
        <w:rPr>
          <w:rFonts w:ascii="Times New Roman" w:hAnsi="Times New Roman" w:cs="Times New Roman"/>
          <w:sz w:val="26"/>
          <w:szCs w:val="26"/>
        </w:rPr>
      </w:pPr>
    </w:p>
    <w:p w14:paraId="3F17A3D3" w14:textId="77777777" w:rsidR="00506216" w:rsidRPr="00C80D3A" w:rsidRDefault="00506216" w:rsidP="00315DBC">
      <w:pPr>
        <w:tabs>
          <w:tab w:val="left" w:pos="720"/>
          <w:tab w:val="left" w:pos="990"/>
        </w:tabs>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By Secretarial Letter dated October 16, 2017, the Commission notified the major jurisdictional energy distribution companies of its intent to conduct an energy affordability study and requested specific information from the eight major NGDCs and seven major EDCs for the years 2012-2016.  The EDCs and NGDCs that reported data to the Commission include the following:  </w:t>
      </w:r>
      <w:bookmarkStart w:id="4" w:name="_Hlk525308493"/>
    </w:p>
    <w:bookmarkEnd w:id="4"/>
    <w:p w14:paraId="08F4B0EB" w14:textId="77777777" w:rsidR="00506216" w:rsidRPr="00C80D3A" w:rsidRDefault="00506216" w:rsidP="00450A69">
      <w:pPr>
        <w:tabs>
          <w:tab w:val="left" w:pos="720"/>
          <w:tab w:val="left" w:pos="990"/>
        </w:tabs>
        <w:spacing w:after="0" w:line="240" w:lineRule="auto"/>
        <w:contextualSpacing/>
        <w:rPr>
          <w:rFonts w:ascii="Times New Roman" w:hAnsi="Times New Roman" w:cs="Times New Roman"/>
          <w:sz w:val="26"/>
          <w:szCs w:val="26"/>
        </w:rPr>
      </w:pPr>
    </w:p>
    <w:p w14:paraId="2E33E3FD" w14:textId="77777777" w:rsidR="00506216" w:rsidRPr="00C80D3A" w:rsidRDefault="00506216" w:rsidP="00315DBC">
      <w:pPr>
        <w:tabs>
          <w:tab w:val="left" w:pos="720"/>
          <w:tab w:val="left" w:pos="990"/>
        </w:tabs>
        <w:spacing w:after="0" w:line="360" w:lineRule="auto"/>
        <w:ind w:left="720" w:hanging="720"/>
        <w:contextualSpacing/>
        <w:rPr>
          <w:rFonts w:ascii="Times New Roman" w:hAnsi="Times New Roman" w:cs="Times New Roman"/>
          <w:sz w:val="26"/>
          <w:szCs w:val="26"/>
          <w:u w:val="single"/>
        </w:rPr>
      </w:pPr>
      <w:r w:rsidRPr="00C80D3A">
        <w:rPr>
          <w:rFonts w:ascii="Times New Roman" w:hAnsi="Times New Roman" w:cs="Times New Roman"/>
          <w:b/>
          <w:bCs/>
          <w:sz w:val="26"/>
          <w:szCs w:val="26"/>
        </w:rPr>
        <w:tab/>
      </w:r>
      <w:r w:rsidRPr="00C80D3A">
        <w:rPr>
          <w:rFonts w:ascii="Times New Roman" w:hAnsi="Times New Roman" w:cs="Times New Roman"/>
          <w:b/>
          <w:bCs/>
          <w:sz w:val="26"/>
          <w:szCs w:val="26"/>
          <w:u w:val="single"/>
        </w:rPr>
        <w:t>EDCs</w:t>
      </w:r>
      <w:r w:rsidRPr="00C80D3A">
        <w:rPr>
          <w:rFonts w:ascii="Times New Roman" w:hAnsi="Times New Roman" w:cs="Times New Roman"/>
          <w:sz w:val="26"/>
          <w:szCs w:val="26"/>
        </w:rPr>
        <w:t>: Duquesne Light Co. (Duquesne), Metropolitan Edison Co. (Met-Ed), PECO Energy Co. (PECO Electric), Pennsylvania Electric Co. (Penelec), Pennsylvania Power Co. (Penn Power), PPL Electric Utilities Corp. (PPL), and West Penn Power Co. (WPP).</w:t>
      </w:r>
      <w:r w:rsidRPr="00C80D3A">
        <w:rPr>
          <w:rStyle w:val="FootnoteReference"/>
          <w:rFonts w:ascii="Times New Roman" w:hAnsi="Times New Roman" w:cs="Times New Roman"/>
          <w:sz w:val="26"/>
          <w:szCs w:val="26"/>
        </w:rPr>
        <w:footnoteReference w:id="20"/>
      </w:r>
    </w:p>
    <w:p w14:paraId="17BE38BB" w14:textId="77777777" w:rsidR="00506216" w:rsidRPr="00C80D3A" w:rsidRDefault="00506216" w:rsidP="00775EA3">
      <w:pPr>
        <w:tabs>
          <w:tab w:val="left" w:pos="720"/>
          <w:tab w:val="left" w:pos="990"/>
        </w:tabs>
        <w:spacing w:after="0" w:line="240" w:lineRule="auto"/>
        <w:contextualSpacing/>
        <w:rPr>
          <w:rFonts w:ascii="Times New Roman" w:hAnsi="Times New Roman" w:cs="Times New Roman"/>
          <w:sz w:val="26"/>
          <w:szCs w:val="26"/>
          <w:u w:val="single"/>
        </w:rPr>
      </w:pPr>
    </w:p>
    <w:p w14:paraId="77930CE9" w14:textId="77777777" w:rsidR="00506216" w:rsidRPr="00C80D3A" w:rsidRDefault="00506216" w:rsidP="00315DBC">
      <w:pPr>
        <w:tabs>
          <w:tab w:val="left" w:pos="720"/>
          <w:tab w:val="left" w:pos="990"/>
        </w:tabs>
        <w:spacing w:after="0" w:line="360" w:lineRule="auto"/>
        <w:ind w:left="720" w:hanging="720"/>
        <w:contextualSpacing/>
        <w:rPr>
          <w:rFonts w:ascii="Times New Roman" w:hAnsi="Times New Roman" w:cs="Times New Roman"/>
          <w:sz w:val="26"/>
          <w:szCs w:val="26"/>
        </w:rPr>
      </w:pPr>
      <w:r w:rsidRPr="00C80D3A">
        <w:rPr>
          <w:rFonts w:ascii="Times New Roman" w:hAnsi="Times New Roman" w:cs="Times New Roman"/>
          <w:b/>
          <w:bCs/>
          <w:sz w:val="26"/>
          <w:szCs w:val="26"/>
        </w:rPr>
        <w:tab/>
      </w:r>
      <w:r w:rsidRPr="00C80D3A">
        <w:rPr>
          <w:rFonts w:ascii="Times New Roman" w:hAnsi="Times New Roman" w:cs="Times New Roman"/>
          <w:b/>
          <w:bCs/>
          <w:sz w:val="26"/>
          <w:szCs w:val="26"/>
          <w:u w:val="single"/>
        </w:rPr>
        <w:t>NGDCs</w:t>
      </w:r>
      <w:r w:rsidRPr="00C80D3A">
        <w:rPr>
          <w:rFonts w:ascii="Times New Roman" w:hAnsi="Times New Roman" w:cs="Times New Roman"/>
          <w:sz w:val="26"/>
          <w:szCs w:val="26"/>
        </w:rPr>
        <w:t>: Columbia Gas of Pennsylvania (Columbia), PECO Energy Co. (PECO Gas), National Fuel Gas Distribution Corp. (NFG), Peoples Natural Gas Co. (Peoples), Peoples-Equitable Division (Peoples Equitable), Philadelphia Gas Works (PGW), UGI Utilities Inc.– Gas (nka UGI South) and UGI Penn Natural Gas (nka UGI North).</w:t>
      </w:r>
      <w:r w:rsidRPr="00C80D3A">
        <w:rPr>
          <w:rStyle w:val="FootnoteReference"/>
          <w:rFonts w:ascii="Times New Roman" w:hAnsi="Times New Roman" w:cs="Times New Roman"/>
          <w:sz w:val="26"/>
          <w:szCs w:val="26"/>
        </w:rPr>
        <w:footnoteReference w:id="21"/>
      </w:r>
      <w:r w:rsidRPr="00C80D3A">
        <w:rPr>
          <w:rFonts w:ascii="Times New Roman" w:hAnsi="Times New Roman" w:cs="Times New Roman"/>
          <w:sz w:val="26"/>
          <w:szCs w:val="26"/>
        </w:rPr>
        <w:t xml:space="preserve">  </w:t>
      </w:r>
    </w:p>
    <w:p w14:paraId="5F634293" w14:textId="77777777" w:rsidR="00506216" w:rsidRPr="00C80D3A" w:rsidRDefault="00506216" w:rsidP="00315DBC">
      <w:pPr>
        <w:tabs>
          <w:tab w:val="left" w:pos="720"/>
          <w:tab w:val="left" w:pos="990"/>
        </w:tabs>
        <w:spacing w:after="0" w:line="360" w:lineRule="auto"/>
        <w:contextualSpacing/>
        <w:rPr>
          <w:rFonts w:ascii="Times New Roman" w:hAnsi="Times New Roman" w:cs="Times New Roman"/>
          <w:sz w:val="26"/>
          <w:szCs w:val="26"/>
        </w:rPr>
      </w:pPr>
    </w:p>
    <w:p w14:paraId="7DFDEC06" w14:textId="3BDEC093" w:rsidR="00506216" w:rsidRPr="00C80D3A" w:rsidRDefault="00506216" w:rsidP="00315DBC">
      <w:pPr>
        <w:pStyle w:val="ListParagraph"/>
        <w:tabs>
          <w:tab w:val="left" w:pos="720"/>
        </w:tabs>
        <w:spacing w:line="360" w:lineRule="auto"/>
        <w:ind w:left="0"/>
        <w:rPr>
          <w:sz w:val="26"/>
          <w:szCs w:val="26"/>
        </w:rPr>
      </w:pPr>
      <w:r w:rsidRPr="00C80D3A">
        <w:rPr>
          <w:sz w:val="26"/>
          <w:szCs w:val="26"/>
        </w:rPr>
        <w:tab/>
      </w:r>
      <w:r w:rsidR="00870CDB" w:rsidRPr="00C80D3A">
        <w:rPr>
          <w:sz w:val="26"/>
          <w:szCs w:val="26"/>
        </w:rPr>
        <w:t>Commission staff analyzed and used t</w:t>
      </w:r>
      <w:r w:rsidRPr="00C80D3A">
        <w:rPr>
          <w:sz w:val="26"/>
          <w:szCs w:val="26"/>
        </w:rPr>
        <w:t>he data submitted by the NGDCs and the EDCs, in conjunction with U.S. census data and data provided pursuant to universal service and collections reporting (USR) requirements,</w:t>
      </w:r>
      <w:r w:rsidRPr="00C80D3A">
        <w:rPr>
          <w:rStyle w:val="FootnoteReference"/>
          <w:sz w:val="26"/>
          <w:szCs w:val="26"/>
        </w:rPr>
        <w:footnoteReference w:id="22"/>
      </w:r>
      <w:r w:rsidRPr="00C80D3A">
        <w:rPr>
          <w:sz w:val="26"/>
          <w:szCs w:val="26"/>
        </w:rPr>
        <w:t xml:space="preserve"> to develop the Energy Affordability Report.</w:t>
      </w:r>
    </w:p>
    <w:p w14:paraId="11548E3B" w14:textId="77777777" w:rsidR="00506216" w:rsidRPr="00C80D3A" w:rsidRDefault="00506216" w:rsidP="00315DBC">
      <w:pPr>
        <w:pStyle w:val="ListParagraph"/>
        <w:tabs>
          <w:tab w:val="left" w:pos="270"/>
        </w:tabs>
        <w:spacing w:line="360" w:lineRule="auto"/>
        <w:ind w:left="0"/>
        <w:rPr>
          <w:sz w:val="26"/>
          <w:szCs w:val="26"/>
        </w:rPr>
      </w:pPr>
    </w:p>
    <w:p w14:paraId="73E11E36" w14:textId="03AD3D97" w:rsidR="00F75A69" w:rsidRPr="00C80D3A" w:rsidRDefault="00506216" w:rsidP="00F75A69">
      <w:pPr>
        <w:pStyle w:val="ListParagraph"/>
        <w:tabs>
          <w:tab w:val="left" w:pos="720"/>
        </w:tabs>
        <w:spacing w:line="360" w:lineRule="auto"/>
        <w:ind w:left="0"/>
        <w:rPr>
          <w:sz w:val="26"/>
          <w:szCs w:val="26"/>
        </w:rPr>
      </w:pPr>
      <w:r w:rsidRPr="00C80D3A">
        <w:rPr>
          <w:sz w:val="26"/>
          <w:szCs w:val="26"/>
        </w:rPr>
        <w:tab/>
        <w:t xml:space="preserve">By </w:t>
      </w:r>
      <w:r w:rsidR="001477E0">
        <w:rPr>
          <w:sz w:val="26"/>
          <w:szCs w:val="26"/>
        </w:rPr>
        <w:t>O</w:t>
      </w:r>
      <w:r w:rsidRPr="00C80D3A">
        <w:rPr>
          <w:sz w:val="26"/>
          <w:szCs w:val="26"/>
        </w:rPr>
        <w:t xml:space="preserve">rder entered on January 17, 2019, (January 2019 Order), the Commission released </w:t>
      </w:r>
      <w:r w:rsidR="00CC3194" w:rsidRPr="00C80D3A">
        <w:rPr>
          <w:sz w:val="26"/>
          <w:szCs w:val="26"/>
        </w:rPr>
        <w:t xml:space="preserve">the </w:t>
      </w:r>
      <w:r w:rsidRPr="00C80D3A">
        <w:rPr>
          <w:iCs/>
          <w:sz w:val="26"/>
          <w:szCs w:val="26"/>
        </w:rPr>
        <w:t>Energy Affordability Report</w:t>
      </w:r>
      <w:r w:rsidR="00CC3194" w:rsidRPr="00C80D3A">
        <w:rPr>
          <w:iCs/>
          <w:sz w:val="26"/>
          <w:szCs w:val="26"/>
        </w:rPr>
        <w:t xml:space="preserve">, </w:t>
      </w:r>
      <w:r w:rsidRPr="00C80D3A">
        <w:rPr>
          <w:sz w:val="26"/>
          <w:szCs w:val="26"/>
        </w:rPr>
        <w:t>requested additional supplemental information and data from the EDCs and NGDCs, and established a comment/reply comment period.  The January 2019 Order also scheduled a stakeholder meeting for February 6, 2019, to address questions and facilitate discussion about the Energy Affordability Report.  On March 7, 2019, the Commission issued a Secretarial Letter providing additional clarifications regarding the supplemental information requested from the utilities and establishing new deadlines for comments and reply comments.</w:t>
      </w:r>
      <w:r w:rsidR="00182E31" w:rsidRPr="00C80D3A">
        <w:rPr>
          <w:rStyle w:val="FootnoteReference"/>
          <w:sz w:val="26"/>
          <w:szCs w:val="26"/>
        </w:rPr>
        <w:footnoteReference w:id="23"/>
      </w:r>
      <w:r w:rsidRPr="00C80D3A">
        <w:rPr>
          <w:sz w:val="26"/>
          <w:szCs w:val="26"/>
        </w:rPr>
        <w:t xml:space="preserve">  </w:t>
      </w:r>
    </w:p>
    <w:p w14:paraId="5747B0F2" w14:textId="77777777" w:rsidR="00A61B82" w:rsidRPr="00C80D3A" w:rsidRDefault="00A61B82" w:rsidP="00315DBC">
      <w:pPr>
        <w:pStyle w:val="ListParagraph"/>
        <w:tabs>
          <w:tab w:val="left" w:pos="720"/>
        </w:tabs>
        <w:spacing w:line="360" w:lineRule="auto"/>
        <w:ind w:left="0"/>
        <w:rPr>
          <w:sz w:val="26"/>
          <w:szCs w:val="26"/>
        </w:rPr>
      </w:pPr>
    </w:p>
    <w:p w14:paraId="59D42467" w14:textId="6D7BD1EE" w:rsidR="0034168D" w:rsidRPr="00C80D3A" w:rsidRDefault="0034168D" w:rsidP="00775EA3">
      <w:pPr>
        <w:keepNext/>
        <w:spacing w:after="0" w:line="240" w:lineRule="auto"/>
        <w:contextualSpacing/>
        <w:rPr>
          <w:rFonts w:ascii="Times New Roman" w:hAnsi="Times New Roman" w:cs="Times New Roman"/>
          <w:sz w:val="26"/>
          <w:szCs w:val="26"/>
        </w:rPr>
      </w:pPr>
      <w:r w:rsidRPr="00C80D3A">
        <w:rPr>
          <w:rFonts w:ascii="Times New Roman" w:hAnsi="Times New Roman" w:cs="Times New Roman"/>
          <w:i/>
          <w:sz w:val="26"/>
          <w:szCs w:val="26"/>
        </w:rPr>
        <w:t>Review of Universal Service and Energy Conservation Programs, Docket No. M</w:t>
      </w:r>
      <w:r w:rsidR="00775EA3" w:rsidRPr="00C80D3A">
        <w:rPr>
          <w:rFonts w:ascii="Times New Roman" w:hAnsi="Times New Roman" w:cs="Times New Roman"/>
          <w:i/>
          <w:sz w:val="26"/>
          <w:szCs w:val="26"/>
        </w:rPr>
        <w:t>­</w:t>
      </w:r>
      <w:r w:rsidRPr="00C80D3A">
        <w:rPr>
          <w:rFonts w:ascii="Times New Roman" w:hAnsi="Times New Roman" w:cs="Times New Roman"/>
          <w:i/>
          <w:sz w:val="26"/>
          <w:szCs w:val="26"/>
        </w:rPr>
        <w:t>2017</w:t>
      </w:r>
      <w:r w:rsidR="00775EA3" w:rsidRPr="00C80D3A">
        <w:rPr>
          <w:rFonts w:ascii="Times New Roman" w:hAnsi="Times New Roman" w:cs="Times New Roman"/>
          <w:i/>
          <w:sz w:val="26"/>
          <w:szCs w:val="26"/>
        </w:rPr>
        <w:t>­</w:t>
      </w:r>
      <w:r w:rsidRPr="00C80D3A">
        <w:rPr>
          <w:rFonts w:ascii="Times New Roman" w:hAnsi="Times New Roman" w:cs="Times New Roman"/>
          <w:i/>
          <w:sz w:val="26"/>
          <w:szCs w:val="26"/>
        </w:rPr>
        <w:t>2596907</w:t>
      </w:r>
    </w:p>
    <w:p w14:paraId="3A856593" w14:textId="77777777" w:rsidR="0034168D" w:rsidRPr="00C80D3A" w:rsidRDefault="0034168D" w:rsidP="00775EA3">
      <w:pPr>
        <w:pStyle w:val="ListParagraph"/>
        <w:keepNext/>
        <w:tabs>
          <w:tab w:val="left" w:pos="270"/>
        </w:tabs>
        <w:ind w:left="0"/>
        <w:rPr>
          <w:i/>
          <w:iCs/>
          <w:sz w:val="26"/>
          <w:szCs w:val="26"/>
        </w:rPr>
      </w:pPr>
    </w:p>
    <w:p w14:paraId="2A96904B" w14:textId="6882A091" w:rsidR="0034168D" w:rsidRPr="00C80D3A" w:rsidRDefault="0034168D" w:rsidP="0034168D">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On May 10, 2017, the Commission entered an order initiating a comprehensive review of the Universal Service and Energy Conservation model (referred to herein as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proceeding).</w:t>
      </w:r>
      <w:r w:rsidRPr="00C80D3A">
        <w:rPr>
          <w:rStyle w:val="FootnoteReference"/>
          <w:rFonts w:ascii="Times New Roman" w:hAnsi="Times New Roman" w:cs="Times New Roman"/>
          <w:sz w:val="26"/>
          <w:szCs w:val="26"/>
        </w:rPr>
        <w:footnoteReference w:id="24"/>
      </w:r>
      <w:r w:rsidRPr="00C80D3A">
        <w:rPr>
          <w:rFonts w:ascii="Times New Roman" w:hAnsi="Times New Roman" w:cs="Times New Roman"/>
          <w:sz w:val="26"/>
          <w:szCs w:val="26"/>
        </w:rPr>
        <w:t xml:space="preserve">  This </w:t>
      </w:r>
      <w:r w:rsidRPr="00C80D3A">
        <w:rPr>
          <w:rFonts w:ascii="Times New Roman" w:hAnsi="Times New Roman" w:cs="Times New Roman"/>
          <w:i/>
          <w:sz w:val="26"/>
          <w:szCs w:val="26"/>
        </w:rPr>
        <w:t>Review</w:t>
      </w:r>
      <w:r w:rsidRPr="00C80D3A">
        <w:rPr>
          <w:rFonts w:ascii="Times New Roman" w:hAnsi="Times New Roman" w:cs="Times New Roman"/>
          <w:sz w:val="26"/>
          <w:szCs w:val="26"/>
        </w:rPr>
        <w:t xml:space="preserve"> included a review of CAP policies, CAP programs, and CAP effectiveness.  On July 14, 2017, pursuant to the May </w:t>
      </w:r>
      <w:r w:rsidRPr="00C80D3A" w:rsidDel="00B71535">
        <w:rPr>
          <w:rFonts w:ascii="Times New Roman" w:hAnsi="Times New Roman" w:cs="Times New Roman"/>
          <w:sz w:val="26"/>
          <w:szCs w:val="26"/>
        </w:rPr>
        <w:t>10</w:t>
      </w:r>
      <w:r w:rsidRPr="00C80D3A">
        <w:rPr>
          <w:rFonts w:ascii="Times New Roman" w:hAnsi="Times New Roman" w:cs="Times New Roman"/>
          <w:sz w:val="26"/>
          <w:szCs w:val="26"/>
        </w:rPr>
        <w:t xml:space="preserve"> Order, the Commission published a report developed by the Law Bureau with the assistance of the BCS on the statutory, regulatory, and policy frameworks of existing Universal Service and Energy Conservation Programs.  The July 2017 Report also outlined the processes required to initiate any proposed changes to the existing universal service regulatory and policy frameworks.   </w:t>
      </w:r>
    </w:p>
    <w:p w14:paraId="6D2A698E" w14:textId="77777777" w:rsidR="0034168D" w:rsidRPr="00C80D3A" w:rsidRDefault="0034168D" w:rsidP="0034168D">
      <w:pPr>
        <w:spacing w:after="0" w:line="360" w:lineRule="auto"/>
        <w:ind w:firstLine="720"/>
        <w:contextualSpacing/>
        <w:rPr>
          <w:rFonts w:ascii="Times New Roman" w:hAnsi="Times New Roman" w:cs="Times New Roman"/>
          <w:sz w:val="26"/>
          <w:szCs w:val="26"/>
        </w:rPr>
      </w:pPr>
    </w:p>
    <w:p w14:paraId="0F206466" w14:textId="77777777" w:rsidR="0034168D" w:rsidRPr="00C80D3A" w:rsidRDefault="0034168D" w:rsidP="0034168D">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May 10 Order invited interested parties to provide input on their priorities, concerns, and suggestions for amending and improving any or all aspects of universal service programs.  Approximately 65 parties, separately or jointly, filed comments and/or reply comments.  In addition, BCS coordinated a stakeholder meeting on September 13</w:t>
      </w:r>
      <w:r w:rsidRPr="00C80D3A">
        <w:rPr>
          <w:rFonts w:ascii="Times New Roman" w:hAnsi="Times New Roman" w:cs="Times New Roman"/>
          <w:sz w:val="26"/>
          <w:szCs w:val="26"/>
        </w:rPr>
        <w:noBreakHyphen/>
        <w:t>14, 2017, to gather feedback on the previously submitted comments and any other priorities, concerns, or suggested changes pertaining to the universal service programs.  Approximately 24 organizations participated in the stakeholder meetings, either in-person or by telephone.</w:t>
      </w:r>
      <w:r w:rsidRPr="00C80D3A">
        <w:rPr>
          <w:rStyle w:val="FootnoteReference"/>
          <w:rFonts w:ascii="Times New Roman" w:hAnsi="Times New Roman" w:cs="Times New Roman"/>
          <w:sz w:val="26"/>
          <w:szCs w:val="26"/>
        </w:rPr>
        <w:footnoteReference w:id="25"/>
      </w:r>
      <w:r w:rsidRPr="00C80D3A">
        <w:rPr>
          <w:rFonts w:ascii="Times New Roman" w:hAnsi="Times New Roman" w:cs="Times New Roman"/>
          <w:sz w:val="26"/>
          <w:szCs w:val="26"/>
        </w:rPr>
        <w:t xml:space="preserve">  </w:t>
      </w:r>
    </w:p>
    <w:p w14:paraId="0485A599" w14:textId="77777777" w:rsidR="0034168D" w:rsidRPr="00C80D3A" w:rsidRDefault="0034168D" w:rsidP="0034168D">
      <w:pPr>
        <w:spacing w:after="0" w:line="360" w:lineRule="auto"/>
        <w:ind w:firstLine="720"/>
        <w:contextualSpacing/>
        <w:rPr>
          <w:rFonts w:ascii="Times New Roman" w:hAnsi="Times New Roman" w:cs="Times New Roman"/>
          <w:strike/>
          <w:sz w:val="26"/>
          <w:szCs w:val="26"/>
        </w:rPr>
      </w:pPr>
      <w:r w:rsidRPr="00C80D3A">
        <w:rPr>
          <w:rFonts w:ascii="Times New Roman" w:hAnsi="Times New Roman" w:cs="Times New Roman"/>
          <w:sz w:val="26"/>
          <w:szCs w:val="26"/>
        </w:rPr>
        <w:t xml:space="preserve">On March 28, 2018, the Commission issued a Secretarial Letter releasing the </w:t>
      </w:r>
      <w:r w:rsidRPr="00C80D3A">
        <w:rPr>
          <w:rFonts w:ascii="Times New Roman" w:hAnsi="Times New Roman" w:cs="Times New Roman"/>
          <w:i/>
          <w:iCs/>
          <w:sz w:val="26"/>
          <w:szCs w:val="26"/>
        </w:rPr>
        <w:t>Staff Report Summarizing Public Comments, Feedback and Suggestions Regarding Universal Service and Energy Conservation Programs</w:t>
      </w:r>
      <w:r w:rsidRPr="00C80D3A">
        <w:rPr>
          <w:rFonts w:ascii="Times New Roman" w:hAnsi="Times New Roman" w:cs="Times New Roman"/>
          <w:sz w:val="26"/>
          <w:szCs w:val="26"/>
        </w:rPr>
        <w:t>.  The Secretarial Letter also established a Universal Service Working Group (USWG) to further explore universal service policies and practices.  The USWG has convened four times</w:t>
      </w:r>
      <w:r w:rsidRPr="00C80D3A">
        <w:rPr>
          <w:rStyle w:val="FootnoteReference"/>
          <w:rFonts w:ascii="Times New Roman" w:hAnsi="Times New Roman" w:cs="Times New Roman"/>
          <w:sz w:val="26"/>
          <w:szCs w:val="26"/>
        </w:rPr>
        <w:footnoteReference w:id="26"/>
      </w:r>
      <w:r w:rsidRPr="00C80D3A">
        <w:rPr>
          <w:rFonts w:ascii="Times New Roman" w:hAnsi="Times New Roman" w:cs="Times New Roman"/>
          <w:sz w:val="26"/>
          <w:szCs w:val="26"/>
        </w:rPr>
        <w:t xml:space="preserve"> to discuss, </w:t>
      </w:r>
      <w:r w:rsidRPr="00C80D3A">
        <w:rPr>
          <w:rFonts w:ascii="Times New Roman" w:hAnsi="Times New Roman" w:cs="Times New Roman"/>
          <w:i/>
          <w:iCs/>
          <w:sz w:val="26"/>
          <w:szCs w:val="26"/>
        </w:rPr>
        <w:t>inter alia</w:t>
      </w:r>
      <w:r w:rsidRPr="00C80D3A">
        <w:rPr>
          <w:rFonts w:ascii="Times New Roman" w:hAnsi="Times New Roman" w:cs="Times New Roman"/>
          <w:sz w:val="26"/>
          <w:szCs w:val="26"/>
        </w:rPr>
        <w:t xml:space="preserve">, standardizing zero income forms, revising the USECP filing schedule, and the </w:t>
      </w:r>
      <w:r w:rsidRPr="00C80D3A">
        <w:rPr>
          <w:rFonts w:ascii="Times New Roman" w:hAnsi="Times New Roman" w:cs="Times New Roman"/>
          <w:i/>
          <w:sz w:val="26"/>
          <w:szCs w:val="26"/>
        </w:rPr>
        <w:t>Energy Affordability for Low-Income Customers</w:t>
      </w:r>
      <w:r w:rsidRPr="00C80D3A">
        <w:rPr>
          <w:rFonts w:ascii="Times New Roman" w:hAnsi="Times New Roman" w:cs="Times New Roman"/>
          <w:iCs/>
          <w:sz w:val="26"/>
          <w:szCs w:val="26"/>
        </w:rPr>
        <w:t xml:space="preserve"> proceeding</w:t>
      </w:r>
      <w:r w:rsidRPr="00C80D3A">
        <w:rPr>
          <w:rFonts w:ascii="Times New Roman" w:hAnsi="Times New Roman" w:cs="Times New Roman"/>
          <w:sz w:val="26"/>
          <w:szCs w:val="26"/>
        </w:rPr>
        <w:t xml:space="preserve">.  </w:t>
      </w:r>
    </w:p>
    <w:p w14:paraId="0AE86717" w14:textId="77777777" w:rsidR="0034168D" w:rsidRPr="00C80D3A" w:rsidRDefault="0034168D" w:rsidP="00315DBC">
      <w:pPr>
        <w:pStyle w:val="ListParagraph"/>
        <w:tabs>
          <w:tab w:val="left" w:pos="720"/>
        </w:tabs>
        <w:spacing w:line="360" w:lineRule="auto"/>
        <w:ind w:left="0"/>
        <w:rPr>
          <w:sz w:val="26"/>
          <w:szCs w:val="26"/>
        </w:rPr>
      </w:pPr>
    </w:p>
    <w:p w14:paraId="2C8EAF4C" w14:textId="6770C1CE" w:rsidR="001124E2" w:rsidRPr="00C80D3A" w:rsidRDefault="001124E2" w:rsidP="002F72E9">
      <w:pPr>
        <w:pStyle w:val="ListParagraph"/>
        <w:keepNext/>
        <w:tabs>
          <w:tab w:val="left" w:pos="270"/>
        </w:tabs>
        <w:ind w:left="0"/>
        <w:rPr>
          <w:i/>
          <w:iCs/>
          <w:sz w:val="26"/>
          <w:szCs w:val="26"/>
        </w:rPr>
      </w:pPr>
      <w:r w:rsidRPr="00C80D3A">
        <w:rPr>
          <w:i/>
          <w:sz w:val="26"/>
          <w:szCs w:val="26"/>
        </w:rPr>
        <w:t>Other Open Universal Service Proceedings</w:t>
      </w:r>
      <w:r w:rsidRPr="00C80D3A">
        <w:rPr>
          <w:i/>
          <w:iCs/>
          <w:sz w:val="26"/>
          <w:szCs w:val="26"/>
        </w:rPr>
        <w:t xml:space="preserve"> </w:t>
      </w:r>
    </w:p>
    <w:p w14:paraId="78E7C79B" w14:textId="77777777" w:rsidR="001124E2" w:rsidRPr="00C80D3A" w:rsidRDefault="001124E2" w:rsidP="002F72E9">
      <w:pPr>
        <w:pStyle w:val="ListParagraph"/>
        <w:keepNext/>
        <w:tabs>
          <w:tab w:val="left" w:pos="270"/>
        </w:tabs>
        <w:ind w:left="0"/>
        <w:rPr>
          <w:sz w:val="26"/>
          <w:szCs w:val="26"/>
        </w:rPr>
      </w:pPr>
    </w:p>
    <w:p w14:paraId="745C0D60" w14:textId="4BA9899A" w:rsidR="00A61B82" w:rsidRPr="00C80D3A" w:rsidRDefault="00A61B82" w:rsidP="00A61B82">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Beyond the issues addressed in this Order, the Commission is also evaluating </w:t>
      </w:r>
      <w:r w:rsidR="00326057">
        <w:rPr>
          <w:rFonts w:ascii="Times New Roman" w:hAnsi="Times New Roman" w:cs="Times New Roman"/>
          <w:sz w:val="26"/>
          <w:szCs w:val="26"/>
        </w:rPr>
        <w:t xml:space="preserve">other </w:t>
      </w:r>
      <w:r w:rsidR="001D365B" w:rsidRPr="00C80D3A">
        <w:rPr>
          <w:rFonts w:ascii="Times New Roman" w:hAnsi="Times New Roman" w:cs="Times New Roman"/>
          <w:sz w:val="26"/>
          <w:szCs w:val="26"/>
        </w:rPr>
        <w:t xml:space="preserve">potential </w:t>
      </w:r>
      <w:r w:rsidRPr="00C80D3A">
        <w:rPr>
          <w:rFonts w:ascii="Times New Roman" w:hAnsi="Times New Roman" w:cs="Times New Roman"/>
          <w:sz w:val="26"/>
          <w:szCs w:val="26"/>
        </w:rPr>
        <w:t>changes to universal service programs</w:t>
      </w:r>
      <w:r w:rsidR="001B1D2F" w:rsidRPr="00C80D3A">
        <w:rPr>
          <w:rFonts w:ascii="Times New Roman" w:hAnsi="Times New Roman" w:cs="Times New Roman"/>
          <w:sz w:val="26"/>
          <w:szCs w:val="26"/>
        </w:rPr>
        <w:t xml:space="preserve">, </w:t>
      </w:r>
      <w:r w:rsidR="007241B6" w:rsidRPr="00C80D3A">
        <w:rPr>
          <w:rFonts w:ascii="Times New Roman" w:hAnsi="Times New Roman" w:cs="Times New Roman"/>
          <w:sz w:val="26"/>
          <w:szCs w:val="26"/>
        </w:rPr>
        <w:t>including CAPs,</w:t>
      </w:r>
      <w:r w:rsidRPr="00C80D3A">
        <w:rPr>
          <w:rFonts w:ascii="Times New Roman" w:hAnsi="Times New Roman" w:cs="Times New Roman"/>
          <w:sz w:val="26"/>
          <w:szCs w:val="26"/>
        </w:rPr>
        <w:t xml:space="preserve"> in other open proceedings.  They </w:t>
      </w:r>
      <w:r w:rsidR="007241B6" w:rsidRPr="00C80D3A">
        <w:rPr>
          <w:rFonts w:ascii="Times New Roman" w:hAnsi="Times New Roman" w:cs="Times New Roman"/>
          <w:sz w:val="26"/>
          <w:szCs w:val="26"/>
        </w:rPr>
        <w:t xml:space="preserve">include </w:t>
      </w:r>
      <w:r w:rsidRPr="00C80D3A">
        <w:rPr>
          <w:rFonts w:ascii="Times New Roman" w:hAnsi="Times New Roman" w:cs="Times New Roman"/>
          <w:i/>
          <w:color w:val="0D0D0D"/>
          <w:sz w:val="26"/>
          <w:szCs w:val="26"/>
        </w:rPr>
        <w:t>Initiative to Review and Revise the Existing LIURP Regulations at 52 Pa. Code §§ 58.1–58.18</w:t>
      </w:r>
      <w:r w:rsidR="007241B6" w:rsidRPr="00C80D3A">
        <w:rPr>
          <w:rFonts w:ascii="Times New Roman" w:hAnsi="Times New Roman" w:cs="Times New Roman"/>
          <w:iCs/>
          <w:color w:val="0D0D0D"/>
          <w:sz w:val="26"/>
          <w:szCs w:val="26"/>
        </w:rPr>
        <w:t xml:space="preserve">, </w:t>
      </w:r>
      <w:r w:rsidRPr="00C80D3A">
        <w:rPr>
          <w:rFonts w:ascii="Times New Roman" w:hAnsi="Times New Roman" w:cs="Times New Roman"/>
          <w:sz w:val="26"/>
          <w:szCs w:val="26"/>
        </w:rPr>
        <w:t>at Docket No. L-2016-2557886</w:t>
      </w:r>
      <w:r w:rsidR="004C1E59">
        <w:rPr>
          <w:rFonts w:ascii="Times New Roman" w:hAnsi="Times New Roman" w:cs="Times New Roman"/>
          <w:sz w:val="26"/>
          <w:szCs w:val="26"/>
        </w:rPr>
        <w:t xml:space="preserve"> </w:t>
      </w:r>
      <w:r w:rsidR="007944DB">
        <w:rPr>
          <w:rFonts w:ascii="Times New Roman" w:hAnsi="Times New Roman" w:cs="Times New Roman"/>
          <w:sz w:val="26"/>
          <w:szCs w:val="26"/>
        </w:rPr>
        <w:t>(</w:t>
      </w:r>
      <w:r w:rsidR="007944DB" w:rsidRPr="007944DB">
        <w:rPr>
          <w:rFonts w:ascii="Times New Roman" w:hAnsi="Times New Roman" w:cs="Times New Roman"/>
          <w:i/>
          <w:sz w:val="26"/>
          <w:szCs w:val="26"/>
        </w:rPr>
        <w:t>LIURP Rulemaking</w:t>
      </w:r>
      <w:r w:rsidR="007944DB">
        <w:rPr>
          <w:rFonts w:ascii="Times New Roman" w:hAnsi="Times New Roman" w:cs="Times New Roman"/>
          <w:sz w:val="26"/>
          <w:szCs w:val="26"/>
        </w:rPr>
        <w:t>)</w:t>
      </w:r>
      <w:r w:rsidRPr="00C80D3A">
        <w:rPr>
          <w:rFonts w:ascii="Times New Roman" w:hAnsi="Times New Roman" w:cs="Times New Roman"/>
          <w:sz w:val="26"/>
          <w:szCs w:val="26"/>
        </w:rPr>
        <w:t xml:space="preserve">; </w:t>
      </w:r>
      <w:r w:rsidRPr="00C80D3A">
        <w:rPr>
          <w:rFonts w:ascii="Times New Roman" w:hAnsi="Times New Roman" w:cs="Times New Roman"/>
          <w:i/>
          <w:sz w:val="26"/>
          <w:szCs w:val="26"/>
        </w:rPr>
        <w:t>Staff Review of CAP Final Billing Methods</w:t>
      </w:r>
      <w:r w:rsidR="007241B6" w:rsidRPr="00C80D3A">
        <w:rPr>
          <w:rFonts w:ascii="Times New Roman" w:hAnsi="Times New Roman" w:cs="Times New Roman"/>
          <w:sz w:val="26"/>
          <w:szCs w:val="26"/>
        </w:rPr>
        <w:t>,</w:t>
      </w:r>
      <w:r w:rsidRPr="00C80D3A">
        <w:rPr>
          <w:rFonts w:ascii="Times New Roman" w:hAnsi="Times New Roman" w:cs="Times New Roman"/>
          <w:sz w:val="26"/>
          <w:szCs w:val="26"/>
        </w:rPr>
        <w:t xml:space="preserve"> Docket No. M</w:t>
      </w:r>
      <w:r w:rsidRPr="00C80D3A">
        <w:rPr>
          <w:rFonts w:ascii="Times New Roman" w:hAnsi="Times New Roman" w:cs="Times New Roman"/>
          <w:sz w:val="26"/>
          <w:szCs w:val="26"/>
        </w:rPr>
        <w:noBreakHyphen/>
        <w:t>2019</w:t>
      </w:r>
      <w:r w:rsidR="00D67A45">
        <w:rPr>
          <w:rFonts w:ascii="Times New Roman" w:hAnsi="Times New Roman" w:cs="Times New Roman"/>
          <w:sz w:val="26"/>
          <w:szCs w:val="26"/>
        </w:rPr>
        <w:noBreakHyphen/>
      </w:r>
      <w:r w:rsidRPr="00C80D3A">
        <w:rPr>
          <w:rFonts w:ascii="Times New Roman" w:hAnsi="Times New Roman" w:cs="Times New Roman"/>
          <w:sz w:val="26"/>
          <w:szCs w:val="26"/>
        </w:rPr>
        <w:t xml:space="preserve">3010190; </w:t>
      </w:r>
      <w:r w:rsidRPr="00C80D3A">
        <w:rPr>
          <w:rFonts w:ascii="Times New Roman" w:hAnsi="Times New Roman" w:cs="Times New Roman"/>
          <w:i/>
          <w:iCs/>
          <w:sz w:val="26"/>
          <w:szCs w:val="26"/>
        </w:rPr>
        <w:t>Universal Service Reporting Working Group (USRWG)</w:t>
      </w:r>
      <w:r w:rsidR="007241B6" w:rsidRPr="00C80D3A">
        <w:rPr>
          <w:rFonts w:ascii="Times New Roman" w:hAnsi="Times New Roman" w:cs="Times New Roman"/>
          <w:sz w:val="26"/>
          <w:szCs w:val="26"/>
        </w:rPr>
        <w:t>,</w:t>
      </w:r>
      <w:r w:rsidRPr="00C80D3A">
        <w:rPr>
          <w:rFonts w:ascii="Times New Roman" w:hAnsi="Times New Roman" w:cs="Times New Roman"/>
          <w:sz w:val="26"/>
          <w:szCs w:val="26"/>
        </w:rPr>
        <w:t xml:space="preserve"> Docket No. M-2019</w:t>
      </w:r>
      <w:r w:rsidR="00D67A45">
        <w:rPr>
          <w:rFonts w:ascii="Times New Roman" w:hAnsi="Times New Roman" w:cs="Times New Roman"/>
          <w:sz w:val="26"/>
          <w:szCs w:val="26"/>
        </w:rPr>
        <w:noBreakHyphen/>
      </w:r>
      <w:r w:rsidRPr="00C80D3A">
        <w:rPr>
          <w:rFonts w:ascii="Times New Roman" w:hAnsi="Times New Roman" w:cs="Times New Roman"/>
          <w:sz w:val="26"/>
          <w:szCs w:val="26"/>
        </w:rPr>
        <w:t>3011814</w:t>
      </w:r>
      <w:r w:rsidR="00FB39A4" w:rsidRPr="00C80D3A">
        <w:rPr>
          <w:rFonts w:ascii="Times New Roman" w:hAnsi="Times New Roman" w:cs="Times New Roman"/>
          <w:sz w:val="26"/>
          <w:szCs w:val="26"/>
        </w:rPr>
        <w:t xml:space="preserve">; and </w:t>
      </w:r>
      <w:r w:rsidR="00FB39A4" w:rsidRPr="00C80D3A">
        <w:rPr>
          <w:rFonts w:ascii="Times New Roman" w:hAnsi="Times New Roman" w:cs="Times New Roman"/>
          <w:i/>
          <w:sz w:val="26"/>
          <w:szCs w:val="26"/>
        </w:rPr>
        <w:t>Universal Service Rulemaking</w:t>
      </w:r>
      <w:r w:rsidR="00FB39A4" w:rsidRPr="00C80D3A">
        <w:rPr>
          <w:rFonts w:ascii="Times New Roman" w:hAnsi="Times New Roman" w:cs="Times New Roman"/>
          <w:sz w:val="26"/>
          <w:szCs w:val="26"/>
        </w:rPr>
        <w:t xml:space="preserve">, Docket No. </w:t>
      </w:r>
      <w:r w:rsidR="001446C3" w:rsidRPr="00C80D3A">
        <w:rPr>
          <w:rFonts w:ascii="Times New Roman" w:hAnsi="Times New Roman" w:cs="Times New Roman"/>
          <w:sz w:val="26"/>
          <w:szCs w:val="26"/>
        </w:rPr>
        <w:t>L-2019-3012600</w:t>
      </w:r>
      <w:r w:rsidRPr="00C80D3A">
        <w:rPr>
          <w:rFonts w:ascii="Times New Roman" w:hAnsi="Times New Roman" w:cs="Times New Roman"/>
          <w:sz w:val="26"/>
          <w:szCs w:val="26"/>
        </w:rPr>
        <w:t xml:space="preserve">.  </w:t>
      </w:r>
    </w:p>
    <w:p w14:paraId="1E50E0F9" w14:textId="77777777" w:rsidR="00506216" w:rsidRPr="00C80D3A" w:rsidRDefault="00506216" w:rsidP="00315DBC">
      <w:pPr>
        <w:pStyle w:val="ListParagraph"/>
        <w:tabs>
          <w:tab w:val="left" w:pos="270"/>
        </w:tabs>
        <w:spacing w:line="360" w:lineRule="auto"/>
        <w:ind w:left="0"/>
        <w:rPr>
          <w:sz w:val="26"/>
          <w:szCs w:val="26"/>
        </w:rPr>
      </w:pPr>
    </w:p>
    <w:p w14:paraId="0E5053ED" w14:textId="742CB183" w:rsidR="007D7192" w:rsidRPr="00C80D3A" w:rsidRDefault="00AB4CD8" w:rsidP="00397EF2">
      <w:pPr>
        <w:pStyle w:val="ListParagraph"/>
        <w:spacing w:line="360" w:lineRule="auto"/>
        <w:ind w:left="0"/>
        <w:rPr>
          <w:sz w:val="26"/>
          <w:szCs w:val="26"/>
        </w:rPr>
      </w:pPr>
      <w:r w:rsidRPr="00C80D3A">
        <w:rPr>
          <w:sz w:val="26"/>
          <w:szCs w:val="26"/>
        </w:rPr>
        <w:tab/>
        <w:t>Additionally, the Commission acts on each utility</w:t>
      </w:r>
      <w:r w:rsidR="001529C6">
        <w:rPr>
          <w:sz w:val="26"/>
          <w:szCs w:val="26"/>
        </w:rPr>
        <w:t>’</w:t>
      </w:r>
      <w:r w:rsidRPr="00C80D3A">
        <w:rPr>
          <w:sz w:val="26"/>
          <w:szCs w:val="26"/>
        </w:rPr>
        <w:t xml:space="preserve">s proposed USECPs and </w:t>
      </w:r>
      <w:r w:rsidR="00021E3D" w:rsidRPr="00C80D3A">
        <w:rPr>
          <w:sz w:val="26"/>
          <w:szCs w:val="26"/>
        </w:rPr>
        <w:t>petitions to amend existing USECPs.  Further, the costs of universal service</w:t>
      </w:r>
      <w:r w:rsidR="00B87BFF">
        <w:rPr>
          <w:sz w:val="26"/>
          <w:szCs w:val="26"/>
        </w:rPr>
        <w:t xml:space="preserve"> programs</w:t>
      </w:r>
      <w:r w:rsidR="00387AA9" w:rsidRPr="00C80D3A">
        <w:rPr>
          <w:sz w:val="26"/>
          <w:szCs w:val="26"/>
        </w:rPr>
        <w:t xml:space="preserve">, including CAPs) </w:t>
      </w:r>
      <w:r w:rsidR="00021E3D" w:rsidRPr="00C80D3A">
        <w:rPr>
          <w:sz w:val="26"/>
          <w:szCs w:val="26"/>
        </w:rPr>
        <w:t xml:space="preserve">are addressed in </w:t>
      </w:r>
      <w:r w:rsidR="00397EF2" w:rsidRPr="00C80D3A">
        <w:rPr>
          <w:sz w:val="26"/>
          <w:szCs w:val="26"/>
        </w:rPr>
        <w:t xml:space="preserve">utility-specific rate proceedings.  </w:t>
      </w:r>
    </w:p>
    <w:p w14:paraId="52EC9E48" w14:textId="77777777" w:rsidR="007D7192" w:rsidRPr="00C80D3A" w:rsidRDefault="007D7192" w:rsidP="00315DBC">
      <w:pPr>
        <w:pStyle w:val="ListParagraph"/>
        <w:tabs>
          <w:tab w:val="left" w:pos="270"/>
        </w:tabs>
        <w:spacing w:line="360" w:lineRule="auto"/>
        <w:ind w:left="0"/>
        <w:rPr>
          <w:sz w:val="26"/>
          <w:szCs w:val="26"/>
        </w:rPr>
      </w:pPr>
    </w:p>
    <w:p w14:paraId="1FD384E7" w14:textId="7656B855" w:rsidR="00506216" w:rsidRDefault="00AC0E75" w:rsidP="0077058C">
      <w:pPr>
        <w:keepNext/>
        <w:spacing w:after="0" w:line="240" w:lineRule="auto"/>
        <w:jc w:val="center"/>
        <w:rPr>
          <w:rFonts w:ascii="Times New Roman" w:hAnsi="Times New Roman" w:cs="Times New Roman"/>
          <w:b/>
          <w:sz w:val="26"/>
          <w:szCs w:val="26"/>
        </w:rPr>
      </w:pPr>
      <w:r w:rsidRPr="00C80D3A">
        <w:rPr>
          <w:rFonts w:ascii="Times New Roman" w:hAnsi="Times New Roman" w:cs="Times New Roman"/>
          <w:b/>
          <w:sz w:val="26"/>
          <w:szCs w:val="26"/>
        </w:rPr>
        <w:t xml:space="preserve">CHANGES TO </w:t>
      </w:r>
      <w:r w:rsidR="00C12A5D" w:rsidRPr="00C80D3A">
        <w:rPr>
          <w:rFonts w:ascii="Times New Roman" w:hAnsi="Times New Roman" w:cs="Times New Roman"/>
          <w:b/>
          <w:bCs/>
          <w:sz w:val="26"/>
          <w:szCs w:val="26"/>
        </w:rPr>
        <w:t>CAP</w:t>
      </w:r>
      <w:r w:rsidR="00C12A5D">
        <w:rPr>
          <w:rFonts w:ascii="Times New Roman" w:hAnsi="Times New Roman" w:cs="Times New Roman"/>
          <w:b/>
          <w:bCs/>
          <w:sz w:val="26"/>
          <w:szCs w:val="26"/>
        </w:rPr>
        <w:t>s</w:t>
      </w:r>
      <w:r w:rsidR="00C12A5D" w:rsidRPr="00C80D3A">
        <w:rPr>
          <w:rFonts w:ascii="Times New Roman" w:hAnsi="Times New Roman" w:cs="Times New Roman"/>
          <w:b/>
          <w:bCs/>
          <w:sz w:val="26"/>
          <w:szCs w:val="26"/>
        </w:rPr>
        <w:t xml:space="preserve"> </w:t>
      </w:r>
      <w:r w:rsidR="00732AC6" w:rsidRPr="00C80D3A">
        <w:rPr>
          <w:rFonts w:ascii="Times New Roman" w:hAnsi="Times New Roman" w:cs="Times New Roman"/>
          <w:b/>
          <w:bCs/>
          <w:sz w:val="26"/>
          <w:szCs w:val="26"/>
        </w:rPr>
        <w:t>AND THE</w:t>
      </w:r>
      <w:r w:rsidR="0007216E" w:rsidRPr="00C80D3A">
        <w:rPr>
          <w:rFonts w:ascii="Times New Roman" w:hAnsi="Times New Roman" w:cs="Times New Roman"/>
          <w:b/>
          <w:sz w:val="26"/>
          <w:szCs w:val="26"/>
        </w:rPr>
        <w:t xml:space="preserve"> CAP </w:t>
      </w:r>
      <w:r w:rsidR="00D5369D" w:rsidRPr="00C80D3A">
        <w:rPr>
          <w:rFonts w:ascii="Times New Roman" w:hAnsi="Times New Roman" w:cs="Times New Roman"/>
          <w:b/>
          <w:sz w:val="26"/>
          <w:szCs w:val="26"/>
        </w:rPr>
        <w:t>POLICY STATEMENT</w:t>
      </w:r>
    </w:p>
    <w:p w14:paraId="2956F8D7" w14:textId="77777777" w:rsidR="0077058C" w:rsidRPr="00C80D3A" w:rsidRDefault="0077058C" w:rsidP="00F04703">
      <w:pPr>
        <w:keepNext/>
        <w:spacing w:after="0" w:line="240" w:lineRule="auto"/>
        <w:jc w:val="center"/>
        <w:rPr>
          <w:rFonts w:ascii="Times New Roman" w:hAnsi="Times New Roman" w:cs="Times New Roman"/>
          <w:b/>
          <w:sz w:val="26"/>
          <w:szCs w:val="26"/>
        </w:rPr>
      </w:pPr>
    </w:p>
    <w:p w14:paraId="2C96FB6D" w14:textId="4AAEC755" w:rsidR="0004427C" w:rsidRDefault="00506216" w:rsidP="00870CDB">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Based on the data and stakeholder proposals received during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and </w:t>
      </w:r>
      <w:r w:rsidRPr="00C80D3A">
        <w:rPr>
          <w:rFonts w:ascii="Times New Roman" w:hAnsi="Times New Roman" w:cs="Times New Roman"/>
          <w:i/>
          <w:iCs/>
          <w:sz w:val="26"/>
          <w:szCs w:val="26"/>
        </w:rPr>
        <w:t>Energy Affordability</w:t>
      </w:r>
      <w:r w:rsidRPr="00C80D3A">
        <w:rPr>
          <w:rFonts w:ascii="Times New Roman" w:hAnsi="Times New Roman" w:cs="Times New Roman"/>
          <w:sz w:val="26"/>
          <w:szCs w:val="26"/>
        </w:rPr>
        <w:t xml:space="preserve"> proceedings, as well as best practices identified in Commission reviews of USECPs, </w:t>
      </w:r>
      <w:r w:rsidR="00F400B4">
        <w:rPr>
          <w:rFonts w:ascii="Times New Roman" w:hAnsi="Times New Roman" w:cs="Times New Roman"/>
          <w:sz w:val="26"/>
          <w:szCs w:val="26"/>
        </w:rPr>
        <w:t xml:space="preserve">as noted and listed above, </w:t>
      </w:r>
      <w:r w:rsidR="00BB500F" w:rsidRPr="00C80D3A">
        <w:rPr>
          <w:rFonts w:ascii="Times New Roman" w:hAnsi="Times New Roman" w:cs="Times New Roman"/>
          <w:sz w:val="26"/>
          <w:szCs w:val="26"/>
        </w:rPr>
        <w:t>we</w:t>
      </w:r>
      <w:r w:rsidR="009A39C0" w:rsidRPr="00C80D3A">
        <w:rPr>
          <w:rFonts w:ascii="Times New Roman" w:hAnsi="Times New Roman" w:cs="Times New Roman"/>
          <w:sz w:val="26"/>
          <w:szCs w:val="26"/>
        </w:rPr>
        <w:t xml:space="preserve"> identified </w:t>
      </w:r>
      <w:r w:rsidR="00B762C2" w:rsidRPr="00C80D3A">
        <w:rPr>
          <w:rFonts w:ascii="Times New Roman" w:hAnsi="Times New Roman" w:cs="Times New Roman"/>
          <w:sz w:val="26"/>
          <w:szCs w:val="26"/>
        </w:rPr>
        <w:t xml:space="preserve">several </w:t>
      </w:r>
      <w:r w:rsidR="00C45C35" w:rsidRPr="00C80D3A">
        <w:rPr>
          <w:rFonts w:ascii="Times New Roman" w:hAnsi="Times New Roman" w:cs="Times New Roman"/>
          <w:sz w:val="26"/>
          <w:szCs w:val="26"/>
        </w:rPr>
        <w:t xml:space="preserve">areas for improvement </w:t>
      </w:r>
      <w:r w:rsidR="00654686">
        <w:rPr>
          <w:rFonts w:ascii="Times New Roman" w:hAnsi="Times New Roman" w:cs="Times New Roman"/>
          <w:sz w:val="26"/>
          <w:szCs w:val="26"/>
        </w:rPr>
        <w:t>in our CAP Policy Statement</w:t>
      </w:r>
      <w:r w:rsidR="00E94667" w:rsidRPr="00C80D3A">
        <w:rPr>
          <w:rFonts w:ascii="Times New Roman" w:hAnsi="Times New Roman" w:cs="Times New Roman"/>
          <w:sz w:val="26"/>
          <w:szCs w:val="26"/>
        </w:rPr>
        <w:t>, as adopted herein</w:t>
      </w:r>
      <w:r w:rsidR="00A651BD" w:rsidRPr="00C80D3A">
        <w:rPr>
          <w:rFonts w:ascii="Times New Roman" w:hAnsi="Times New Roman" w:cs="Times New Roman"/>
          <w:sz w:val="26"/>
          <w:szCs w:val="26"/>
        </w:rPr>
        <w:t>.</w:t>
      </w:r>
      <w:r w:rsidR="00BE23D3" w:rsidRPr="00C80D3A">
        <w:rPr>
          <w:rStyle w:val="FootnoteReference"/>
          <w:rFonts w:ascii="Times New Roman" w:hAnsi="Times New Roman" w:cs="Times New Roman"/>
          <w:sz w:val="26"/>
          <w:szCs w:val="26"/>
        </w:rPr>
        <w:footnoteReference w:id="27"/>
      </w:r>
      <w:r w:rsidR="00C45C35" w:rsidRPr="00C80D3A">
        <w:rPr>
          <w:rFonts w:ascii="Times New Roman" w:hAnsi="Times New Roman" w:cs="Times New Roman"/>
          <w:sz w:val="26"/>
          <w:szCs w:val="26"/>
        </w:rPr>
        <w:t xml:space="preserve">  </w:t>
      </w:r>
      <w:r w:rsidR="00C76058" w:rsidRPr="00C80D3A">
        <w:rPr>
          <w:rFonts w:ascii="Times New Roman" w:hAnsi="Times New Roman" w:cs="Times New Roman"/>
          <w:sz w:val="26"/>
          <w:szCs w:val="26"/>
        </w:rPr>
        <w:t xml:space="preserve">Utilities will have the opportunity to implement </w:t>
      </w:r>
      <w:r w:rsidR="00BE23D3" w:rsidRPr="00C80D3A">
        <w:rPr>
          <w:rFonts w:ascii="Times New Roman" w:hAnsi="Times New Roman" w:cs="Times New Roman"/>
          <w:sz w:val="26"/>
          <w:szCs w:val="26"/>
        </w:rPr>
        <w:t xml:space="preserve">these </w:t>
      </w:r>
      <w:r w:rsidR="00C97AC5" w:rsidRPr="00C80D3A">
        <w:rPr>
          <w:rFonts w:ascii="Times New Roman" w:hAnsi="Times New Roman" w:cs="Times New Roman"/>
          <w:sz w:val="26"/>
          <w:szCs w:val="26"/>
        </w:rPr>
        <w:t xml:space="preserve">CAP policy </w:t>
      </w:r>
      <w:r w:rsidR="007E3B11" w:rsidRPr="00C80D3A">
        <w:rPr>
          <w:rFonts w:ascii="Times New Roman" w:hAnsi="Times New Roman" w:cs="Times New Roman"/>
          <w:sz w:val="26"/>
          <w:szCs w:val="26"/>
        </w:rPr>
        <w:t>changes through voluntary compliance</w:t>
      </w:r>
      <w:r w:rsidR="00A148DC" w:rsidRPr="00C80D3A">
        <w:rPr>
          <w:rFonts w:ascii="Times New Roman" w:hAnsi="Times New Roman" w:cs="Times New Roman"/>
          <w:sz w:val="26"/>
          <w:szCs w:val="26"/>
        </w:rPr>
        <w:t xml:space="preserve"> with</w:t>
      </w:r>
      <w:r w:rsidR="007E3B11" w:rsidRPr="00C80D3A">
        <w:rPr>
          <w:rFonts w:ascii="Times New Roman" w:hAnsi="Times New Roman" w:cs="Times New Roman"/>
          <w:sz w:val="26"/>
          <w:szCs w:val="26"/>
        </w:rPr>
        <w:t xml:space="preserve"> </w:t>
      </w:r>
      <w:r w:rsidR="00F05C48" w:rsidRPr="00C80D3A">
        <w:rPr>
          <w:rFonts w:ascii="Times New Roman" w:hAnsi="Times New Roman" w:cs="Times New Roman"/>
          <w:sz w:val="26"/>
          <w:szCs w:val="26"/>
        </w:rPr>
        <w:t xml:space="preserve">the </w:t>
      </w:r>
      <w:r w:rsidR="00F64AD7" w:rsidRPr="00C80D3A">
        <w:rPr>
          <w:rFonts w:ascii="Times New Roman" w:hAnsi="Times New Roman" w:cs="Times New Roman"/>
          <w:sz w:val="26"/>
          <w:szCs w:val="26"/>
        </w:rPr>
        <w:t xml:space="preserve">amended </w:t>
      </w:r>
      <w:r w:rsidR="0002192A" w:rsidRPr="00C80D3A">
        <w:rPr>
          <w:rFonts w:ascii="Times New Roman" w:hAnsi="Times New Roman" w:cs="Times New Roman"/>
          <w:sz w:val="26"/>
          <w:szCs w:val="26"/>
        </w:rPr>
        <w:t>CAP Policy Statement</w:t>
      </w:r>
      <w:r w:rsidR="00C76058" w:rsidRPr="00C80D3A">
        <w:rPr>
          <w:rFonts w:ascii="Times New Roman" w:hAnsi="Times New Roman" w:cs="Times New Roman"/>
          <w:sz w:val="26"/>
          <w:szCs w:val="26"/>
        </w:rPr>
        <w:t xml:space="preserve"> </w:t>
      </w:r>
      <w:r w:rsidR="009D362E" w:rsidRPr="00C80D3A">
        <w:rPr>
          <w:rFonts w:ascii="Times New Roman" w:hAnsi="Times New Roman" w:cs="Times New Roman"/>
          <w:sz w:val="26"/>
          <w:szCs w:val="26"/>
        </w:rPr>
        <w:t xml:space="preserve">or </w:t>
      </w:r>
      <w:r w:rsidR="00992EE8" w:rsidRPr="00C80D3A">
        <w:rPr>
          <w:rFonts w:ascii="Times New Roman" w:hAnsi="Times New Roman" w:cs="Times New Roman"/>
          <w:sz w:val="26"/>
          <w:szCs w:val="26"/>
        </w:rPr>
        <w:t xml:space="preserve">to </w:t>
      </w:r>
      <w:r w:rsidR="009D362E" w:rsidRPr="00C80D3A">
        <w:rPr>
          <w:rFonts w:ascii="Times New Roman" w:hAnsi="Times New Roman" w:cs="Times New Roman"/>
          <w:sz w:val="26"/>
          <w:szCs w:val="26"/>
        </w:rPr>
        <w:t xml:space="preserve">address the matters in </w:t>
      </w:r>
      <w:r w:rsidR="00670553" w:rsidRPr="00C80D3A">
        <w:rPr>
          <w:rFonts w:ascii="Times New Roman" w:hAnsi="Times New Roman" w:cs="Times New Roman"/>
          <w:sz w:val="26"/>
          <w:szCs w:val="26"/>
        </w:rPr>
        <w:t xml:space="preserve">utility-specific proceedings and/or </w:t>
      </w:r>
      <w:r w:rsidR="00F323D1" w:rsidRPr="00C80D3A">
        <w:rPr>
          <w:rFonts w:ascii="Times New Roman" w:hAnsi="Times New Roman" w:cs="Times New Roman"/>
          <w:sz w:val="26"/>
          <w:szCs w:val="26"/>
        </w:rPr>
        <w:t xml:space="preserve">as </w:t>
      </w:r>
      <w:r w:rsidR="001200FB" w:rsidRPr="00C80D3A">
        <w:rPr>
          <w:rFonts w:ascii="Times New Roman" w:hAnsi="Times New Roman" w:cs="Times New Roman"/>
          <w:sz w:val="26"/>
          <w:szCs w:val="26"/>
        </w:rPr>
        <w:t xml:space="preserve">promulgated regulations.  </w:t>
      </w:r>
      <w:r w:rsidR="00FF3C51" w:rsidRPr="00C80D3A">
        <w:rPr>
          <w:rFonts w:ascii="Times New Roman" w:hAnsi="Times New Roman" w:cs="Times New Roman"/>
          <w:sz w:val="26"/>
          <w:szCs w:val="26"/>
        </w:rPr>
        <w:t xml:space="preserve">Any </w:t>
      </w:r>
      <w:r w:rsidR="00B80324" w:rsidRPr="00C80D3A">
        <w:rPr>
          <w:rFonts w:ascii="Times New Roman" w:hAnsi="Times New Roman" w:cs="Times New Roman"/>
          <w:sz w:val="26"/>
          <w:szCs w:val="26"/>
        </w:rPr>
        <w:t xml:space="preserve">matters </w:t>
      </w:r>
      <w:r w:rsidR="00FF3C51" w:rsidRPr="00C80D3A">
        <w:rPr>
          <w:rFonts w:ascii="Times New Roman" w:hAnsi="Times New Roman" w:cs="Times New Roman"/>
          <w:sz w:val="26"/>
          <w:szCs w:val="26"/>
        </w:rPr>
        <w:t xml:space="preserve">that cannot be resolved </w:t>
      </w:r>
      <w:r w:rsidR="003F4305" w:rsidRPr="00C80D3A">
        <w:rPr>
          <w:rFonts w:ascii="Times New Roman" w:hAnsi="Times New Roman" w:cs="Times New Roman"/>
          <w:sz w:val="26"/>
          <w:szCs w:val="26"/>
        </w:rPr>
        <w:t xml:space="preserve">by voluntary compliance with </w:t>
      </w:r>
      <w:r w:rsidR="008C55E9" w:rsidRPr="00C80D3A">
        <w:rPr>
          <w:rFonts w:ascii="Times New Roman" w:hAnsi="Times New Roman" w:cs="Times New Roman"/>
          <w:sz w:val="26"/>
          <w:szCs w:val="26"/>
        </w:rPr>
        <w:t xml:space="preserve">Commission policy </w:t>
      </w:r>
      <w:r w:rsidR="00FF3C51" w:rsidRPr="00C80D3A">
        <w:rPr>
          <w:rFonts w:ascii="Times New Roman" w:hAnsi="Times New Roman" w:cs="Times New Roman"/>
          <w:sz w:val="26"/>
          <w:szCs w:val="26"/>
        </w:rPr>
        <w:t>will be addressed in utility-specific proceedings.</w:t>
      </w:r>
      <w:r w:rsidR="0022258B" w:rsidRPr="00C80D3A">
        <w:rPr>
          <w:rFonts w:ascii="Times New Roman" w:hAnsi="Times New Roman" w:cs="Times New Roman"/>
          <w:sz w:val="26"/>
          <w:szCs w:val="26"/>
        </w:rPr>
        <w:t xml:space="preserve">  </w:t>
      </w:r>
    </w:p>
    <w:p w14:paraId="7EC9B4FD" w14:textId="77777777" w:rsidR="0004427C" w:rsidRDefault="0004427C" w:rsidP="00870CDB">
      <w:pPr>
        <w:spacing w:after="0" w:line="360" w:lineRule="auto"/>
        <w:contextualSpacing/>
        <w:rPr>
          <w:rFonts w:ascii="Times New Roman" w:hAnsi="Times New Roman" w:cs="Times New Roman"/>
          <w:sz w:val="26"/>
          <w:szCs w:val="26"/>
        </w:rPr>
      </w:pPr>
    </w:p>
    <w:p w14:paraId="3D3200AA" w14:textId="7B520C46" w:rsidR="00020722" w:rsidRPr="00C80D3A" w:rsidRDefault="0004427C" w:rsidP="00C80D3A">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bookmarkStart w:id="5" w:name="_Hlk13054577"/>
      <w:r w:rsidR="00020722" w:rsidRPr="00C80D3A">
        <w:rPr>
          <w:rFonts w:ascii="Times New Roman" w:hAnsi="Times New Roman" w:cs="Times New Roman"/>
          <w:sz w:val="26"/>
          <w:szCs w:val="26"/>
        </w:rPr>
        <w:t xml:space="preserve">The CAP </w:t>
      </w:r>
      <w:r w:rsidR="00FC5AF1" w:rsidRPr="00C80D3A">
        <w:rPr>
          <w:rFonts w:ascii="Times New Roman" w:hAnsi="Times New Roman" w:cs="Times New Roman"/>
          <w:sz w:val="26"/>
          <w:szCs w:val="26"/>
        </w:rPr>
        <w:t xml:space="preserve">policy </w:t>
      </w:r>
      <w:r w:rsidR="00D67A45">
        <w:rPr>
          <w:rFonts w:ascii="Times New Roman" w:hAnsi="Times New Roman" w:cs="Times New Roman"/>
          <w:sz w:val="26"/>
          <w:szCs w:val="26"/>
        </w:rPr>
        <w:t xml:space="preserve">provisions </w:t>
      </w:r>
      <w:r w:rsidR="00094648">
        <w:rPr>
          <w:rFonts w:ascii="Times New Roman" w:hAnsi="Times New Roman" w:cs="Times New Roman"/>
          <w:sz w:val="26"/>
          <w:szCs w:val="26"/>
        </w:rPr>
        <w:t xml:space="preserve">hereby </w:t>
      </w:r>
      <w:r w:rsidR="00FD3B46" w:rsidRPr="00C80D3A">
        <w:rPr>
          <w:rFonts w:ascii="Times New Roman" w:hAnsi="Times New Roman" w:cs="Times New Roman"/>
          <w:sz w:val="26"/>
          <w:szCs w:val="26"/>
        </w:rPr>
        <w:t>amend</w:t>
      </w:r>
      <w:r w:rsidR="00870CDB" w:rsidRPr="00C80D3A">
        <w:rPr>
          <w:rFonts w:ascii="Times New Roman" w:hAnsi="Times New Roman" w:cs="Times New Roman"/>
          <w:sz w:val="26"/>
          <w:szCs w:val="26"/>
        </w:rPr>
        <w:t>ed</w:t>
      </w:r>
      <w:r w:rsidR="00FD3B46" w:rsidRPr="00C80D3A">
        <w:rPr>
          <w:rFonts w:ascii="Times New Roman" w:hAnsi="Times New Roman" w:cs="Times New Roman"/>
          <w:sz w:val="26"/>
          <w:szCs w:val="26"/>
        </w:rPr>
        <w:t xml:space="preserve"> in </w:t>
      </w:r>
      <w:r w:rsidR="00D67A45">
        <w:rPr>
          <w:rFonts w:ascii="Times New Roman" w:hAnsi="Times New Roman" w:cs="Times New Roman"/>
          <w:sz w:val="26"/>
          <w:szCs w:val="26"/>
        </w:rPr>
        <w:t xml:space="preserve">or added to </w:t>
      </w:r>
      <w:r w:rsidR="00FD3B46" w:rsidRPr="00C80D3A">
        <w:rPr>
          <w:rFonts w:ascii="Times New Roman" w:hAnsi="Times New Roman" w:cs="Times New Roman"/>
          <w:sz w:val="26"/>
          <w:szCs w:val="26"/>
        </w:rPr>
        <w:t xml:space="preserve">the CAP Policy Statement </w:t>
      </w:r>
      <w:r w:rsidR="00020722" w:rsidRPr="00C80D3A">
        <w:rPr>
          <w:rFonts w:ascii="Times New Roman" w:hAnsi="Times New Roman" w:cs="Times New Roman"/>
          <w:sz w:val="26"/>
          <w:szCs w:val="26"/>
        </w:rPr>
        <w:t>are</w:t>
      </w:r>
      <w:r w:rsidR="00870CDB" w:rsidRPr="00C80D3A">
        <w:rPr>
          <w:rFonts w:ascii="Times New Roman" w:hAnsi="Times New Roman" w:cs="Times New Roman"/>
          <w:sz w:val="26"/>
          <w:szCs w:val="26"/>
        </w:rPr>
        <w:t xml:space="preserve"> discussed below.</w:t>
      </w:r>
      <w:r w:rsidR="00020722" w:rsidRPr="00C80D3A">
        <w:rPr>
          <w:rFonts w:ascii="Times New Roman" w:hAnsi="Times New Roman" w:cs="Times New Roman"/>
          <w:sz w:val="26"/>
          <w:szCs w:val="26"/>
        </w:rPr>
        <w:t xml:space="preserve"> </w:t>
      </w:r>
    </w:p>
    <w:p w14:paraId="1CA7FC1A" w14:textId="77777777" w:rsidR="00506216" w:rsidRPr="00C80D3A" w:rsidRDefault="00506216" w:rsidP="00D40F2D">
      <w:pPr>
        <w:spacing w:after="0" w:line="240" w:lineRule="auto"/>
        <w:contextualSpacing/>
        <w:rPr>
          <w:rFonts w:ascii="Times New Roman" w:hAnsi="Times New Roman" w:cs="Times New Roman"/>
          <w:bCs/>
          <w:caps/>
          <w:sz w:val="26"/>
          <w:szCs w:val="26"/>
        </w:rPr>
      </w:pPr>
    </w:p>
    <w:p w14:paraId="01413DA2" w14:textId="04D03667" w:rsidR="004E09B2" w:rsidRDefault="00506216" w:rsidP="00F04703">
      <w:pPr>
        <w:pStyle w:val="Heading3"/>
        <w:spacing w:after="60"/>
        <w:rPr>
          <w:bCs/>
          <w:sz w:val="26"/>
          <w:szCs w:val="26"/>
        </w:rPr>
      </w:pPr>
      <w:bookmarkStart w:id="6" w:name="_1._Proposed_Change:"/>
      <w:bookmarkEnd w:id="6"/>
      <w:r w:rsidRPr="00C80D3A">
        <w:rPr>
          <w:bCs/>
          <w:sz w:val="26"/>
          <w:szCs w:val="26"/>
        </w:rPr>
        <w:t>1.</w:t>
      </w:r>
      <w:r w:rsidR="002F72E9" w:rsidRPr="00C80D3A">
        <w:rPr>
          <w:bCs/>
          <w:sz w:val="26"/>
          <w:szCs w:val="26"/>
        </w:rPr>
        <w:t>a</w:t>
      </w:r>
      <w:r w:rsidR="00477AB3" w:rsidRPr="00C80D3A">
        <w:rPr>
          <w:bCs/>
          <w:sz w:val="26"/>
          <w:szCs w:val="26"/>
        </w:rPr>
        <w:t>.</w:t>
      </w:r>
      <w:r w:rsidRPr="00C80D3A">
        <w:rPr>
          <w:bCs/>
          <w:sz w:val="26"/>
          <w:szCs w:val="26"/>
        </w:rPr>
        <w:t xml:space="preserve"> </w:t>
      </w:r>
      <w:r w:rsidR="0083623D" w:rsidRPr="00C80D3A">
        <w:rPr>
          <w:bCs/>
          <w:sz w:val="26"/>
          <w:szCs w:val="26"/>
        </w:rPr>
        <w:t xml:space="preserve"> </w:t>
      </w:r>
      <w:r w:rsidR="005F5A13">
        <w:rPr>
          <w:bCs/>
          <w:sz w:val="26"/>
          <w:szCs w:val="26"/>
        </w:rPr>
        <w:t>Establish n</w:t>
      </w:r>
      <w:r w:rsidR="00845C04" w:rsidRPr="00C80D3A">
        <w:rPr>
          <w:bCs/>
          <w:sz w:val="26"/>
          <w:szCs w:val="26"/>
        </w:rPr>
        <w:t>ew maximum tiered CAP energy burden</w:t>
      </w:r>
      <w:r w:rsidR="00EF0058">
        <w:rPr>
          <w:bCs/>
          <w:sz w:val="26"/>
          <w:szCs w:val="26"/>
        </w:rPr>
        <w:t>s</w:t>
      </w:r>
      <w:r w:rsidR="00C251ED">
        <w:rPr>
          <w:bCs/>
          <w:sz w:val="26"/>
          <w:szCs w:val="26"/>
        </w:rPr>
        <w:t xml:space="preserve"> </w:t>
      </w:r>
      <w:r w:rsidR="00845C04" w:rsidRPr="00C80D3A">
        <w:rPr>
          <w:bCs/>
          <w:sz w:val="26"/>
          <w:szCs w:val="26"/>
        </w:rPr>
        <w:t>of</w:t>
      </w:r>
      <w:r w:rsidR="004E09B2">
        <w:rPr>
          <w:bCs/>
          <w:sz w:val="26"/>
          <w:szCs w:val="26"/>
        </w:rPr>
        <w:t>:</w:t>
      </w:r>
    </w:p>
    <w:p w14:paraId="12C5E05B" w14:textId="3309D995" w:rsidR="000252E3" w:rsidRPr="000252E3" w:rsidRDefault="00845C04" w:rsidP="00F04703">
      <w:pPr>
        <w:pStyle w:val="Heading3"/>
        <w:numPr>
          <w:ilvl w:val="0"/>
          <w:numId w:val="34"/>
        </w:numPr>
        <w:spacing w:after="60"/>
        <w:ind w:left="540"/>
        <w:rPr>
          <w:rFonts w:eastAsiaTheme="minorHAnsi"/>
          <w:bCs/>
          <w:sz w:val="26"/>
          <w:szCs w:val="26"/>
        </w:rPr>
      </w:pPr>
      <w:r w:rsidRPr="00C80D3A">
        <w:rPr>
          <w:bCs/>
          <w:sz w:val="26"/>
          <w:szCs w:val="26"/>
        </w:rPr>
        <w:t>6% for natural gas heating, 4% for electric non-heating, and 10% for electric heating</w:t>
      </w:r>
      <w:r w:rsidR="004E09B2">
        <w:rPr>
          <w:bCs/>
          <w:sz w:val="26"/>
          <w:szCs w:val="26"/>
        </w:rPr>
        <w:t xml:space="preserve"> for </w:t>
      </w:r>
      <w:r w:rsidR="00B15521" w:rsidRPr="002826DF">
        <w:rPr>
          <w:sz w:val="26"/>
          <w:szCs w:val="26"/>
        </w:rPr>
        <w:t>FPIG tiers 51%-100% and 101%-150%</w:t>
      </w:r>
      <w:r w:rsidR="008E391A">
        <w:rPr>
          <w:sz w:val="26"/>
          <w:szCs w:val="26"/>
        </w:rPr>
        <w:t>;</w:t>
      </w:r>
      <w:r w:rsidR="000252E3">
        <w:rPr>
          <w:sz w:val="26"/>
          <w:szCs w:val="26"/>
        </w:rPr>
        <w:t xml:space="preserve"> and</w:t>
      </w:r>
    </w:p>
    <w:p w14:paraId="737F3EB2" w14:textId="37B4163C" w:rsidR="00506216" w:rsidRPr="00C80D3A" w:rsidRDefault="00B15521" w:rsidP="00F04703">
      <w:pPr>
        <w:pStyle w:val="Heading3"/>
        <w:numPr>
          <w:ilvl w:val="0"/>
          <w:numId w:val="34"/>
        </w:numPr>
        <w:spacing w:after="60"/>
        <w:ind w:left="540"/>
        <w:rPr>
          <w:rFonts w:eastAsiaTheme="minorHAnsi"/>
          <w:bCs/>
          <w:sz w:val="26"/>
          <w:szCs w:val="26"/>
        </w:rPr>
      </w:pPr>
      <w:r w:rsidRPr="002826DF">
        <w:rPr>
          <w:sz w:val="26"/>
          <w:szCs w:val="26"/>
        </w:rPr>
        <w:t>4% for natural gas heating, 2% for electric non-heating, and 6% for electric heating</w:t>
      </w:r>
      <w:r w:rsidR="00CF645A">
        <w:rPr>
          <w:sz w:val="26"/>
          <w:szCs w:val="26"/>
        </w:rPr>
        <w:t xml:space="preserve"> for </w:t>
      </w:r>
      <w:r w:rsidR="00CF645A" w:rsidRPr="002826DF">
        <w:rPr>
          <w:sz w:val="26"/>
          <w:szCs w:val="26"/>
        </w:rPr>
        <w:t>FPIG tier 0%</w:t>
      </w:r>
      <w:r w:rsidR="00CF645A">
        <w:rPr>
          <w:sz w:val="26"/>
          <w:szCs w:val="26"/>
        </w:rPr>
        <w:noBreakHyphen/>
      </w:r>
      <w:r w:rsidR="00CF645A" w:rsidRPr="002826DF">
        <w:rPr>
          <w:sz w:val="26"/>
          <w:szCs w:val="26"/>
        </w:rPr>
        <w:t>50%</w:t>
      </w:r>
      <w:r w:rsidR="00845C04" w:rsidRPr="00C80D3A">
        <w:rPr>
          <w:bCs/>
          <w:sz w:val="26"/>
          <w:szCs w:val="26"/>
        </w:rPr>
        <w:t>.</w:t>
      </w:r>
    </w:p>
    <w:p w14:paraId="739516EA" w14:textId="77777777" w:rsidR="00506216" w:rsidRPr="00C80D3A" w:rsidRDefault="00506216" w:rsidP="002F72E9">
      <w:pPr>
        <w:keepNext/>
        <w:tabs>
          <w:tab w:val="left" w:pos="720"/>
        </w:tabs>
        <w:spacing w:after="0" w:line="240" w:lineRule="auto"/>
        <w:contextualSpacing/>
        <w:rPr>
          <w:rFonts w:ascii="Times New Roman" w:hAnsi="Times New Roman" w:cs="Times New Roman"/>
          <w:sz w:val="26"/>
          <w:szCs w:val="26"/>
        </w:rPr>
      </w:pPr>
    </w:p>
    <w:p w14:paraId="399D10B6" w14:textId="402BC7F9" w:rsidR="00506216" w:rsidRPr="00C80D3A" w:rsidRDefault="00506216" w:rsidP="00315DBC">
      <w:pPr>
        <w:tabs>
          <w:tab w:val="left" w:pos="720"/>
        </w:tabs>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1992 CAP Policy Statement recommended that a CAP customer</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total electric or combined natural gas and electric energy burden should not exceed 15% for the highest low-income FPIG group.  That maximum was increased to a range of 15-17% in 1999.  Table 1 below indicates the energy burden ranges in Section 69.625 of the CAP Policy Statement, as changed in 1999, for the FPIG groups and the nature of energy usage in the household.  </w:t>
      </w:r>
    </w:p>
    <w:p w14:paraId="5996D9C7" w14:textId="77777777" w:rsidR="00506216" w:rsidRPr="00C80D3A" w:rsidRDefault="00506216" w:rsidP="00315DBC">
      <w:pPr>
        <w:tabs>
          <w:tab w:val="left" w:pos="720"/>
        </w:tabs>
        <w:spacing w:after="0" w:line="360" w:lineRule="auto"/>
        <w:contextualSpacing/>
        <w:rPr>
          <w:rFonts w:ascii="Times New Roman" w:hAnsi="Times New Roman" w:cs="Times New Roman"/>
          <w:sz w:val="26"/>
          <w:szCs w:val="26"/>
        </w:rPr>
      </w:pPr>
    </w:p>
    <w:p w14:paraId="0B2D81F6" w14:textId="77777777" w:rsidR="00506216" w:rsidRPr="00C80D3A" w:rsidRDefault="00506216" w:rsidP="00315DBC">
      <w:pPr>
        <w:keepNext/>
        <w:spacing w:after="0"/>
        <w:contextualSpacing/>
        <w:jc w:val="center"/>
        <w:rPr>
          <w:rFonts w:ascii="Times New Roman" w:hAnsi="Times New Roman" w:cs="Times New Roman"/>
          <w:b/>
          <w:color w:val="000000"/>
          <w:sz w:val="26"/>
          <w:szCs w:val="26"/>
        </w:rPr>
      </w:pPr>
      <w:r w:rsidRPr="00C80D3A">
        <w:rPr>
          <w:rFonts w:ascii="Times New Roman" w:hAnsi="Times New Roman" w:cs="Times New Roman"/>
          <w:b/>
          <w:color w:val="000000"/>
          <w:sz w:val="26"/>
          <w:szCs w:val="26"/>
        </w:rPr>
        <w:t>Table 1</w:t>
      </w:r>
    </w:p>
    <w:p w14:paraId="6BDF6599" w14:textId="778F9E65" w:rsidR="00506216" w:rsidRPr="00C80D3A" w:rsidRDefault="0068696A" w:rsidP="00315DBC">
      <w:pPr>
        <w:keepNext/>
        <w:spacing w:after="0"/>
        <w:contextualSpacing/>
        <w:jc w:val="center"/>
        <w:rPr>
          <w:rFonts w:ascii="Times New Roman" w:hAnsi="Times New Roman" w:cs="Times New Roman"/>
          <w:color w:val="000000"/>
          <w:sz w:val="26"/>
          <w:szCs w:val="26"/>
        </w:rPr>
      </w:pPr>
      <w:r>
        <w:rPr>
          <w:rFonts w:ascii="Times New Roman" w:hAnsi="Times New Roman" w:cs="Times New Roman"/>
          <w:b/>
          <w:color w:val="000000"/>
          <w:sz w:val="26"/>
          <w:szCs w:val="26"/>
        </w:rPr>
        <w:t xml:space="preserve">Existing </w:t>
      </w:r>
      <w:r w:rsidR="00506216" w:rsidRPr="00C80D3A">
        <w:rPr>
          <w:rFonts w:ascii="Times New Roman" w:hAnsi="Times New Roman" w:cs="Times New Roman"/>
          <w:b/>
          <w:color w:val="000000"/>
          <w:sz w:val="26"/>
          <w:szCs w:val="26"/>
        </w:rPr>
        <w:t>CAP Policy Statement Maximum Energy Burden Ranges</w:t>
      </w:r>
      <w:r w:rsidR="00506216" w:rsidRPr="00C80D3A">
        <w:rPr>
          <w:rFonts w:ascii="Times New Roman" w:hAnsi="Times New Roman" w:cs="Times New Roman"/>
          <w:color w:val="000000"/>
          <w:sz w:val="26"/>
          <w:szCs w:val="26"/>
          <w:vertAlign w:val="superscript"/>
        </w:rPr>
        <w:footnoteReference w:id="28"/>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0"/>
        <w:gridCol w:w="1980"/>
        <w:gridCol w:w="1901"/>
        <w:gridCol w:w="2159"/>
      </w:tblGrid>
      <w:tr w:rsidR="00506216" w:rsidRPr="00C80D3A" w14:paraId="2304F028" w14:textId="77777777" w:rsidTr="00F04703">
        <w:trPr>
          <w:jc w:val="center"/>
        </w:trPr>
        <w:tc>
          <w:tcPr>
            <w:tcW w:w="2600" w:type="dxa"/>
            <w:tcBorders>
              <w:bottom w:val="single" w:sz="12" w:space="0" w:color="auto"/>
            </w:tcBorders>
            <w:tcMar>
              <w:top w:w="0" w:type="dxa"/>
              <w:left w:w="108" w:type="dxa"/>
              <w:bottom w:w="0" w:type="dxa"/>
              <w:right w:w="108" w:type="dxa"/>
            </w:tcMar>
            <w:hideMark/>
          </w:tcPr>
          <w:p w14:paraId="7449975D" w14:textId="77777777" w:rsidR="00506216" w:rsidRPr="00C80D3A" w:rsidRDefault="00506216" w:rsidP="00315DBC">
            <w:pPr>
              <w:keepNext/>
              <w:spacing w:after="0"/>
              <w:contextualSpacing/>
              <w:rPr>
                <w:rFonts w:ascii="Times New Roman" w:hAnsi="Times New Roman" w:cs="Times New Roman"/>
                <w:b/>
                <w:bCs/>
                <w:color w:val="000000"/>
                <w:sz w:val="26"/>
                <w:szCs w:val="26"/>
              </w:rPr>
            </w:pPr>
            <w:r w:rsidRPr="00C80D3A">
              <w:rPr>
                <w:rFonts w:ascii="Times New Roman" w:hAnsi="Times New Roman" w:cs="Times New Roman"/>
                <w:b/>
                <w:bCs/>
                <w:color w:val="000000"/>
                <w:sz w:val="26"/>
                <w:szCs w:val="26"/>
              </w:rPr>
              <w:t>Utility Service</w:t>
            </w:r>
          </w:p>
        </w:tc>
        <w:tc>
          <w:tcPr>
            <w:tcW w:w="1980" w:type="dxa"/>
            <w:tcBorders>
              <w:bottom w:val="single" w:sz="12" w:space="0" w:color="auto"/>
            </w:tcBorders>
            <w:tcMar>
              <w:top w:w="0" w:type="dxa"/>
              <w:left w:w="108" w:type="dxa"/>
              <w:bottom w:w="0" w:type="dxa"/>
              <w:right w:w="108" w:type="dxa"/>
            </w:tcMar>
            <w:vAlign w:val="center"/>
            <w:hideMark/>
          </w:tcPr>
          <w:p w14:paraId="4640C37F" w14:textId="77777777" w:rsidR="00506216" w:rsidRPr="00C80D3A" w:rsidRDefault="00506216" w:rsidP="00315DBC">
            <w:pPr>
              <w:keepNext/>
              <w:spacing w:after="0"/>
              <w:contextualSpacing/>
              <w:jc w:val="center"/>
              <w:rPr>
                <w:rFonts w:ascii="Times New Roman" w:hAnsi="Times New Roman" w:cs="Times New Roman"/>
                <w:b/>
                <w:bCs/>
                <w:color w:val="000000"/>
                <w:sz w:val="26"/>
                <w:szCs w:val="26"/>
              </w:rPr>
            </w:pPr>
            <w:r w:rsidRPr="00C80D3A">
              <w:rPr>
                <w:rFonts w:ascii="Times New Roman" w:hAnsi="Times New Roman" w:cs="Times New Roman"/>
                <w:b/>
                <w:bCs/>
                <w:color w:val="000000"/>
                <w:sz w:val="26"/>
                <w:szCs w:val="26"/>
              </w:rPr>
              <w:t>0-50% FPIG</w:t>
            </w:r>
          </w:p>
        </w:tc>
        <w:tc>
          <w:tcPr>
            <w:tcW w:w="1901" w:type="dxa"/>
            <w:tcBorders>
              <w:bottom w:val="single" w:sz="12" w:space="0" w:color="auto"/>
            </w:tcBorders>
            <w:tcMar>
              <w:top w:w="0" w:type="dxa"/>
              <w:left w:w="108" w:type="dxa"/>
              <w:bottom w:w="0" w:type="dxa"/>
              <w:right w:w="108" w:type="dxa"/>
            </w:tcMar>
            <w:vAlign w:val="center"/>
            <w:hideMark/>
          </w:tcPr>
          <w:p w14:paraId="3D98AA97" w14:textId="77777777" w:rsidR="00506216" w:rsidRPr="00C80D3A" w:rsidRDefault="00506216" w:rsidP="00315DBC">
            <w:pPr>
              <w:keepNext/>
              <w:spacing w:after="0"/>
              <w:contextualSpacing/>
              <w:jc w:val="center"/>
              <w:rPr>
                <w:rFonts w:ascii="Times New Roman" w:hAnsi="Times New Roman" w:cs="Times New Roman"/>
                <w:b/>
                <w:bCs/>
                <w:color w:val="000000"/>
                <w:sz w:val="26"/>
                <w:szCs w:val="26"/>
              </w:rPr>
            </w:pPr>
            <w:r w:rsidRPr="00C80D3A">
              <w:rPr>
                <w:rFonts w:ascii="Times New Roman" w:hAnsi="Times New Roman" w:cs="Times New Roman"/>
                <w:b/>
                <w:bCs/>
                <w:color w:val="000000"/>
                <w:sz w:val="26"/>
                <w:szCs w:val="26"/>
              </w:rPr>
              <w:t>51-100% FPIG</w:t>
            </w:r>
          </w:p>
        </w:tc>
        <w:tc>
          <w:tcPr>
            <w:tcW w:w="2159" w:type="dxa"/>
            <w:tcBorders>
              <w:bottom w:val="single" w:sz="12" w:space="0" w:color="auto"/>
            </w:tcBorders>
            <w:tcMar>
              <w:top w:w="0" w:type="dxa"/>
              <w:left w:w="108" w:type="dxa"/>
              <w:bottom w:w="0" w:type="dxa"/>
              <w:right w:w="108" w:type="dxa"/>
            </w:tcMar>
            <w:vAlign w:val="center"/>
            <w:hideMark/>
          </w:tcPr>
          <w:p w14:paraId="24D53953" w14:textId="77777777" w:rsidR="00506216" w:rsidRPr="00C80D3A" w:rsidRDefault="00506216" w:rsidP="00315DBC">
            <w:pPr>
              <w:keepNext/>
              <w:spacing w:after="0"/>
              <w:contextualSpacing/>
              <w:jc w:val="center"/>
              <w:rPr>
                <w:rFonts w:ascii="Times New Roman" w:hAnsi="Times New Roman" w:cs="Times New Roman"/>
                <w:b/>
                <w:bCs/>
                <w:color w:val="000000"/>
                <w:sz w:val="26"/>
                <w:szCs w:val="26"/>
              </w:rPr>
            </w:pPr>
            <w:r w:rsidRPr="00C80D3A">
              <w:rPr>
                <w:rFonts w:ascii="Times New Roman" w:hAnsi="Times New Roman" w:cs="Times New Roman"/>
                <w:b/>
                <w:bCs/>
                <w:color w:val="000000"/>
                <w:sz w:val="26"/>
                <w:szCs w:val="26"/>
              </w:rPr>
              <w:t>101-150% FPIG</w:t>
            </w:r>
          </w:p>
        </w:tc>
      </w:tr>
      <w:tr w:rsidR="00506216" w:rsidRPr="00C80D3A" w14:paraId="43D08E7F" w14:textId="77777777" w:rsidTr="00F04703">
        <w:trPr>
          <w:jc w:val="center"/>
        </w:trPr>
        <w:tc>
          <w:tcPr>
            <w:tcW w:w="2600" w:type="dxa"/>
            <w:tcBorders>
              <w:top w:val="single" w:sz="12" w:space="0" w:color="auto"/>
            </w:tcBorders>
            <w:tcMar>
              <w:top w:w="0" w:type="dxa"/>
              <w:left w:w="108" w:type="dxa"/>
              <w:bottom w:w="0" w:type="dxa"/>
              <w:right w:w="108" w:type="dxa"/>
            </w:tcMar>
            <w:hideMark/>
          </w:tcPr>
          <w:p w14:paraId="0F7E018E" w14:textId="77777777" w:rsidR="00506216" w:rsidRPr="00C80D3A" w:rsidRDefault="00506216" w:rsidP="00315DBC">
            <w:pPr>
              <w:keepNext/>
              <w:spacing w:after="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 xml:space="preserve">Non-Heating Electric </w:t>
            </w:r>
          </w:p>
        </w:tc>
        <w:tc>
          <w:tcPr>
            <w:tcW w:w="1980" w:type="dxa"/>
            <w:tcBorders>
              <w:top w:val="single" w:sz="12" w:space="0" w:color="auto"/>
            </w:tcBorders>
            <w:tcMar>
              <w:top w:w="0" w:type="dxa"/>
              <w:left w:w="108" w:type="dxa"/>
              <w:bottom w:w="0" w:type="dxa"/>
              <w:right w:w="108" w:type="dxa"/>
            </w:tcMar>
            <w:vAlign w:val="center"/>
            <w:hideMark/>
          </w:tcPr>
          <w:p w14:paraId="700E61F3"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color w:val="000000"/>
                <w:sz w:val="26"/>
                <w:szCs w:val="26"/>
              </w:rPr>
              <w:t>2%-5%</w:t>
            </w:r>
          </w:p>
        </w:tc>
        <w:tc>
          <w:tcPr>
            <w:tcW w:w="1901" w:type="dxa"/>
            <w:tcBorders>
              <w:top w:val="single" w:sz="12" w:space="0" w:color="auto"/>
            </w:tcBorders>
            <w:tcMar>
              <w:top w:w="0" w:type="dxa"/>
              <w:left w:w="108" w:type="dxa"/>
              <w:bottom w:w="0" w:type="dxa"/>
              <w:right w:w="108" w:type="dxa"/>
            </w:tcMar>
            <w:vAlign w:val="center"/>
            <w:hideMark/>
          </w:tcPr>
          <w:p w14:paraId="72D09E69"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color w:val="000000"/>
                <w:sz w:val="26"/>
                <w:szCs w:val="26"/>
              </w:rPr>
              <w:t>4%-6%</w:t>
            </w:r>
          </w:p>
        </w:tc>
        <w:tc>
          <w:tcPr>
            <w:tcW w:w="2159" w:type="dxa"/>
            <w:tcBorders>
              <w:top w:val="single" w:sz="12" w:space="0" w:color="auto"/>
            </w:tcBorders>
            <w:tcMar>
              <w:top w:w="0" w:type="dxa"/>
              <w:left w:w="108" w:type="dxa"/>
              <w:bottom w:w="0" w:type="dxa"/>
              <w:right w:w="108" w:type="dxa"/>
            </w:tcMar>
            <w:vAlign w:val="center"/>
            <w:hideMark/>
          </w:tcPr>
          <w:p w14:paraId="485A1B27"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color w:val="000000"/>
                <w:sz w:val="26"/>
                <w:szCs w:val="26"/>
              </w:rPr>
              <w:t>6%-7%</w:t>
            </w:r>
          </w:p>
        </w:tc>
      </w:tr>
      <w:tr w:rsidR="00506216" w:rsidRPr="00C80D3A" w14:paraId="5D63E704" w14:textId="77777777" w:rsidTr="00F04703">
        <w:trPr>
          <w:jc w:val="center"/>
        </w:trPr>
        <w:tc>
          <w:tcPr>
            <w:tcW w:w="2600" w:type="dxa"/>
            <w:tcMar>
              <w:top w:w="0" w:type="dxa"/>
              <w:left w:w="108" w:type="dxa"/>
              <w:bottom w:w="0" w:type="dxa"/>
              <w:right w:w="108" w:type="dxa"/>
            </w:tcMar>
            <w:hideMark/>
          </w:tcPr>
          <w:p w14:paraId="32F7641F" w14:textId="77777777" w:rsidR="00506216" w:rsidRPr="00C80D3A" w:rsidRDefault="00506216" w:rsidP="00315DBC">
            <w:pPr>
              <w:keepNext/>
              <w:spacing w:after="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Natural Gas Heating</w:t>
            </w:r>
          </w:p>
        </w:tc>
        <w:tc>
          <w:tcPr>
            <w:tcW w:w="1980" w:type="dxa"/>
            <w:tcMar>
              <w:top w:w="0" w:type="dxa"/>
              <w:left w:w="108" w:type="dxa"/>
              <w:bottom w:w="0" w:type="dxa"/>
              <w:right w:w="108" w:type="dxa"/>
            </w:tcMar>
            <w:vAlign w:val="center"/>
            <w:hideMark/>
          </w:tcPr>
          <w:p w14:paraId="57C8C5C3"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color w:val="000000"/>
                <w:sz w:val="26"/>
                <w:szCs w:val="26"/>
              </w:rPr>
              <w:t>5%-8%</w:t>
            </w:r>
          </w:p>
        </w:tc>
        <w:tc>
          <w:tcPr>
            <w:tcW w:w="1901" w:type="dxa"/>
            <w:tcMar>
              <w:top w:w="0" w:type="dxa"/>
              <w:left w:w="108" w:type="dxa"/>
              <w:bottom w:w="0" w:type="dxa"/>
              <w:right w:w="108" w:type="dxa"/>
            </w:tcMar>
            <w:vAlign w:val="center"/>
            <w:hideMark/>
          </w:tcPr>
          <w:p w14:paraId="4C57B523"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color w:val="000000"/>
                <w:sz w:val="26"/>
                <w:szCs w:val="26"/>
              </w:rPr>
              <w:t>7%-10%</w:t>
            </w:r>
          </w:p>
        </w:tc>
        <w:tc>
          <w:tcPr>
            <w:tcW w:w="2159" w:type="dxa"/>
            <w:tcMar>
              <w:top w:w="0" w:type="dxa"/>
              <w:left w:w="108" w:type="dxa"/>
              <w:bottom w:w="0" w:type="dxa"/>
              <w:right w:w="108" w:type="dxa"/>
            </w:tcMar>
            <w:vAlign w:val="center"/>
            <w:hideMark/>
          </w:tcPr>
          <w:p w14:paraId="5BCCDDC0"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color w:val="000000"/>
                <w:sz w:val="26"/>
                <w:szCs w:val="26"/>
              </w:rPr>
              <w:t>9%-10%</w:t>
            </w:r>
          </w:p>
        </w:tc>
      </w:tr>
      <w:tr w:rsidR="00506216" w:rsidRPr="00C80D3A" w14:paraId="2EE7AFC4" w14:textId="77777777" w:rsidTr="00F04703">
        <w:trPr>
          <w:jc w:val="center"/>
        </w:trPr>
        <w:tc>
          <w:tcPr>
            <w:tcW w:w="2600" w:type="dxa"/>
            <w:tcMar>
              <w:top w:w="0" w:type="dxa"/>
              <w:left w:w="108" w:type="dxa"/>
              <w:bottom w:w="0" w:type="dxa"/>
              <w:right w:w="108" w:type="dxa"/>
            </w:tcMar>
            <w:hideMark/>
          </w:tcPr>
          <w:p w14:paraId="5CA25D3E" w14:textId="77777777" w:rsidR="00506216" w:rsidRPr="00C80D3A" w:rsidRDefault="00506216" w:rsidP="00315DBC">
            <w:pPr>
              <w:spacing w:after="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Electric Heating</w:t>
            </w:r>
          </w:p>
        </w:tc>
        <w:tc>
          <w:tcPr>
            <w:tcW w:w="1980" w:type="dxa"/>
            <w:tcMar>
              <w:top w:w="0" w:type="dxa"/>
              <w:left w:w="108" w:type="dxa"/>
              <w:bottom w:w="0" w:type="dxa"/>
              <w:right w:w="108" w:type="dxa"/>
            </w:tcMar>
            <w:vAlign w:val="center"/>
            <w:hideMark/>
          </w:tcPr>
          <w:p w14:paraId="5BDFF6BA"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color w:val="000000"/>
                <w:sz w:val="26"/>
                <w:szCs w:val="26"/>
              </w:rPr>
              <w:t>7%-13%</w:t>
            </w:r>
          </w:p>
        </w:tc>
        <w:tc>
          <w:tcPr>
            <w:tcW w:w="1901" w:type="dxa"/>
            <w:tcMar>
              <w:top w:w="0" w:type="dxa"/>
              <w:left w:w="108" w:type="dxa"/>
              <w:bottom w:w="0" w:type="dxa"/>
              <w:right w:w="108" w:type="dxa"/>
            </w:tcMar>
            <w:vAlign w:val="center"/>
            <w:hideMark/>
          </w:tcPr>
          <w:p w14:paraId="3A092A4B"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color w:val="000000"/>
                <w:sz w:val="26"/>
                <w:szCs w:val="26"/>
              </w:rPr>
              <w:t>11%-16%</w:t>
            </w:r>
          </w:p>
        </w:tc>
        <w:tc>
          <w:tcPr>
            <w:tcW w:w="2159" w:type="dxa"/>
            <w:tcMar>
              <w:top w:w="0" w:type="dxa"/>
              <w:left w:w="108" w:type="dxa"/>
              <w:bottom w:w="0" w:type="dxa"/>
              <w:right w:w="108" w:type="dxa"/>
            </w:tcMar>
            <w:vAlign w:val="center"/>
            <w:hideMark/>
          </w:tcPr>
          <w:p w14:paraId="0CA8483B"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color w:val="000000"/>
                <w:sz w:val="26"/>
                <w:szCs w:val="26"/>
              </w:rPr>
              <w:t>15%-17%</w:t>
            </w:r>
          </w:p>
        </w:tc>
      </w:tr>
    </w:tbl>
    <w:p w14:paraId="094EABC0" w14:textId="77777777" w:rsidR="00506216" w:rsidRPr="00C80D3A" w:rsidRDefault="00506216" w:rsidP="00315DBC">
      <w:pPr>
        <w:autoSpaceDE w:val="0"/>
        <w:autoSpaceDN w:val="0"/>
        <w:adjustRightInd w:val="0"/>
        <w:spacing w:after="0" w:line="360" w:lineRule="auto"/>
        <w:contextualSpacing/>
        <w:rPr>
          <w:rFonts w:ascii="Times New Roman" w:hAnsi="Times New Roman" w:cs="Times New Roman"/>
          <w:color w:val="000000"/>
          <w:sz w:val="26"/>
          <w:szCs w:val="26"/>
        </w:rPr>
      </w:pPr>
    </w:p>
    <w:p w14:paraId="1BFF99A3" w14:textId="2288B241" w:rsidR="00506216"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Under the Commission</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CAP Policy Statement, if a </w:t>
      </w:r>
      <w:r w:rsidR="007E4852" w:rsidRPr="00C80D3A">
        <w:rPr>
          <w:rFonts w:ascii="Times New Roman" w:hAnsi="Times New Roman" w:cs="Times New Roman"/>
          <w:sz w:val="26"/>
          <w:szCs w:val="26"/>
        </w:rPr>
        <w:t>c</w:t>
      </w:r>
      <w:r w:rsidR="007E4852">
        <w:rPr>
          <w:rFonts w:ascii="Times New Roman" w:hAnsi="Times New Roman" w:cs="Times New Roman"/>
          <w:sz w:val="26"/>
          <w:szCs w:val="26"/>
        </w:rPr>
        <w:t>usto</w:t>
      </w:r>
      <w:r w:rsidR="007E4852" w:rsidRPr="00C80D3A">
        <w:rPr>
          <w:rFonts w:ascii="Times New Roman" w:hAnsi="Times New Roman" w:cs="Times New Roman"/>
          <w:sz w:val="26"/>
          <w:szCs w:val="26"/>
        </w:rPr>
        <w:t>mer</w:t>
      </w:r>
      <w:r w:rsidR="001529C6">
        <w:rPr>
          <w:rFonts w:ascii="Times New Roman" w:hAnsi="Times New Roman" w:cs="Times New Roman"/>
          <w:sz w:val="26"/>
          <w:szCs w:val="26"/>
        </w:rPr>
        <w:t>’</w:t>
      </w:r>
      <w:r w:rsidR="007E4852" w:rsidRPr="00C80D3A">
        <w:rPr>
          <w:rFonts w:ascii="Times New Roman" w:hAnsi="Times New Roman" w:cs="Times New Roman"/>
          <w:sz w:val="26"/>
          <w:szCs w:val="26"/>
        </w:rPr>
        <w:t xml:space="preserve">s </w:t>
      </w:r>
      <w:r w:rsidRPr="00C80D3A">
        <w:rPr>
          <w:rFonts w:ascii="Times New Roman" w:hAnsi="Times New Roman" w:cs="Times New Roman"/>
          <w:sz w:val="26"/>
          <w:szCs w:val="26"/>
        </w:rPr>
        <w:t xml:space="preserve">energy burden falls within the established ranges, it is considered an acceptable energy burden for a low-income household.  </w:t>
      </w:r>
    </w:p>
    <w:p w14:paraId="3F42333E" w14:textId="77777777" w:rsidR="00EE1449" w:rsidRPr="00C80D3A" w:rsidRDefault="00EE1449" w:rsidP="00315DBC">
      <w:pPr>
        <w:spacing w:after="0" w:line="360" w:lineRule="auto"/>
        <w:ind w:firstLine="720"/>
        <w:contextualSpacing/>
        <w:rPr>
          <w:rFonts w:ascii="Times New Roman" w:hAnsi="Times New Roman" w:cs="Times New Roman"/>
          <w:sz w:val="26"/>
          <w:szCs w:val="26"/>
        </w:rPr>
      </w:pPr>
    </w:p>
    <w:p w14:paraId="53D6B8A4" w14:textId="61BF4552" w:rsidR="00506216" w:rsidRPr="00C80D3A" w:rsidRDefault="00506216" w:rsidP="00315DBC">
      <w:pPr>
        <w:spacing w:after="0" w:line="360" w:lineRule="auto"/>
        <w:ind w:firstLine="720"/>
        <w:contextualSpacing/>
        <w:rPr>
          <w:rFonts w:ascii="Times New Roman" w:eastAsiaTheme="minorEastAsia" w:hAnsi="Times New Roman" w:cs="Times New Roman"/>
          <w:sz w:val="26"/>
          <w:szCs w:val="26"/>
        </w:rPr>
      </w:pPr>
      <w:r w:rsidRPr="00C80D3A">
        <w:rPr>
          <w:rFonts w:ascii="Times New Roman" w:hAnsi="Times New Roman" w:cs="Times New Roman"/>
          <w:sz w:val="26"/>
          <w:szCs w:val="26"/>
        </w:rPr>
        <w:t xml:space="preserve">In an </w:t>
      </w:r>
      <w:r w:rsidR="00B20E55" w:rsidRPr="00C80D3A">
        <w:rPr>
          <w:rFonts w:ascii="Times New Roman" w:hAnsi="Times New Roman" w:cs="Times New Roman"/>
          <w:sz w:val="26"/>
          <w:szCs w:val="26"/>
        </w:rPr>
        <w:t>o</w:t>
      </w:r>
      <w:r w:rsidRPr="00C80D3A">
        <w:rPr>
          <w:rFonts w:ascii="Times New Roman" w:hAnsi="Times New Roman" w:cs="Times New Roman"/>
          <w:sz w:val="26"/>
          <w:szCs w:val="26"/>
        </w:rPr>
        <w:t xml:space="preserve">rder entered on May 5, 2017, at Docket No. M-2017-2587711, the Commission </w:t>
      </w:r>
      <w:r w:rsidR="007036CD" w:rsidRPr="00C80D3A">
        <w:rPr>
          <w:rFonts w:ascii="Times New Roman" w:hAnsi="Times New Roman" w:cs="Times New Roman"/>
          <w:sz w:val="26"/>
          <w:szCs w:val="26"/>
        </w:rPr>
        <w:t>noted</w:t>
      </w:r>
      <w:r w:rsidRPr="00C80D3A">
        <w:rPr>
          <w:rFonts w:ascii="Times New Roman" w:hAnsi="Times New Roman" w:cs="Times New Roman"/>
          <w:sz w:val="26"/>
          <w:szCs w:val="26"/>
        </w:rPr>
        <w:t xml:space="preserve"> that (1) </w:t>
      </w:r>
      <w:r w:rsidRPr="00C80D3A">
        <w:rPr>
          <w:rFonts w:ascii="Times New Roman" w:eastAsiaTheme="minorEastAsia" w:hAnsi="Times New Roman" w:cs="Times New Roman"/>
          <w:color w:val="000000"/>
          <w:sz w:val="26"/>
          <w:szCs w:val="26"/>
        </w:rPr>
        <w:t xml:space="preserve">residents falling below 50% of </w:t>
      </w:r>
      <w:r w:rsidR="00112355">
        <w:rPr>
          <w:rFonts w:ascii="Times New Roman" w:eastAsiaTheme="minorEastAsia" w:hAnsi="Times New Roman" w:cs="Times New Roman"/>
          <w:color w:val="000000"/>
          <w:sz w:val="26"/>
          <w:szCs w:val="26"/>
        </w:rPr>
        <w:t xml:space="preserve">the </w:t>
      </w:r>
      <w:r w:rsidR="002C2B64">
        <w:rPr>
          <w:rFonts w:ascii="Times New Roman" w:eastAsiaTheme="minorEastAsia" w:hAnsi="Times New Roman" w:cs="Times New Roman"/>
          <w:color w:val="000000"/>
          <w:sz w:val="26"/>
          <w:szCs w:val="26"/>
        </w:rPr>
        <w:t>FPIG</w:t>
      </w:r>
      <w:r w:rsidRPr="00C80D3A">
        <w:rPr>
          <w:rFonts w:ascii="Times New Roman" w:eastAsiaTheme="minorEastAsia" w:hAnsi="Times New Roman" w:cs="Times New Roman"/>
          <w:color w:val="000000"/>
          <w:sz w:val="26"/>
          <w:szCs w:val="26"/>
        </w:rPr>
        <w:t xml:space="preserve"> pay an average of 30%</w:t>
      </w:r>
      <w:r w:rsidR="00D67A45">
        <w:rPr>
          <w:rFonts w:ascii="Times New Roman" w:eastAsiaTheme="minorEastAsia" w:hAnsi="Times New Roman" w:cs="Times New Roman"/>
          <w:color w:val="000000"/>
          <w:sz w:val="26"/>
          <w:szCs w:val="26"/>
        </w:rPr>
        <w:t> </w:t>
      </w:r>
      <w:r w:rsidRPr="00C80D3A">
        <w:rPr>
          <w:rFonts w:ascii="Times New Roman" w:eastAsiaTheme="minorEastAsia" w:hAnsi="Times New Roman" w:cs="Times New Roman"/>
          <w:color w:val="000000"/>
          <w:sz w:val="26"/>
          <w:szCs w:val="26"/>
        </w:rPr>
        <w:t>of their income on home energy costs alone;</w:t>
      </w:r>
      <w:r w:rsidRPr="00C80D3A">
        <w:rPr>
          <w:rFonts w:ascii="Times New Roman" w:eastAsiaTheme="minorEastAsia" w:hAnsi="Times New Roman" w:cs="Times New Roman"/>
          <w:color w:val="000000"/>
          <w:sz w:val="26"/>
          <w:szCs w:val="26"/>
          <w:vertAlign w:val="superscript"/>
        </w:rPr>
        <w:footnoteReference w:id="29"/>
      </w:r>
      <w:r w:rsidRPr="00C80D3A">
        <w:rPr>
          <w:rFonts w:ascii="Times New Roman" w:eastAsiaTheme="minorEastAsia" w:hAnsi="Times New Roman" w:cs="Times New Roman"/>
          <w:color w:val="000000"/>
          <w:sz w:val="26"/>
          <w:szCs w:val="26"/>
        </w:rPr>
        <w:t xml:space="preserve"> and (2) </w:t>
      </w:r>
      <w:r w:rsidRPr="00C80D3A">
        <w:rPr>
          <w:rFonts w:ascii="Times New Roman" w:eastAsiaTheme="minorEastAsia" w:hAnsi="Times New Roman" w:cs="Times New Roman"/>
          <w:sz w:val="26"/>
          <w:szCs w:val="26"/>
        </w:rPr>
        <w:t>national low-income energy burden models suggest establishing energy burdens between 6%</w:t>
      </w:r>
      <w:r w:rsidRPr="00C80D3A">
        <w:rPr>
          <w:rFonts w:ascii="Times New Roman" w:eastAsiaTheme="minorEastAsia" w:hAnsi="Times New Roman" w:cs="Times New Roman"/>
          <w:sz w:val="26"/>
          <w:szCs w:val="26"/>
          <w:vertAlign w:val="superscript"/>
        </w:rPr>
        <w:footnoteReference w:id="30"/>
      </w:r>
      <w:r w:rsidRPr="00C80D3A">
        <w:rPr>
          <w:rFonts w:ascii="Times New Roman" w:eastAsiaTheme="minorEastAsia" w:hAnsi="Times New Roman" w:cs="Times New Roman"/>
          <w:sz w:val="26"/>
          <w:szCs w:val="26"/>
        </w:rPr>
        <w:t xml:space="preserve"> and 11%</w:t>
      </w:r>
      <w:r w:rsidRPr="00C80D3A">
        <w:rPr>
          <w:rFonts w:ascii="Times New Roman" w:eastAsiaTheme="minorEastAsia" w:hAnsi="Times New Roman" w:cs="Times New Roman"/>
          <w:sz w:val="26"/>
          <w:szCs w:val="26"/>
          <w:vertAlign w:val="superscript"/>
        </w:rPr>
        <w:footnoteReference w:id="31"/>
      </w:r>
      <w:r w:rsidRPr="00C80D3A">
        <w:rPr>
          <w:rFonts w:ascii="Times New Roman" w:eastAsiaTheme="minorEastAsia" w:hAnsi="Times New Roman" w:cs="Times New Roman"/>
          <w:sz w:val="26"/>
          <w:szCs w:val="26"/>
          <w:vertAlign w:val="superscript"/>
        </w:rPr>
        <w:t>,</w:t>
      </w:r>
      <w:r w:rsidR="007036CD" w:rsidRPr="00C80D3A">
        <w:rPr>
          <w:rFonts w:ascii="Times New Roman" w:eastAsiaTheme="minorEastAsia" w:hAnsi="Times New Roman" w:cs="Times New Roman"/>
          <w:sz w:val="26"/>
          <w:szCs w:val="26"/>
          <w:vertAlign w:val="superscript"/>
        </w:rPr>
        <w:t xml:space="preserve"> </w:t>
      </w:r>
      <w:r w:rsidRPr="00C80D3A">
        <w:rPr>
          <w:rFonts w:ascii="Times New Roman" w:eastAsiaTheme="minorEastAsia" w:hAnsi="Times New Roman" w:cs="Times New Roman"/>
          <w:sz w:val="26"/>
          <w:szCs w:val="26"/>
          <w:vertAlign w:val="superscript"/>
        </w:rPr>
        <w:footnoteReference w:id="32"/>
      </w:r>
      <w:r w:rsidRPr="00C80D3A">
        <w:rPr>
          <w:rFonts w:ascii="Times New Roman" w:eastAsiaTheme="minorEastAsia" w:hAnsi="Times New Roman" w:cs="Times New Roman"/>
          <w:sz w:val="26"/>
          <w:szCs w:val="26"/>
        </w:rPr>
        <w:t xml:space="preserve"> of household income.  May</w:t>
      </w:r>
      <w:r w:rsidRPr="00C80D3A" w:rsidDel="009E532B">
        <w:rPr>
          <w:rFonts w:ascii="Times New Roman" w:eastAsiaTheme="minorEastAsia" w:hAnsi="Times New Roman" w:cs="Times New Roman"/>
          <w:sz w:val="26"/>
          <w:szCs w:val="26"/>
        </w:rPr>
        <w:t xml:space="preserve"> </w:t>
      </w:r>
      <w:r w:rsidR="009E532B" w:rsidRPr="00C80D3A">
        <w:rPr>
          <w:rFonts w:ascii="Times New Roman" w:eastAsiaTheme="minorEastAsia" w:hAnsi="Times New Roman" w:cs="Times New Roman"/>
          <w:sz w:val="26"/>
          <w:szCs w:val="26"/>
        </w:rPr>
        <w:t>5</w:t>
      </w:r>
      <w:r w:rsidRPr="00C80D3A">
        <w:rPr>
          <w:rFonts w:ascii="Times New Roman" w:eastAsiaTheme="minorEastAsia" w:hAnsi="Times New Roman" w:cs="Times New Roman"/>
          <w:sz w:val="26"/>
          <w:szCs w:val="26"/>
        </w:rPr>
        <w:t xml:space="preserve"> Order at 2</w:t>
      </w:r>
      <w:r w:rsidR="00750A27" w:rsidRPr="00C80D3A">
        <w:rPr>
          <w:rFonts w:ascii="Times New Roman" w:hAnsi="Times New Roman" w:cs="Times New Roman"/>
          <w:sz w:val="26"/>
          <w:szCs w:val="26"/>
        </w:rPr>
        <w:t>–</w:t>
      </w:r>
      <w:r w:rsidRPr="00C80D3A">
        <w:rPr>
          <w:rFonts w:ascii="Times New Roman" w:eastAsiaTheme="minorEastAsia" w:hAnsi="Times New Roman" w:cs="Times New Roman"/>
          <w:sz w:val="26"/>
          <w:szCs w:val="26"/>
        </w:rPr>
        <w:t>3.  The Commission directed BCS to initiate a study to determine what constitutes an affordable energy burden for Pennsylvania</w:t>
      </w:r>
      <w:r w:rsidR="001529C6">
        <w:rPr>
          <w:rFonts w:ascii="Times New Roman" w:eastAsiaTheme="minorEastAsia" w:hAnsi="Times New Roman" w:cs="Times New Roman"/>
          <w:sz w:val="26"/>
          <w:szCs w:val="26"/>
        </w:rPr>
        <w:t>’</w:t>
      </w:r>
      <w:r w:rsidRPr="00C80D3A">
        <w:rPr>
          <w:rFonts w:ascii="Times New Roman" w:eastAsiaTheme="minorEastAsia" w:hAnsi="Times New Roman" w:cs="Times New Roman"/>
          <w:sz w:val="26"/>
          <w:szCs w:val="26"/>
        </w:rPr>
        <w:t>s low-income households and identify what policy changes are needed to bring universal service programs into alignment with any affordability recommendations.  May</w:t>
      </w:r>
      <w:r w:rsidRPr="00C80D3A" w:rsidDel="009E532B">
        <w:rPr>
          <w:rFonts w:ascii="Times New Roman" w:eastAsiaTheme="minorEastAsia" w:hAnsi="Times New Roman" w:cs="Times New Roman"/>
          <w:sz w:val="26"/>
          <w:szCs w:val="26"/>
        </w:rPr>
        <w:t xml:space="preserve"> </w:t>
      </w:r>
      <w:r w:rsidR="009E532B" w:rsidRPr="00C80D3A">
        <w:rPr>
          <w:rFonts w:ascii="Times New Roman" w:eastAsiaTheme="minorEastAsia" w:hAnsi="Times New Roman" w:cs="Times New Roman"/>
          <w:sz w:val="26"/>
          <w:szCs w:val="26"/>
        </w:rPr>
        <w:t>5</w:t>
      </w:r>
      <w:r w:rsidRPr="00C80D3A">
        <w:rPr>
          <w:rFonts w:ascii="Times New Roman" w:eastAsiaTheme="minorEastAsia" w:hAnsi="Times New Roman" w:cs="Times New Roman"/>
          <w:sz w:val="26"/>
          <w:szCs w:val="26"/>
        </w:rPr>
        <w:t xml:space="preserve"> Order at 4 and Ordering Paragraph (OP) #1. </w:t>
      </w:r>
    </w:p>
    <w:p w14:paraId="6F764A82" w14:textId="77777777" w:rsidR="00506216" w:rsidRPr="00C80D3A" w:rsidRDefault="00506216" w:rsidP="00315DBC">
      <w:pPr>
        <w:spacing w:after="0" w:line="360" w:lineRule="auto"/>
        <w:contextualSpacing/>
        <w:rPr>
          <w:rFonts w:ascii="Times New Roman" w:hAnsi="Times New Roman" w:cs="Times New Roman"/>
          <w:iCs/>
          <w:sz w:val="26"/>
          <w:szCs w:val="26"/>
        </w:rPr>
      </w:pPr>
    </w:p>
    <w:p w14:paraId="281562C0" w14:textId="6D9575E9" w:rsidR="00506216" w:rsidRPr="00C80D3A" w:rsidRDefault="00506216" w:rsidP="002F72E9">
      <w:pPr>
        <w:keepNext/>
        <w:spacing w:after="0" w:line="240" w:lineRule="auto"/>
        <w:contextualSpacing/>
        <w:rPr>
          <w:rFonts w:ascii="Times New Roman" w:hAnsi="Times New Roman" w:cs="Times New Roman"/>
          <w:i/>
          <w:sz w:val="26"/>
          <w:szCs w:val="26"/>
        </w:rPr>
      </w:pPr>
      <w:r w:rsidRPr="00C80D3A">
        <w:rPr>
          <w:rFonts w:ascii="Times New Roman" w:hAnsi="Times New Roman" w:cs="Times New Roman"/>
          <w:i/>
          <w:sz w:val="26"/>
          <w:szCs w:val="26"/>
        </w:rPr>
        <w:t>Review of Universal Service and Energy Conservation Programs, Docket No. M</w:t>
      </w:r>
      <w:r w:rsidR="002F72E9" w:rsidRPr="00C80D3A">
        <w:rPr>
          <w:rFonts w:ascii="Times New Roman" w:hAnsi="Times New Roman" w:cs="Times New Roman"/>
          <w:i/>
          <w:sz w:val="26"/>
          <w:szCs w:val="26"/>
        </w:rPr>
        <w:t>­</w:t>
      </w:r>
      <w:r w:rsidRPr="00C80D3A">
        <w:rPr>
          <w:rFonts w:ascii="Times New Roman" w:hAnsi="Times New Roman" w:cs="Times New Roman"/>
          <w:i/>
          <w:sz w:val="26"/>
          <w:szCs w:val="26"/>
        </w:rPr>
        <w:t>2017</w:t>
      </w:r>
      <w:r w:rsidR="002F72E9" w:rsidRPr="00C80D3A">
        <w:rPr>
          <w:rFonts w:ascii="Times New Roman" w:hAnsi="Times New Roman" w:cs="Times New Roman"/>
          <w:i/>
          <w:sz w:val="26"/>
          <w:szCs w:val="26"/>
        </w:rPr>
        <w:t>­</w:t>
      </w:r>
      <w:r w:rsidRPr="00C80D3A">
        <w:rPr>
          <w:rFonts w:ascii="Times New Roman" w:hAnsi="Times New Roman" w:cs="Times New Roman"/>
          <w:i/>
          <w:sz w:val="26"/>
          <w:szCs w:val="26"/>
        </w:rPr>
        <w:t>2596907</w:t>
      </w:r>
    </w:p>
    <w:p w14:paraId="577A2D99" w14:textId="77777777" w:rsidR="00506216" w:rsidRPr="00C80D3A" w:rsidRDefault="00506216" w:rsidP="002F72E9">
      <w:pPr>
        <w:keepNext/>
        <w:spacing w:after="0" w:line="240" w:lineRule="auto"/>
        <w:contextualSpacing/>
        <w:rPr>
          <w:rFonts w:ascii="Times New Roman" w:hAnsi="Times New Roman" w:cs="Times New Roman"/>
          <w:sz w:val="26"/>
          <w:szCs w:val="26"/>
        </w:rPr>
      </w:pPr>
    </w:p>
    <w:p w14:paraId="05343C39" w14:textId="77777777" w:rsidR="00506216" w:rsidRPr="00C80D3A" w:rsidRDefault="00506216" w:rsidP="00732AC6">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from Parties</w:t>
      </w:r>
    </w:p>
    <w:p w14:paraId="45A91618" w14:textId="77777777" w:rsidR="00B77396"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During the </w:t>
      </w:r>
      <w:r w:rsidRPr="00C80D3A">
        <w:rPr>
          <w:rFonts w:ascii="Times New Roman" w:hAnsi="Times New Roman" w:cs="Times New Roman"/>
          <w:i/>
          <w:sz w:val="26"/>
          <w:szCs w:val="26"/>
        </w:rPr>
        <w:t>Review</w:t>
      </w:r>
      <w:r w:rsidRPr="00C80D3A">
        <w:rPr>
          <w:rFonts w:ascii="Times New Roman" w:hAnsi="Times New Roman" w:cs="Times New Roman"/>
          <w:sz w:val="26"/>
          <w:szCs w:val="26"/>
        </w:rPr>
        <w:t xml:space="preserve"> proceedings, </w:t>
      </w:r>
      <w:r w:rsidR="001E4CDC">
        <w:rPr>
          <w:rFonts w:ascii="Times New Roman" w:hAnsi="Times New Roman" w:cs="Times New Roman"/>
          <w:sz w:val="26"/>
          <w:szCs w:val="26"/>
        </w:rPr>
        <w:t xml:space="preserve">several </w:t>
      </w:r>
      <w:r w:rsidRPr="00C80D3A">
        <w:rPr>
          <w:rFonts w:ascii="Times New Roman" w:hAnsi="Times New Roman" w:cs="Times New Roman"/>
          <w:sz w:val="26"/>
          <w:szCs w:val="26"/>
        </w:rPr>
        <w:t xml:space="preserve">stakeholders recommended the Commission establish a maximum 6% energy burden for electric and natural gas service.  </w:t>
      </w:r>
    </w:p>
    <w:p w14:paraId="4FF9E749" w14:textId="77777777" w:rsidR="00B77396" w:rsidRDefault="00B77396">
      <w:pPr>
        <w:rPr>
          <w:rFonts w:ascii="Times New Roman" w:hAnsi="Times New Roman" w:cs="Times New Roman"/>
          <w:sz w:val="26"/>
          <w:szCs w:val="26"/>
        </w:rPr>
      </w:pPr>
      <w:r>
        <w:rPr>
          <w:rFonts w:ascii="Times New Roman" w:hAnsi="Times New Roman" w:cs="Times New Roman"/>
          <w:sz w:val="26"/>
          <w:szCs w:val="26"/>
        </w:rPr>
        <w:br w:type="page"/>
      </w:r>
    </w:p>
    <w:p w14:paraId="0451331C" w14:textId="02C162DA" w:rsidR="00506216" w:rsidRPr="00C80D3A" w:rsidRDefault="00506216" w:rsidP="00B77396">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Stakeholders supporting this position included the Pennsylvania Service Providers,</w:t>
      </w:r>
      <w:r w:rsidRPr="00C80D3A">
        <w:rPr>
          <w:rFonts w:ascii="Times New Roman" w:hAnsi="Times New Roman" w:cs="Times New Roman"/>
          <w:sz w:val="26"/>
          <w:szCs w:val="26"/>
          <w:vertAlign w:val="superscript"/>
        </w:rPr>
        <w:footnoteReference w:id="33"/>
      </w:r>
      <w:r w:rsidRPr="00C80D3A">
        <w:rPr>
          <w:rFonts w:ascii="Times New Roman" w:hAnsi="Times New Roman" w:cs="Times New Roman"/>
          <w:sz w:val="26"/>
          <w:szCs w:val="26"/>
        </w:rPr>
        <w:t xml:space="preserve"> PA Energy Efficiency for All Coalition (PA-EEFA),</w:t>
      </w:r>
      <w:r w:rsidRPr="00C80D3A">
        <w:rPr>
          <w:rFonts w:ascii="Times New Roman" w:hAnsi="Times New Roman" w:cs="Times New Roman"/>
          <w:sz w:val="26"/>
          <w:szCs w:val="26"/>
          <w:vertAlign w:val="superscript"/>
        </w:rPr>
        <w:footnoteReference w:id="34"/>
      </w:r>
      <w:r w:rsidRPr="00C80D3A">
        <w:rPr>
          <w:rFonts w:ascii="Times New Roman" w:hAnsi="Times New Roman" w:cs="Times New Roman"/>
          <w:sz w:val="26"/>
          <w:szCs w:val="26"/>
        </w:rPr>
        <w:t xml:space="preserve"> the Low Income Advocates,</w:t>
      </w:r>
      <w:r w:rsidRPr="00C80D3A">
        <w:rPr>
          <w:rStyle w:val="FootnoteReference"/>
          <w:rFonts w:ascii="Times New Roman" w:hAnsi="Times New Roman" w:cs="Times New Roman"/>
          <w:sz w:val="26"/>
          <w:szCs w:val="26"/>
        </w:rPr>
        <w:footnoteReference w:id="35"/>
      </w:r>
      <w:r w:rsidRPr="00C80D3A">
        <w:rPr>
          <w:rFonts w:ascii="Times New Roman" w:hAnsi="Times New Roman" w:cs="Times New Roman"/>
          <w:sz w:val="26"/>
          <w:szCs w:val="26"/>
        </w:rPr>
        <w:t xml:space="preserve"> and the Weatherization and Conservation Collaborative (WCC).  Pennsylvania Service Providers Comments at 3; Low Income Advocates Comments at 16</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 xml:space="preserve">19; PA-EEFA Comments at 6; and WCC Comments at 6.  </w:t>
      </w:r>
    </w:p>
    <w:p w14:paraId="3A2278F0" w14:textId="77777777" w:rsidR="00506216" w:rsidRPr="00C80D3A" w:rsidRDefault="00506216" w:rsidP="00315DBC">
      <w:pPr>
        <w:spacing w:after="0" w:line="360" w:lineRule="auto"/>
        <w:contextualSpacing/>
        <w:textAlignment w:val="baseline"/>
        <w:rPr>
          <w:rFonts w:ascii="Times New Roman" w:hAnsi="Times New Roman" w:cs="Times New Roman"/>
          <w:sz w:val="26"/>
          <w:szCs w:val="26"/>
        </w:rPr>
      </w:pPr>
    </w:p>
    <w:p w14:paraId="578658C4" w14:textId="1B78107B" w:rsidR="00506216" w:rsidRPr="00C80D3A" w:rsidRDefault="00506216" w:rsidP="00315DBC">
      <w:pPr>
        <w:spacing w:after="0" w:line="360" w:lineRule="auto"/>
        <w:ind w:firstLine="720"/>
        <w:contextualSpacing/>
        <w:textAlignment w:val="baseline"/>
        <w:rPr>
          <w:rFonts w:ascii="Times New Roman" w:hAnsi="Times New Roman" w:cs="Times New Roman"/>
          <w:sz w:val="26"/>
          <w:szCs w:val="26"/>
        </w:rPr>
      </w:pPr>
      <w:r w:rsidRPr="00C80D3A">
        <w:rPr>
          <w:rFonts w:ascii="Times New Roman" w:hAnsi="Times New Roman" w:cs="Times New Roman"/>
          <w:color w:val="000000"/>
          <w:sz w:val="26"/>
          <w:szCs w:val="26"/>
        </w:rPr>
        <w:t>PECO estimates that if a 6% energy burden requirement is implemented, it would increase annual CAP Credit expenditures</w:t>
      </w:r>
      <w:r w:rsidRPr="00C80D3A">
        <w:rPr>
          <w:rStyle w:val="FootnoteReference"/>
          <w:rFonts w:ascii="Times New Roman" w:hAnsi="Times New Roman" w:cs="Times New Roman"/>
          <w:color w:val="000000"/>
          <w:sz w:val="26"/>
          <w:szCs w:val="26"/>
        </w:rPr>
        <w:footnoteReference w:id="36"/>
      </w:r>
      <w:r w:rsidRPr="00C80D3A">
        <w:rPr>
          <w:rFonts w:ascii="Times New Roman" w:hAnsi="Times New Roman" w:cs="Times New Roman"/>
          <w:color w:val="000000"/>
          <w:sz w:val="26"/>
          <w:szCs w:val="26"/>
        </w:rPr>
        <w:t xml:space="preserve"> by $72 million for electric and $14 million for </w:t>
      </w:r>
      <w:r w:rsidRPr="00C80D3A">
        <w:rPr>
          <w:rFonts w:ascii="Times New Roman" w:hAnsi="Times New Roman" w:cs="Times New Roman"/>
          <w:sz w:val="26"/>
          <w:szCs w:val="26"/>
        </w:rPr>
        <w:t>natural</w:t>
      </w:r>
      <w:r w:rsidRPr="00C80D3A">
        <w:rPr>
          <w:rFonts w:ascii="Times New Roman" w:hAnsi="Times New Roman" w:cs="Times New Roman"/>
          <w:color w:val="000000"/>
          <w:sz w:val="26"/>
          <w:szCs w:val="26"/>
        </w:rPr>
        <w:t xml:space="preserve"> gas.</w:t>
      </w:r>
      <w:r w:rsidR="00FE3EBC" w:rsidRPr="00C80D3A">
        <w:rPr>
          <w:rFonts w:ascii="Times New Roman" w:hAnsi="Times New Roman" w:cs="Times New Roman"/>
          <w:color w:val="000000"/>
          <w:sz w:val="26"/>
          <w:szCs w:val="26"/>
        </w:rPr>
        <w:t xml:space="preserve"> </w:t>
      </w:r>
      <w:r w:rsidRPr="00C80D3A">
        <w:rPr>
          <w:rFonts w:ascii="Times New Roman" w:hAnsi="Times New Roman" w:cs="Times New Roman"/>
          <w:color w:val="000000"/>
          <w:sz w:val="26"/>
          <w:szCs w:val="26"/>
        </w:rPr>
        <w:t xml:space="preserve"> PECO Reply Comments at 4.</w:t>
      </w:r>
      <w:r w:rsidRPr="00C80D3A">
        <w:rPr>
          <w:rFonts w:ascii="Times New Roman" w:hAnsi="Times New Roman" w:cs="Times New Roman"/>
          <w:sz w:val="26"/>
          <w:szCs w:val="26"/>
        </w:rPr>
        <w:t> </w:t>
      </w:r>
    </w:p>
    <w:p w14:paraId="58083F47" w14:textId="77777777" w:rsidR="00506216" w:rsidRPr="00C80D3A" w:rsidRDefault="00506216" w:rsidP="00315DBC">
      <w:pPr>
        <w:spacing w:after="0" w:line="360" w:lineRule="auto"/>
        <w:contextualSpacing/>
        <w:textAlignment w:val="baseline"/>
        <w:rPr>
          <w:rFonts w:ascii="Times New Roman" w:hAnsi="Times New Roman" w:cs="Times New Roman"/>
          <w:sz w:val="26"/>
          <w:szCs w:val="26"/>
        </w:rPr>
      </w:pPr>
      <w:r w:rsidRPr="00C80D3A">
        <w:rPr>
          <w:rFonts w:ascii="Times New Roman" w:hAnsi="Times New Roman" w:cs="Times New Roman"/>
          <w:sz w:val="26"/>
          <w:szCs w:val="26"/>
        </w:rPr>
        <w:t> </w:t>
      </w:r>
    </w:p>
    <w:p w14:paraId="4F706C18" w14:textId="77777777" w:rsidR="00506216" w:rsidRPr="00C80D3A" w:rsidRDefault="00506216" w:rsidP="00315DBC">
      <w:pPr>
        <w:spacing w:after="0" w:line="360" w:lineRule="auto"/>
        <w:ind w:firstLine="720"/>
        <w:contextualSpacing/>
        <w:textAlignment w:val="baseline"/>
        <w:rPr>
          <w:rFonts w:ascii="Times New Roman" w:hAnsi="Times New Roman" w:cs="Times New Roman"/>
          <w:sz w:val="26"/>
          <w:szCs w:val="26"/>
        </w:rPr>
      </w:pPr>
      <w:r w:rsidRPr="00C80D3A">
        <w:rPr>
          <w:rFonts w:ascii="Times New Roman" w:hAnsi="Times New Roman" w:cs="Times New Roman"/>
          <w:color w:val="000000"/>
          <w:sz w:val="26"/>
          <w:szCs w:val="26"/>
        </w:rPr>
        <w:t>FirstEnergy estimates lowering the energy burden to 6% for all CAP participants would result in additional annual CAP costs of approximately $5.2 million for Met-Ed, $5.9 million for Penelec, $1.5 million for Penn Power, and $9.5 million for West Penn.  These projected costs would increase the current level of CAP credit costs for these utilities by 46% annually.  FirstEnergy Reply Comments at 10.</w:t>
      </w:r>
      <w:r w:rsidRPr="00C80D3A">
        <w:rPr>
          <w:rFonts w:ascii="Times New Roman" w:hAnsi="Times New Roman" w:cs="Times New Roman"/>
          <w:sz w:val="26"/>
          <w:szCs w:val="26"/>
        </w:rPr>
        <w:t> </w:t>
      </w:r>
    </w:p>
    <w:p w14:paraId="26EFC4BD" w14:textId="77777777" w:rsidR="00506216" w:rsidRPr="00C80D3A" w:rsidRDefault="00506216" w:rsidP="00315DBC">
      <w:pPr>
        <w:spacing w:after="0" w:line="360" w:lineRule="auto"/>
        <w:contextualSpacing/>
        <w:textAlignment w:val="baseline"/>
        <w:rPr>
          <w:rFonts w:ascii="Times New Roman" w:hAnsi="Times New Roman" w:cs="Times New Roman"/>
          <w:sz w:val="26"/>
          <w:szCs w:val="26"/>
        </w:rPr>
      </w:pPr>
    </w:p>
    <w:p w14:paraId="575B4F57" w14:textId="743D87C4" w:rsidR="00506216" w:rsidRPr="00C80D3A" w:rsidRDefault="00506216" w:rsidP="00315DBC">
      <w:pPr>
        <w:spacing w:after="0" w:line="360" w:lineRule="auto"/>
        <w:ind w:firstLine="720"/>
        <w:contextualSpacing/>
        <w:textAlignment w:val="baseline"/>
        <w:rPr>
          <w:rFonts w:ascii="Times New Roman" w:hAnsi="Times New Roman" w:cs="Times New Roman"/>
          <w:color w:val="000000"/>
          <w:sz w:val="26"/>
          <w:szCs w:val="26"/>
        </w:rPr>
      </w:pPr>
      <w:r w:rsidRPr="00C80D3A">
        <w:rPr>
          <w:rFonts w:ascii="Times New Roman" w:hAnsi="Times New Roman" w:cs="Times New Roman"/>
          <w:color w:val="000000"/>
          <w:sz w:val="26"/>
          <w:szCs w:val="26"/>
        </w:rPr>
        <w:t>EAP points out that the energy assistance programs in New Jersey and Maryland, which have energy burdens closer to 6%, have a much smaller scope and cost than PA</w:t>
      </w:r>
      <w:r w:rsidR="001529C6">
        <w:rPr>
          <w:rFonts w:ascii="Times New Roman" w:hAnsi="Times New Roman" w:cs="Times New Roman"/>
          <w:color w:val="000000"/>
          <w:sz w:val="26"/>
          <w:szCs w:val="26"/>
        </w:rPr>
        <w:t>’</w:t>
      </w:r>
      <w:r w:rsidRPr="00C80D3A">
        <w:rPr>
          <w:rFonts w:ascii="Times New Roman" w:hAnsi="Times New Roman" w:cs="Times New Roman"/>
          <w:color w:val="000000"/>
          <w:sz w:val="26"/>
          <w:szCs w:val="26"/>
        </w:rPr>
        <w:t>s utility-funded programs.  It submits that universal service programs are not intended to be a “catch-all” solution for every Pennsylvanian who might struggle to pay energy bills.  EAP Reply Comments at 3.</w:t>
      </w:r>
      <w:r w:rsidRPr="00C80D3A">
        <w:rPr>
          <w:rFonts w:ascii="Times New Roman" w:hAnsi="Times New Roman" w:cs="Times New Roman"/>
          <w:sz w:val="26"/>
          <w:szCs w:val="26"/>
        </w:rPr>
        <w:t xml:space="preserve">  </w:t>
      </w:r>
      <w:r w:rsidRPr="00C80D3A">
        <w:rPr>
          <w:rFonts w:ascii="Times New Roman" w:hAnsi="Times New Roman" w:cs="Times New Roman"/>
          <w:color w:val="000000"/>
          <w:sz w:val="26"/>
          <w:szCs w:val="26"/>
        </w:rPr>
        <w:t>PGW also asserts that universal service programs are not government programs to help solve poverty in PA.  PGW Reply Comments at 6</w:t>
      </w:r>
      <w:r w:rsidR="00750A27" w:rsidRPr="00C80D3A">
        <w:rPr>
          <w:rFonts w:ascii="Times New Roman" w:hAnsi="Times New Roman" w:cs="Times New Roman"/>
          <w:sz w:val="26"/>
          <w:szCs w:val="26"/>
        </w:rPr>
        <w:t>–</w:t>
      </w:r>
      <w:r w:rsidRPr="00C80D3A">
        <w:rPr>
          <w:rFonts w:ascii="Times New Roman" w:hAnsi="Times New Roman" w:cs="Times New Roman"/>
          <w:color w:val="000000"/>
          <w:sz w:val="26"/>
          <w:szCs w:val="26"/>
        </w:rPr>
        <w:t>8.</w:t>
      </w:r>
    </w:p>
    <w:p w14:paraId="64FF9DC9" w14:textId="2D738C22" w:rsidR="00506216" w:rsidRPr="00C80D3A" w:rsidRDefault="00506216" w:rsidP="00315DBC">
      <w:pPr>
        <w:spacing w:after="0" w:line="360" w:lineRule="auto"/>
        <w:contextualSpacing/>
        <w:textAlignment w:val="baseline"/>
        <w:rPr>
          <w:rFonts w:ascii="Times New Roman" w:hAnsi="Times New Roman" w:cs="Times New Roman"/>
          <w:sz w:val="26"/>
          <w:szCs w:val="26"/>
        </w:rPr>
      </w:pPr>
    </w:p>
    <w:p w14:paraId="3D55186A" w14:textId="77777777" w:rsidR="00506216" w:rsidRPr="00C80D3A" w:rsidRDefault="00506216" w:rsidP="00315DBC">
      <w:pPr>
        <w:spacing w:after="0" w:line="360" w:lineRule="auto"/>
        <w:ind w:firstLine="720"/>
        <w:contextualSpacing/>
        <w:textAlignment w:val="baseline"/>
        <w:rPr>
          <w:rFonts w:ascii="Times New Roman" w:hAnsi="Times New Roman" w:cs="Times New Roman"/>
          <w:sz w:val="26"/>
          <w:szCs w:val="26"/>
        </w:rPr>
      </w:pPr>
      <w:r w:rsidRPr="00C80D3A">
        <w:rPr>
          <w:rFonts w:ascii="Times New Roman" w:hAnsi="Times New Roman" w:cs="Times New Roman"/>
          <w:sz w:val="26"/>
          <w:szCs w:val="26"/>
        </w:rPr>
        <w:t>The Low Income Advocates maintain the Commission has a legal obligation to ensure that universal service programs provide affordable electricity and natural gas service through appropriately funded, available, and cost-effective programming.  Low Income Advocates Reply Comments at 4. </w:t>
      </w:r>
    </w:p>
    <w:p w14:paraId="04965FAC" w14:textId="77777777" w:rsidR="00506216" w:rsidRPr="00C80D3A" w:rsidRDefault="00506216" w:rsidP="00315DBC">
      <w:pPr>
        <w:spacing w:after="0" w:line="360" w:lineRule="auto"/>
        <w:contextualSpacing/>
        <w:rPr>
          <w:rFonts w:ascii="Times New Roman" w:hAnsi="Times New Roman" w:cs="Times New Roman"/>
          <w:sz w:val="26"/>
          <w:szCs w:val="26"/>
        </w:rPr>
      </w:pPr>
    </w:p>
    <w:p w14:paraId="17E0EFB3" w14:textId="12AC9F8D" w:rsidR="00506216" w:rsidRPr="00C80D3A" w:rsidRDefault="00506216" w:rsidP="002F72E9">
      <w:pPr>
        <w:keepNext/>
        <w:spacing w:after="0" w:line="240" w:lineRule="auto"/>
        <w:contextualSpacing/>
        <w:rPr>
          <w:rFonts w:ascii="Times New Roman" w:hAnsi="Times New Roman" w:cs="Times New Roman"/>
          <w:i/>
          <w:sz w:val="26"/>
          <w:szCs w:val="26"/>
        </w:rPr>
      </w:pPr>
      <w:r w:rsidRPr="00C80D3A">
        <w:rPr>
          <w:rFonts w:ascii="Times New Roman" w:hAnsi="Times New Roman" w:cs="Times New Roman"/>
          <w:i/>
          <w:sz w:val="26"/>
          <w:szCs w:val="26"/>
        </w:rPr>
        <w:t>Energy Affordability Report and January 2019 Order, Docket No. M-2017-2587711</w:t>
      </w:r>
    </w:p>
    <w:p w14:paraId="2B5871EE" w14:textId="569D9049" w:rsidR="00506216" w:rsidRPr="00C80D3A" w:rsidRDefault="00506216" w:rsidP="002F72E9">
      <w:pPr>
        <w:keepNext/>
        <w:spacing w:after="0" w:line="240" w:lineRule="auto"/>
        <w:contextualSpacing/>
        <w:rPr>
          <w:rFonts w:ascii="Times New Roman" w:hAnsi="Times New Roman" w:cs="Times New Roman"/>
          <w:sz w:val="26"/>
          <w:szCs w:val="26"/>
        </w:rPr>
      </w:pPr>
    </w:p>
    <w:p w14:paraId="7B17915F" w14:textId="379DF8FA"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Energy Affordability Report noted that CAP customers – despite receiving discounted payments and/or debt forgiveness – had significantly higher energy burdens in comparison to non-CAP residential customers.  While non-CAP residential customers had an average combined energy burden of 4% for combined natural gas and electric services during the 2012-2016 study period, the average energy burdens were 7% to 8% for NGDC CAP heating customers, 5% to 6% for EDC non-heating CAP customers (</w:t>
      </w:r>
      <w:r w:rsidRPr="00C80D3A">
        <w:rPr>
          <w:rFonts w:ascii="Times New Roman" w:hAnsi="Times New Roman" w:cs="Times New Roman"/>
          <w:i/>
          <w:iCs/>
          <w:sz w:val="26"/>
          <w:szCs w:val="26"/>
        </w:rPr>
        <w:t>i.e.</w:t>
      </w:r>
      <w:r w:rsidRPr="00C80D3A">
        <w:rPr>
          <w:rFonts w:ascii="Times New Roman" w:hAnsi="Times New Roman" w:cs="Times New Roman"/>
          <w:sz w:val="26"/>
          <w:szCs w:val="26"/>
        </w:rPr>
        <w:t xml:space="preserve">, </w:t>
      </w:r>
      <w:bookmarkStart w:id="7" w:name="_Hlk15550520"/>
      <w:r w:rsidRPr="00C80D3A">
        <w:rPr>
          <w:rFonts w:ascii="Times New Roman" w:hAnsi="Times New Roman" w:cs="Times New Roman"/>
          <w:sz w:val="26"/>
          <w:szCs w:val="26"/>
        </w:rPr>
        <w:t>natural</w:t>
      </w:r>
      <w:bookmarkEnd w:id="7"/>
      <w:r w:rsidRPr="00C80D3A">
        <w:rPr>
          <w:rFonts w:ascii="Times New Roman" w:hAnsi="Times New Roman" w:cs="Times New Roman"/>
          <w:sz w:val="26"/>
          <w:szCs w:val="26"/>
        </w:rPr>
        <w:t xml:space="preserve"> gas heating CAP customers had a combined energy burden of 12% to 14%), and 8% to 10% for EDC CAP heating customers.  The study also revealed that CAP households in the 0</w:t>
      </w:r>
      <w:r w:rsidRPr="00C80D3A">
        <w:rPr>
          <w:rFonts w:ascii="Times New Roman" w:hAnsi="Times New Roman" w:cs="Times New Roman"/>
          <w:sz w:val="26"/>
          <w:szCs w:val="26"/>
        </w:rPr>
        <w:noBreakHyphen/>
        <w:t xml:space="preserve">50% FPIG level, regardless of heating or non-heating status and energy type, often had energy burdens exceeding the CAP Policy Statement maximum levels of 5% to 13%.  </w:t>
      </w:r>
      <w:r w:rsidR="00C85268" w:rsidRPr="00C80D3A">
        <w:rPr>
          <w:rFonts w:ascii="Times New Roman" w:eastAsia="Calibri" w:hAnsi="Times New Roman" w:cs="Times New Roman"/>
          <w:sz w:val="26"/>
          <w:szCs w:val="26"/>
        </w:rPr>
        <w:t xml:space="preserve">Energy Affordability </w:t>
      </w:r>
      <w:r w:rsidRPr="00C80D3A">
        <w:rPr>
          <w:rFonts w:ascii="Times New Roman" w:hAnsi="Times New Roman" w:cs="Times New Roman"/>
          <w:sz w:val="26"/>
          <w:szCs w:val="26"/>
        </w:rPr>
        <w:t>Report at 18</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31.</w:t>
      </w:r>
    </w:p>
    <w:p w14:paraId="5230E884" w14:textId="77777777" w:rsidR="00506216" w:rsidRPr="00C80D3A" w:rsidRDefault="00506216" w:rsidP="00315DBC">
      <w:pPr>
        <w:spacing w:after="0" w:line="360" w:lineRule="auto"/>
        <w:contextualSpacing/>
        <w:rPr>
          <w:rFonts w:ascii="Times New Roman" w:hAnsi="Times New Roman" w:cs="Times New Roman"/>
          <w:sz w:val="26"/>
          <w:szCs w:val="26"/>
        </w:rPr>
      </w:pPr>
    </w:p>
    <w:p w14:paraId="3954E54C" w14:textId="386002E0"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eastAsia="Calibri" w:hAnsi="Times New Roman" w:cs="Times New Roman"/>
          <w:sz w:val="26"/>
          <w:szCs w:val="26"/>
        </w:rPr>
        <w:t>The Energy Affordability Report also noted that Pennsylvania</w:t>
      </w:r>
      <w:r w:rsidR="001529C6">
        <w:rPr>
          <w:rFonts w:ascii="Times New Roman" w:eastAsia="Calibri" w:hAnsi="Times New Roman" w:cs="Times New Roman"/>
          <w:sz w:val="26"/>
          <w:szCs w:val="26"/>
        </w:rPr>
        <w:t>’</w:t>
      </w:r>
      <w:r w:rsidRPr="00C80D3A">
        <w:rPr>
          <w:rFonts w:ascii="Times New Roman" w:eastAsia="Calibri" w:hAnsi="Times New Roman" w:cs="Times New Roman"/>
          <w:sz w:val="26"/>
          <w:szCs w:val="26"/>
        </w:rPr>
        <w:t>s neighboring states had significantly lower maximum energy burdens for utility low-income program participants.  Ohio limits energy burdens to 10% for electric heating program participants,</w:t>
      </w:r>
      <w:r w:rsidRPr="00C80D3A">
        <w:rPr>
          <w:rFonts w:ascii="Times New Roman" w:eastAsia="Calibri" w:hAnsi="Times New Roman" w:cs="Times New Roman"/>
          <w:sz w:val="26"/>
          <w:szCs w:val="26"/>
          <w:vertAlign w:val="superscript"/>
        </w:rPr>
        <w:footnoteReference w:id="37"/>
      </w:r>
      <w:r w:rsidRPr="00C80D3A">
        <w:rPr>
          <w:rFonts w:ascii="Times New Roman" w:eastAsia="Calibri" w:hAnsi="Times New Roman" w:cs="Times New Roman"/>
          <w:sz w:val="26"/>
          <w:szCs w:val="26"/>
        </w:rPr>
        <w:t xml:space="preserve"> and New York</w:t>
      </w:r>
      <w:r w:rsidRPr="00C80D3A">
        <w:rPr>
          <w:rFonts w:ascii="Times New Roman" w:eastAsia="Calibri" w:hAnsi="Times New Roman" w:cs="Times New Roman"/>
          <w:sz w:val="26"/>
          <w:szCs w:val="26"/>
          <w:vertAlign w:val="superscript"/>
        </w:rPr>
        <w:footnoteReference w:id="38"/>
      </w:r>
      <w:r w:rsidRPr="00C80D3A">
        <w:rPr>
          <w:rFonts w:ascii="Times New Roman" w:eastAsia="Calibri" w:hAnsi="Times New Roman" w:cs="Times New Roman"/>
          <w:sz w:val="26"/>
          <w:szCs w:val="26"/>
        </w:rPr>
        <w:t xml:space="preserve"> and New Jersey</w:t>
      </w:r>
      <w:r w:rsidRPr="00C80D3A">
        <w:rPr>
          <w:rFonts w:ascii="Times New Roman" w:eastAsia="Calibri" w:hAnsi="Times New Roman" w:cs="Times New Roman"/>
          <w:sz w:val="26"/>
          <w:szCs w:val="26"/>
          <w:vertAlign w:val="superscript"/>
        </w:rPr>
        <w:footnoteReference w:id="39"/>
      </w:r>
      <w:r w:rsidRPr="00C80D3A">
        <w:rPr>
          <w:rFonts w:ascii="Times New Roman" w:eastAsia="Calibri" w:hAnsi="Times New Roman" w:cs="Times New Roman"/>
          <w:sz w:val="26"/>
          <w:szCs w:val="26"/>
        </w:rPr>
        <w:t xml:space="preserve"> have maximum energy burdens of 6% for electric and natural gas service.  </w:t>
      </w:r>
      <w:r w:rsidR="00951069" w:rsidRPr="00C80D3A">
        <w:rPr>
          <w:rFonts w:ascii="Times New Roman" w:eastAsia="Calibri" w:hAnsi="Times New Roman" w:cs="Times New Roman"/>
          <w:sz w:val="26"/>
          <w:szCs w:val="26"/>
        </w:rPr>
        <w:t xml:space="preserve">Energy Affordability </w:t>
      </w:r>
      <w:r w:rsidRPr="00C80D3A">
        <w:rPr>
          <w:rFonts w:ascii="Times New Roman" w:eastAsia="Calibri" w:hAnsi="Times New Roman" w:cs="Times New Roman"/>
          <w:sz w:val="26"/>
          <w:szCs w:val="26"/>
        </w:rPr>
        <w:t>Report at 84.</w:t>
      </w:r>
    </w:p>
    <w:p w14:paraId="08ED6A2E" w14:textId="77777777" w:rsidR="00506216" w:rsidRPr="00C80D3A" w:rsidRDefault="00506216" w:rsidP="00315DBC">
      <w:pPr>
        <w:spacing w:after="0" w:line="360" w:lineRule="auto"/>
        <w:contextualSpacing/>
        <w:rPr>
          <w:rFonts w:ascii="Times New Roman" w:hAnsi="Times New Roman" w:cs="Times New Roman"/>
          <w:sz w:val="26"/>
          <w:szCs w:val="26"/>
        </w:rPr>
      </w:pPr>
    </w:p>
    <w:p w14:paraId="170F2AD3" w14:textId="5E16DBC1"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Commission staff developed an energy burden model for the Energy Affordability Report to determine the estimated cost of establishing a 10% maximum energy burden for Pennsylvania</w:t>
      </w:r>
      <w:r w:rsidR="001529C6">
        <w:rPr>
          <w:rFonts w:ascii="Times New Roman" w:hAnsi="Times New Roman" w:cs="Times New Roman"/>
          <w:sz w:val="26"/>
          <w:szCs w:val="26"/>
        </w:rPr>
        <w:t>’</w:t>
      </w:r>
      <w:r w:rsidRPr="00C80D3A">
        <w:rPr>
          <w:rFonts w:ascii="Times New Roman" w:hAnsi="Times New Roman" w:cs="Times New Roman"/>
          <w:sz w:val="26"/>
          <w:szCs w:val="26"/>
        </w:rPr>
        <w:t>s CAPs that parallels Ohio</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maximum energy burden for its electric heating customers.  Based on 2012 to 2016 average CAP bills and income levels, the </w:t>
      </w:r>
      <w:r w:rsidR="00951069" w:rsidRPr="00C80D3A">
        <w:rPr>
          <w:rFonts w:ascii="Times New Roman" w:eastAsia="Calibri" w:hAnsi="Times New Roman" w:cs="Times New Roman"/>
          <w:sz w:val="26"/>
          <w:szCs w:val="26"/>
        </w:rPr>
        <w:t xml:space="preserve">Energy Affordability </w:t>
      </w:r>
      <w:r w:rsidRPr="00C80D3A">
        <w:rPr>
          <w:rFonts w:ascii="Times New Roman" w:hAnsi="Times New Roman" w:cs="Times New Roman"/>
          <w:sz w:val="26"/>
          <w:szCs w:val="26"/>
        </w:rPr>
        <w:t>Report estimated the total amount of additional discounts (</w:t>
      </w:r>
      <w:r w:rsidRPr="00C80D3A">
        <w:rPr>
          <w:rFonts w:ascii="Times New Roman" w:hAnsi="Times New Roman" w:cs="Times New Roman"/>
          <w:i/>
          <w:iCs/>
          <w:sz w:val="26"/>
          <w:szCs w:val="26"/>
        </w:rPr>
        <w:t>i.e.</w:t>
      </w:r>
      <w:r w:rsidRPr="00C80D3A">
        <w:rPr>
          <w:rFonts w:ascii="Times New Roman" w:hAnsi="Times New Roman" w:cs="Times New Roman"/>
          <w:sz w:val="26"/>
          <w:szCs w:val="26"/>
        </w:rPr>
        <w:t>, CAP credits) needed to establish maximum energy burdens of 6% for natural gas heating, 4% for electric non</w:t>
      </w:r>
      <w:r w:rsidR="00F91CF3" w:rsidRPr="00C80D3A">
        <w:rPr>
          <w:rFonts w:ascii="Times New Roman" w:hAnsi="Times New Roman" w:cs="Times New Roman"/>
          <w:sz w:val="26"/>
          <w:szCs w:val="26"/>
        </w:rPr>
        <w:t>­</w:t>
      </w:r>
      <w:r w:rsidRPr="00C80D3A">
        <w:rPr>
          <w:rFonts w:ascii="Times New Roman" w:hAnsi="Times New Roman" w:cs="Times New Roman"/>
          <w:sz w:val="26"/>
          <w:szCs w:val="26"/>
        </w:rPr>
        <w:t>heating, and 10% for electric heating to be approximately $102 million per year</w:t>
      </w:r>
      <w:r w:rsidR="00BA348B" w:rsidRPr="00C80D3A">
        <w:rPr>
          <w:rFonts w:ascii="Times New Roman" w:hAnsi="Times New Roman" w:cs="Times New Roman"/>
          <w:sz w:val="26"/>
          <w:szCs w:val="26"/>
        </w:rPr>
        <w:t>, not accounting for inflation</w:t>
      </w:r>
      <w:r w:rsidRPr="00C80D3A">
        <w:rPr>
          <w:rFonts w:ascii="Times New Roman" w:hAnsi="Times New Roman" w:cs="Times New Roman"/>
          <w:sz w:val="26"/>
          <w:szCs w:val="26"/>
        </w:rPr>
        <w:t>.  The increase in CAP credits equates to approximately $32 million for natural gas heating, $62 million for electric non-heating, and $9 million for electric heating.  The</w:t>
      </w:r>
      <w:r w:rsidR="00951069">
        <w:rPr>
          <w:rFonts w:ascii="Times New Roman" w:hAnsi="Times New Roman" w:cs="Times New Roman"/>
          <w:sz w:val="26"/>
          <w:szCs w:val="26"/>
        </w:rPr>
        <w:t xml:space="preserve"> </w:t>
      </w:r>
      <w:r w:rsidR="00951069" w:rsidRPr="00C80D3A">
        <w:rPr>
          <w:rFonts w:ascii="Times New Roman" w:eastAsia="Calibri" w:hAnsi="Times New Roman" w:cs="Times New Roman"/>
          <w:sz w:val="26"/>
          <w:szCs w:val="26"/>
        </w:rPr>
        <w:t>Energy Affordability</w:t>
      </w:r>
      <w:r w:rsidRPr="00C80D3A">
        <w:rPr>
          <w:rFonts w:ascii="Times New Roman" w:hAnsi="Times New Roman" w:cs="Times New Roman"/>
          <w:sz w:val="26"/>
          <w:szCs w:val="26"/>
        </w:rPr>
        <w:t xml:space="preserve"> Report estimated these additional CAP Credits would increase non-CAP residential ratepayers</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 natural gas and electric bills by an average of $14.52 annually ($1.21 monthly).  However, average increases would vary among the utilities.  </w:t>
      </w:r>
      <w:r w:rsidR="00951069" w:rsidRPr="00C80D3A">
        <w:rPr>
          <w:rFonts w:ascii="Times New Roman" w:eastAsia="Calibri" w:hAnsi="Times New Roman" w:cs="Times New Roman"/>
          <w:sz w:val="26"/>
          <w:szCs w:val="26"/>
        </w:rPr>
        <w:t xml:space="preserve">Energy Affordability </w:t>
      </w:r>
      <w:r w:rsidRPr="00C80D3A">
        <w:rPr>
          <w:rFonts w:ascii="Times New Roman" w:hAnsi="Times New Roman" w:cs="Times New Roman"/>
          <w:sz w:val="26"/>
          <w:szCs w:val="26"/>
        </w:rPr>
        <w:t>Report at 100</w:t>
      </w:r>
      <w:r w:rsidR="00BA348B" w:rsidRPr="00C80D3A">
        <w:rPr>
          <w:rFonts w:ascii="Times New Roman" w:hAnsi="Times New Roman" w:cs="Times New Roman"/>
          <w:sz w:val="26"/>
          <w:szCs w:val="26"/>
        </w:rPr>
        <w:t>–</w:t>
      </w:r>
      <w:r w:rsidRPr="00C80D3A">
        <w:rPr>
          <w:rFonts w:ascii="Times New Roman" w:hAnsi="Times New Roman" w:cs="Times New Roman"/>
          <w:sz w:val="26"/>
          <w:szCs w:val="26"/>
        </w:rPr>
        <w:t>107.</w:t>
      </w:r>
    </w:p>
    <w:p w14:paraId="31E5604A" w14:textId="7D7334FC"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January 2019 Order directed EDCs and NGDCs to </w:t>
      </w:r>
      <w:r w:rsidRPr="00C80D3A">
        <w:rPr>
          <w:rFonts w:ascii="Times New Roman" w:eastAsia="Calibri" w:hAnsi="Times New Roman" w:cs="Times New Roman"/>
          <w:sz w:val="26"/>
          <w:szCs w:val="26"/>
        </w:rPr>
        <w:t>provide cost forecasts based on the 10% maximum energy burden for 2017 through 2021</w:t>
      </w:r>
      <w:r w:rsidRPr="00C80D3A">
        <w:rPr>
          <w:rFonts w:ascii="Times New Roman" w:hAnsi="Times New Roman" w:cs="Times New Roman"/>
          <w:color w:val="0D0D0D"/>
          <w:sz w:val="26"/>
          <w:szCs w:val="26"/>
        </w:rPr>
        <w:t xml:space="preserve">. </w:t>
      </w:r>
      <w:r w:rsidRPr="00C80D3A">
        <w:rPr>
          <w:rFonts w:ascii="Times New Roman" w:eastAsia="Calibri" w:hAnsi="Times New Roman" w:cs="Times New Roman"/>
          <w:sz w:val="26"/>
          <w:szCs w:val="26"/>
        </w:rPr>
        <w:t xml:space="preserve"> January 2019 Order at OP #5(b).</w:t>
      </w:r>
      <w:r w:rsidR="00024EBC" w:rsidRPr="00C80D3A">
        <w:rPr>
          <w:rStyle w:val="FootnoteReference"/>
          <w:rFonts w:ascii="Times New Roman" w:eastAsia="Calibri" w:hAnsi="Times New Roman" w:cs="Times New Roman"/>
          <w:sz w:val="26"/>
          <w:szCs w:val="26"/>
        </w:rPr>
        <w:footnoteReference w:id="40"/>
      </w:r>
    </w:p>
    <w:p w14:paraId="24ACC3CE" w14:textId="77777777" w:rsidR="00506216" w:rsidRPr="00C80D3A" w:rsidRDefault="00506216" w:rsidP="002B60AF">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from Parties</w:t>
      </w:r>
    </w:p>
    <w:p w14:paraId="48823939" w14:textId="7777777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Utility and stakeholder comments on establishing a maximum 10% energy burden focused primarily on whether such a change is warranted, its potential impact on program design, and its potential costs.</w:t>
      </w:r>
    </w:p>
    <w:p w14:paraId="46DA1846" w14:textId="77777777" w:rsidR="00506216" w:rsidRPr="00C80D3A" w:rsidRDefault="00506216" w:rsidP="00315DBC">
      <w:pPr>
        <w:spacing w:after="0" w:line="360" w:lineRule="auto"/>
        <w:contextualSpacing/>
        <w:rPr>
          <w:rFonts w:ascii="Times New Roman" w:hAnsi="Times New Roman" w:cs="Times New Roman"/>
          <w:sz w:val="26"/>
          <w:szCs w:val="26"/>
        </w:rPr>
      </w:pPr>
    </w:p>
    <w:p w14:paraId="37E203BB" w14:textId="77777777" w:rsidR="00506216" w:rsidRPr="00C80D3A" w:rsidRDefault="00506216" w:rsidP="002F72E9">
      <w:pPr>
        <w:keepNext/>
        <w:spacing w:after="0" w:line="240" w:lineRule="auto"/>
        <w:contextualSpacing/>
        <w:rPr>
          <w:rFonts w:ascii="Times New Roman" w:hAnsi="Times New Roman" w:cs="Times New Roman"/>
          <w:i/>
          <w:iCs/>
          <w:sz w:val="26"/>
          <w:szCs w:val="26"/>
        </w:rPr>
      </w:pPr>
      <w:r w:rsidRPr="00C80D3A">
        <w:rPr>
          <w:rFonts w:ascii="Times New Roman" w:hAnsi="Times New Roman" w:cs="Times New Roman"/>
          <w:i/>
          <w:iCs/>
          <w:sz w:val="26"/>
          <w:szCs w:val="26"/>
        </w:rPr>
        <w:t xml:space="preserve">Whether to change the maximum energy burden </w:t>
      </w:r>
    </w:p>
    <w:p w14:paraId="74B5EFA7" w14:textId="77777777" w:rsidR="00506216" w:rsidRPr="00C80D3A" w:rsidRDefault="00506216" w:rsidP="002B60AF">
      <w:pPr>
        <w:keepNext/>
        <w:spacing w:after="0" w:line="240" w:lineRule="auto"/>
        <w:ind w:firstLine="720"/>
        <w:contextualSpacing/>
        <w:rPr>
          <w:rFonts w:ascii="Times New Roman" w:hAnsi="Times New Roman" w:cs="Times New Roman"/>
          <w:sz w:val="26"/>
          <w:szCs w:val="26"/>
        </w:rPr>
      </w:pPr>
    </w:p>
    <w:p w14:paraId="02B7C7E4" w14:textId="679E3859"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NFG, EAP, and PPL contend the analysis and data in the</w:t>
      </w:r>
      <w:r w:rsidR="00951069">
        <w:rPr>
          <w:rFonts w:ascii="Times New Roman" w:hAnsi="Times New Roman" w:cs="Times New Roman"/>
          <w:sz w:val="26"/>
          <w:szCs w:val="26"/>
        </w:rPr>
        <w:t xml:space="preserve"> </w:t>
      </w:r>
      <w:r w:rsidR="00951069" w:rsidRPr="00C80D3A">
        <w:rPr>
          <w:rFonts w:ascii="Times New Roman" w:eastAsia="Calibri" w:hAnsi="Times New Roman" w:cs="Times New Roman"/>
          <w:sz w:val="26"/>
          <w:szCs w:val="26"/>
        </w:rPr>
        <w:t>Energy Affordability</w:t>
      </w:r>
      <w:r w:rsidRPr="00C80D3A">
        <w:rPr>
          <w:rFonts w:ascii="Times New Roman" w:hAnsi="Times New Roman" w:cs="Times New Roman"/>
          <w:sz w:val="26"/>
          <w:szCs w:val="26"/>
        </w:rPr>
        <w:t xml:space="preserve"> Report do not support making any changes to maximum energy burdens in the CAP Policy Statement.  NFG Comments at 2, EAP Comments at 4, and PPL Reply Comments at 4.  NFG disputes the Report</w:t>
      </w:r>
      <w:r w:rsidR="001529C6">
        <w:rPr>
          <w:rFonts w:ascii="Times New Roman" w:hAnsi="Times New Roman" w:cs="Times New Roman"/>
          <w:sz w:val="26"/>
          <w:szCs w:val="26"/>
        </w:rPr>
        <w:t>’</w:t>
      </w:r>
      <w:r w:rsidRPr="00C80D3A">
        <w:rPr>
          <w:rFonts w:ascii="Times New Roman" w:hAnsi="Times New Roman" w:cs="Times New Roman"/>
          <w:sz w:val="26"/>
          <w:szCs w:val="26"/>
        </w:rPr>
        <w:t>s implication that factors such as payment behavior, utility debt, and termination rates signal a need for changing the CAP maximum energy burdens.  NFG Comments at</w:t>
      </w:r>
      <w:r w:rsidR="00362EB2" w:rsidRPr="00C80D3A">
        <w:rPr>
          <w:rFonts w:ascii="Times New Roman" w:hAnsi="Times New Roman" w:cs="Times New Roman"/>
          <w:sz w:val="26"/>
          <w:szCs w:val="26"/>
        </w:rPr>
        <w:t> </w:t>
      </w:r>
      <w:r w:rsidRPr="00C80D3A">
        <w:rPr>
          <w:rFonts w:ascii="Times New Roman" w:hAnsi="Times New Roman" w:cs="Times New Roman"/>
          <w:sz w:val="26"/>
          <w:szCs w:val="26"/>
        </w:rPr>
        <w:t>4.</w:t>
      </w:r>
    </w:p>
    <w:p w14:paraId="5F7C30CC" w14:textId="77777777" w:rsidR="00506216" w:rsidRPr="00C80D3A" w:rsidRDefault="00506216" w:rsidP="00315DBC">
      <w:pPr>
        <w:spacing w:after="0" w:line="360" w:lineRule="auto"/>
        <w:contextualSpacing/>
        <w:rPr>
          <w:rFonts w:ascii="Times New Roman" w:hAnsi="Times New Roman" w:cs="Times New Roman"/>
          <w:sz w:val="26"/>
          <w:szCs w:val="26"/>
        </w:rPr>
      </w:pPr>
    </w:p>
    <w:p w14:paraId="3A68DA14" w14:textId="473E6FDF"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NFG and EAP argue the</w:t>
      </w:r>
      <w:r w:rsidR="00951069">
        <w:rPr>
          <w:rFonts w:ascii="Times New Roman" w:hAnsi="Times New Roman" w:cs="Times New Roman"/>
          <w:sz w:val="26"/>
          <w:szCs w:val="26"/>
        </w:rPr>
        <w:t xml:space="preserve"> </w:t>
      </w:r>
      <w:r w:rsidR="00951069" w:rsidRPr="00C80D3A">
        <w:rPr>
          <w:rFonts w:ascii="Times New Roman" w:eastAsia="Calibri" w:hAnsi="Times New Roman" w:cs="Times New Roman"/>
          <w:sz w:val="26"/>
          <w:szCs w:val="26"/>
        </w:rPr>
        <w:t>Energy Affordability</w:t>
      </w:r>
      <w:r w:rsidRPr="00C80D3A">
        <w:rPr>
          <w:rFonts w:ascii="Times New Roman" w:hAnsi="Times New Roman" w:cs="Times New Roman"/>
          <w:sz w:val="26"/>
          <w:szCs w:val="26"/>
        </w:rPr>
        <w:t xml:space="preserve"> Report does not consider other variables impacting energy affordability – including cost of energy, cost of living, economic trends, employment statistics, and other expenses.  NFG Comments at 5 and EAP Comments at 5.</w:t>
      </w:r>
    </w:p>
    <w:p w14:paraId="6383052F"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346AC6B3" w14:textId="4714BB9E"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EAP, Columbia, and Duquesne contend that addressing all factors that may influence energy affordability is primarily the function of government programs and policies.  Although CAPs play a part in making electric and natural gas utility service affordable for low-income customers, CAPs should not be used to subsidize the impact of other non-utility costs (</w:t>
      </w:r>
      <w:r w:rsidRPr="00C80D3A">
        <w:rPr>
          <w:rFonts w:ascii="Times New Roman" w:hAnsi="Times New Roman" w:cs="Times New Roman"/>
          <w:i/>
          <w:iCs/>
          <w:sz w:val="26"/>
          <w:szCs w:val="26"/>
        </w:rPr>
        <w:t>e.g.</w:t>
      </w:r>
      <w:r w:rsidRPr="00C80D3A">
        <w:rPr>
          <w:rFonts w:ascii="Times New Roman" w:hAnsi="Times New Roman" w:cs="Times New Roman"/>
          <w:sz w:val="26"/>
          <w:szCs w:val="26"/>
        </w:rPr>
        <w:t>, housing costs, etc.)</w:t>
      </w:r>
      <w:r w:rsidR="00546BAE" w:rsidRPr="00C80D3A">
        <w:rPr>
          <w:rFonts w:ascii="Times New Roman" w:hAnsi="Times New Roman" w:cs="Times New Roman"/>
          <w:sz w:val="26"/>
          <w:szCs w:val="26"/>
        </w:rPr>
        <w:t>.</w:t>
      </w:r>
      <w:r w:rsidRPr="00C80D3A">
        <w:rPr>
          <w:rFonts w:ascii="Times New Roman" w:hAnsi="Times New Roman" w:cs="Times New Roman"/>
          <w:sz w:val="26"/>
          <w:szCs w:val="26"/>
        </w:rPr>
        <w:t xml:space="preserve">  EAP Comments at 5, Columbia Comments at 4, and Duquesne Reply Comments at 4.  </w:t>
      </w:r>
    </w:p>
    <w:p w14:paraId="7F5586B5" w14:textId="77777777" w:rsidR="00506216" w:rsidRPr="00C80D3A" w:rsidRDefault="00506216" w:rsidP="00315DBC">
      <w:pPr>
        <w:spacing w:after="0" w:line="360" w:lineRule="auto"/>
        <w:contextualSpacing/>
        <w:rPr>
          <w:rFonts w:ascii="Times New Roman" w:hAnsi="Times New Roman" w:cs="Times New Roman"/>
          <w:sz w:val="26"/>
          <w:szCs w:val="26"/>
        </w:rPr>
      </w:pPr>
    </w:p>
    <w:p w14:paraId="0F1DCB1D"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NFG, Columbia, and EAP recommend the Commission allow utilities to retain flexibility to tailor its universal service programs to fit the unique needs and characteristics of its service territories.  NFG Comments at 5, Columbia Comments at 3, and EAP Reply Comments at 5.  Columbia explains utility-specific programs work to the benefit of CAP customers and non-CAP residential ratepayers:</w:t>
      </w:r>
    </w:p>
    <w:p w14:paraId="0505C6AB" w14:textId="77777777" w:rsidR="00506216" w:rsidRPr="00C12A5D" w:rsidRDefault="00506216" w:rsidP="002F72E9">
      <w:pPr>
        <w:spacing w:after="0" w:line="240" w:lineRule="auto"/>
        <w:ind w:firstLine="720"/>
        <w:contextualSpacing/>
        <w:rPr>
          <w:rFonts w:ascii="Times New Roman" w:hAnsi="Times New Roman" w:cs="Times New Roman"/>
          <w:sz w:val="26"/>
          <w:szCs w:val="26"/>
        </w:rPr>
      </w:pPr>
    </w:p>
    <w:p w14:paraId="49A34B43" w14:textId="05633594" w:rsidR="00506216" w:rsidRPr="00C12A5D" w:rsidRDefault="00506216" w:rsidP="00315DBC">
      <w:pPr>
        <w:autoSpaceDE w:val="0"/>
        <w:autoSpaceDN w:val="0"/>
        <w:adjustRightInd w:val="0"/>
        <w:spacing w:after="0"/>
        <w:ind w:left="720" w:right="720"/>
        <w:contextualSpacing/>
        <w:rPr>
          <w:rFonts w:ascii="Times New Roman" w:hAnsi="Times New Roman" w:cs="Times New Roman"/>
          <w:sz w:val="26"/>
          <w:szCs w:val="26"/>
        </w:rPr>
      </w:pPr>
      <w:r w:rsidRPr="00C12A5D">
        <w:rPr>
          <w:rFonts w:ascii="Times New Roman" w:hAnsi="Times New Roman" w:cs="Times New Roman"/>
          <w:sz w:val="26"/>
          <w:szCs w:val="26"/>
        </w:rPr>
        <w:t>A utility specific design has multiple benefits.  It allows the utility to design a program that best addresses its particular customer base whether rural or urban, elderly or working poor and other outreach considerations.  It also allows for utilities to be cognizant of the goal of these programs, and to reduce the overall cost of serving their specific low income customer population using funds provided by non-participating customers.  The primary objectives of the program should be to assist those in need to</w:t>
      </w:r>
      <w:r w:rsidR="00AF5019" w:rsidRPr="00C12A5D">
        <w:rPr>
          <w:rFonts w:ascii="Times New Roman" w:hAnsi="Times New Roman" w:cs="Times New Roman"/>
          <w:sz w:val="26"/>
          <w:szCs w:val="26"/>
        </w:rPr>
        <w:t xml:space="preserve"> </w:t>
      </w:r>
      <w:r w:rsidRPr="00C12A5D">
        <w:rPr>
          <w:rFonts w:ascii="Times New Roman" w:hAnsi="Times New Roman" w:cs="Times New Roman"/>
          <w:sz w:val="26"/>
          <w:szCs w:val="26"/>
        </w:rPr>
        <w:t>afford their energy bills, specifically their [natural] gas and electric bills, while minimizing the burden on non-participating customers.</w:t>
      </w:r>
    </w:p>
    <w:p w14:paraId="188B2B93" w14:textId="77777777" w:rsidR="00506216" w:rsidRPr="00C12A5D" w:rsidRDefault="00506216" w:rsidP="002F72E9">
      <w:pPr>
        <w:spacing w:after="0" w:line="240" w:lineRule="auto"/>
        <w:contextualSpacing/>
        <w:rPr>
          <w:rFonts w:ascii="Times New Roman" w:hAnsi="Times New Roman" w:cs="Times New Roman"/>
          <w:sz w:val="26"/>
          <w:szCs w:val="26"/>
        </w:rPr>
      </w:pPr>
    </w:p>
    <w:p w14:paraId="2E135EE6" w14:textId="77777777" w:rsidR="00506216" w:rsidRPr="00C12A5D" w:rsidRDefault="00506216" w:rsidP="00315DBC">
      <w:pPr>
        <w:spacing w:after="0" w:line="360" w:lineRule="auto"/>
        <w:contextualSpacing/>
        <w:rPr>
          <w:rFonts w:ascii="Times New Roman" w:hAnsi="Times New Roman" w:cs="Times New Roman"/>
          <w:sz w:val="26"/>
          <w:szCs w:val="26"/>
        </w:rPr>
      </w:pPr>
      <w:r w:rsidRPr="00C12A5D">
        <w:rPr>
          <w:rFonts w:ascii="Times New Roman" w:hAnsi="Times New Roman" w:cs="Times New Roman"/>
          <w:sz w:val="26"/>
          <w:szCs w:val="26"/>
        </w:rPr>
        <w:t xml:space="preserve">Columbia Comments at 4.  </w:t>
      </w:r>
    </w:p>
    <w:p w14:paraId="382C75BF" w14:textId="77777777" w:rsidR="00506216" w:rsidRPr="00C80D3A" w:rsidRDefault="00506216" w:rsidP="00315DBC">
      <w:pPr>
        <w:spacing w:after="0" w:line="360" w:lineRule="auto"/>
        <w:contextualSpacing/>
        <w:rPr>
          <w:rFonts w:ascii="Times New Roman" w:hAnsi="Times New Roman" w:cs="Times New Roman"/>
          <w:sz w:val="26"/>
          <w:szCs w:val="26"/>
        </w:rPr>
      </w:pPr>
    </w:p>
    <w:p w14:paraId="1CADF236" w14:textId="11AD1319"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OCA maintains that Pennsylvania</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CAPs, as currently designed, are working reasonably well.  Based on available data, OCA cannot conclude that a maximum 10% energy burden is appropriate for Pennsylvania CAPs.  Rather than changing the maximum energy burdens, OCA suggests making other modifications in CAPs to improve affordability, including revising minimum payment requirements for the </w:t>
      </w:r>
      <w:r w:rsidR="00C251ED" w:rsidRPr="00C80D3A">
        <w:rPr>
          <w:rFonts w:ascii="Times New Roman" w:hAnsi="Times New Roman" w:cs="Times New Roman"/>
          <w:sz w:val="26"/>
          <w:szCs w:val="26"/>
        </w:rPr>
        <w:t>lowest income</w:t>
      </w:r>
      <w:r w:rsidRPr="00C80D3A">
        <w:rPr>
          <w:rFonts w:ascii="Times New Roman" w:hAnsi="Times New Roman" w:cs="Times New Roman"/>
          <w:sz w:val="26"/>
          <w:szCs w:val="26"/>
        </w:rPr>
        <w:t xml:space="preserve"> customers and using budget billing to ensure that affordable </w:t>
      </w:r>
      <w:r w:rsidRPr="00C80D3A">
        <w:rPr>
          <w:rFonts w:ascii="Times New Roman" w:hAnsi="Times New Roman" w:cs="Times New Roman"/>
          <w:sz w:val="26"/>
          <w:szCs w:val="26"/>
          <w:u w:val="single"/>
        </w:rPr>
        <w:t>annual</w:t>
      </w:r>
      <w:r w:rsidRPr="00C80D3A">
        <w:rPr>
          <w:rFonts w:ascii="Times New Roman" w:hAnsi="Times New Roman" w:cs="Times New Roman"/>
          <w:sz w:val="26"/>
          <w:szCs w:val="26"/>
        </w:rPr>
        <w:t xml:space="preserve"> energy burdens result in affordable </w:t>
      </w:r>
      <w:r w:rsidRPr="00C80D3A">
        <w:rPr>
          <w:rFonts w:ascii="Times New Roman" w:hAnsi="Times New Roman" w:cs="Times New Roman"/>
          <w:sz w:val="26"/>
          <w:szCs w:val="26"/>
          <w:u w:val="single"/>
        </w:rPr>
        <w:t>monthly</w:t>
      </w:r>
      <w:r w:rsidRPr="00C80D3A">
        <w:rPr>
          <w:rFonts w:ascii="Times New Roman" w:hAnsi="Times New Roman" w:cs="Times New Roman"/>
          <w:sz w:val="26"/>
          <w:szCs w:val="26"/>
        </w:rPr>
        <w:t xml:space="preserve"> energy burdens.  OCA Comments at 6</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7, 20</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21, Appendix A at 20</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 xml:space="preserve">22, 110.  </w:t>
      </w:r>
    </w:p>
    <w:p w14:paraId="5831C294" w14:textId="77777777" w:rsidR="00506216" w:rsidRPr="00C80D3A" w:rsidRDefault="00506216" w:rsidP="00315DBC">
      <w:pPr>
        <w:spacing w:after="0" w:line="360" w:lineRule="auto"/>
        <w:contextualSpacing/>
        <w:rPr>
          <w:rFonts w:ascii="Times New Roman" w:hAnsi="Times New Roman" w:cs="Times New Roman"/>
          <w:sz w:val="26"/>
          <w:szCs w:val="26"/>
        </w:rPr>
      </w:pPr>
    </w:p>
    <w:p w14:paraId="0802941E" w14:textId="7524CCE5"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Low Income Advocates argue the Commission should act now to reduce energy burdens, noting that involuntary termination rates are 200% to 450% higher for EDC low-income customers, and 175% to 240% higher for NGDC low-income customers, than residential customers as a whole.  Low Income Advocates Comments at 5</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7.  They recommend establishing a maximum 6% energy burden (3% for electric and 3% for natural gas); however, they assert that a reduction to 10% would help to address energy affordability issue</w:t>
      </w:r>
      <w:r w:rsidR="00E91276" w:rsidRPr="00C80D3A">
        <w:rPr>
          <w:rFonts w:ascii="Times New Roman" w:hAnsi="Times New Roman" w:cs="Times New Roman"/>
          <w:sz w:val="26"/>
          <w:szCs w:val="26"/>
        </w:rPr>
        <w:t>s</w:t>
      </w:r>
      <w:r w:rsidRPr="00C80D3A">
        <w:rPr>
          <w:rFonts w:ascii="Times New Roman" w:hAnsi="Times New Roman" w:cs="Times New Roman"/>
          <w:sz w:val="26"/>
          <w:szCs w:val="26"/>
        </w:rPr>
        <w:t xml:space="preserve"> for low-income customers in Pennsylvania.  The Low Income Advocates support maintaining tiered maximum energy burden levels, with the lowest income customers (0-50% of </w:t>
      </w:r>
      <w:r w:rsidR="0079488D">
        <w:rPr>
          <w:rFonts w:ascii="Times New Roman" w:hAnsi="Times New Roman" w:cs="Times New Roman"/>
          <w:sz w:val="26"/>
          <w:szCs w:val="26"/>
        </w:rPr>
        <w:t xml:space="preserve">the </w:t>
      </w:r>
      <w:r w:rsidRPr="00C80D3A">
        <w:rPr>
          <w:rFonts w:ascii="Times New Roman" w:hAnsi="Times New Roman" w:cs="Times New Roman"/>
          <w:sz w:val="26"/>
          <w:szCs w:val="26"/>
        </w:rPr>
        <w:t>FPIG) limited to 6%.  Low Income Advocates Comments at 36</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 xml:space="preserve">39.  </w:t>
      </w:r>
    </w:p>
    <w:p w14:paraId="65F8E909" w14:textId="77777777" w:rsidR="00506216" w:rsidRPr="00C80D3A" w:rsidRDefault="00506216" w:rsidP="00315DBC">
      <w:pPr>
        <w:spacing w:after="0" w:line="360" w:lineRule="auto"/>
        <w:contextualSpacing/>
        <w:rPr>
          <w:rFonts w:ascii="Times New Roman" w:hAnsi="Times New Roman" w:cs="Times New Roman"/>
          <w:sz w:val="26"/>
          <w:szCs w:val="26"/>
        </w:rPr>
      </w:pPr>
    </w:p>
    <w:p w14:paraId="1910E992" w14:textId="77777777" w:rsidR="00506216" w:rsidRPr="00C80D3A" w:rsidRDefault="00506216" w:rsidP="002F72E9">
      <w:pPr>
        <w:keepNext/>
        <w:spacing w:after="0" w:line="240" w:lineRule="auto"/>
        <w:contextualSpacing/>
        <w:rPr>
          <w:rFonts w:ascii="Times New Roman" w:hAnsi="Times New Roman" w:cs="Times New Roman"/>
          <w:i/>
          <w:iCs/>
          <w:sz w:val="26"/>
          <w:szCs w:val="26"/>
        </w:rPr>
      </w:pPr>
      <w:r w:rsidRPr="00C80D3A">
        <w:rPr>
          <w:rFonts w:ascii="Times New Roman" w:hAnsi="Times New Roman" w:cs="Times New Roman"/>
          <w:i/>
          <w:iCs/>
          <w:sz w:val="26"/>
          <w:szCs w:val="26"/>
        </w:rPr>
        <w:t>Impact on Program Design</w:t>
      </w:r>
    </w:p>
    <w:p w14:paraId="38DD3DB6" w14:textId="77777777" w:rsidR="00506216" w:rsidRPr="00C80D3A" w:rsidRDefault="00506216" w:rsidP="002F72E9">
      <w:pPr>
        <w:keepNext/>
        <w:spacing w:after="0" w:line="240" w:lineRule="auto"/>
        <w:contextualSpacing/>
        <w:rPr>
          <w:rFonts w:ascii="Times New Roman" w:hAnsi="Times New Roman" w:cs="Times New Roman"/>
          <w:sz w:val="26"/>
          <w:szCs w:val="26"/>
        </w:rPr>
      </w:pPr>
    </w:p>
    <w:p w14:paraId="1A954763" w14:textId="1FA4591D"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Low Income Advocates recommend a statewide CAP design that is based on a percent-of-income payment (PIP) or average bill (whichever is less), allows for transitional forgiveness of program arrears accrued through the previous “unaffordable” CAP design, provides arrearage forgiveness for all full tariff bills upon CAP enrollment and re-enrollment, and allow</w:t>
      </w:r>
      <w:r w:rsidR="005F6A35" w:rsidRPr="00C80D3A">
        <w:rPr>
          <w:rFonts w:ascii="Times New Roman" w:hAnsi="Times New Roman" w:cs="Times New Roman"/>
          <w:sz w:val="26"/>
          <w:szCs w:val="26"/>
        </w:rPr>
        <w:t>s</w:t>
      </w:r>
      <w:r w:rsidRPr="00C80D3A">
        <w:rPr>
          <w:rFonts w:ascii="Times New Roman" w:hAnsi="Times New Roman" w:cs="Times New Roman"/>
          <w:sz w:val="26"/>
          <w:szCs w:val="26"/>
        </w:rPr>
        <w:t xml:space="preserve"> all income-eligible customers to enroll.  Low Income Advocates at 22.  The Low Income Advocates contend that universal service programs that fail to help customers maintain utility service run contrary to the mandates of the Competition Acts.</w:t>
      </w:r>
      <w:r w:rsidRPr="00C80D3A">
        <w:rPr>
          <w:rFonts w:ascii="Times New Roman" w:hAnsi="Times New Roman" w:cs="Times New Roman"/>
          <w:sz w:val="26"/>
          <w:szCs w:val="26"/>
          <w:vertAlign w:val="superscript"/>
        </w:rPr>
        <w:footnoteReference w:id="41"/>
      </w:r>
      <w:r w:rsidRPr="00C80D3A">
        <w:rPr>
          <w:rFonts w:ascii="Times New Roman" w:hAnsi="Times New Roman" w:cs="Times New Roman"/>
          <w:sz w:val="26"/>
          <w:szCs w:val="26"/>
        </w:rPr>
        <w:t xml:space="preserve">  Low Income Advocates Comments at 10.</w:t>
      </w:r>
    </w:p>
    <w:p w14:paraId="6BE05364"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17EC0689" w14:textId="0A815ECF"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Columbia contends its CAP payment options – which consist of a PIP (7% or 9% of income), average payment, or 50% of the budget bill – is designed to maximize the amount a customer can pay, while keeping payments affordable.  Currently, Columbia CAP customers have an average energy burden of 4.2%.  A switch to a PIP requiring payments of 6% of income could increase default rates, collection activity, and bad debts.  Further, a PIP does not give the customer an incentive to conserve energy and some customers may pay less than they can afford.  Columbia Comments at 5</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 xml:space="preserve">7.  OCA also supports maintaining payment options for CAP customers, rather than establishing a straight PIP for all CAPs.  OCA Reply Comments at 8.   </w:t>
      </w:r>
    </w:p>
    <w:p w14:paraId="54C37C20" w14:textId="77777777" w:rsidR="00506216" w:rsidRPr="00C80D3A" w:rsidRDefault="00506216" w:rsidP="00315DBC">
      <w:pPr>
        <w:spacing w:after="0" w:line="360" w:lineRule="auto"/>
        <w:contextualSpacing/>
        <w:rPr>
          <w:rFonts w:ascii="Times New Roman" w:hAnsi="Times New Roman" w:cs="Times New Roman"/>
          <w:sz w:val="26"/>
          <w:szCs w:val="26"/>
        </w:rPr>
      </w:pPr>
    </w:p>
    <w:p w14:paraId="6A7DC6F7" w14:textId="59A237EB"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PPL maintains that having flexibility to design its own CAP within the guidelines of the CAP Policy Statement better serves the needs of its low-income customers.  PPL Comments at 3</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 xml:space="preserve">5.   </w:t>
      </w:r>
    </w:p>
    <w:p w14:paraId="7646EEC8" w14:textId="77777777" w:rsidR="00506216" w:rsidRPr="00C80D3A" w:rsidRDefault="00506216" w:rsidP="00315DBC">
      <w:pPr>
        <w:spacing w:after="0" w:line="360" w:lineRule="auto"/>
        <w:contextualSpacing/>
        <w:rPr>
          <w:rFonts w:ascii="Times New Roman" w:hAnsi="Times New Roman" w:cs="Times New Roman"/>
          <w:sz w:val="26"/>
          <w:szCs w:val="26"/>
        </w:rPr>
      </w:pPr>
    </w:p>
    <w:p w14:paraId="1A4374EE" w14:textId="3B93EE84"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Columbia, PGW, and OCA separately recommend that any CAP design should consider the impact of LIHEAP when determining the appropriate energy burden.  Columbia Comments at 7, PGW Comments at 3, and OCA Comments at 17</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18.  OCA asserts that many states – including Ohio, New Jersey, New York, Maryland, Colorado, Nevada, Maine, and Illinois – first apply LIHEAP to reduce the customer</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anticipated annual bill before determining the amount of ratepayer assistance needed to attain the target energy burden.  OCA Reply Comments at 3.  </w:t>
      </w:r>
    </w:p>
    <w:p w14:paraId="28E9951F" w14:textId="77777777" w:rsidR="00506216" w:rsidRPr="00C80D3A" w:rsidRDefault="00506216" w:rsidP="00315DBC">
      <w:pPr>
        <w:spacing w:after="0" w:line="360" w:lineRule="auto"/>
        <w:contextualSpacing/>
        <w:rPr>
          <w:rFonts w:ascii="Times New Roman" w:hAnsi="Times New Roman" w:cs="Times New Roman"/>
          <w:sz w:val="26"/>
          <w:szCs w:val="26"/>
        </w:rPr>
      </w:pPr>
    </w:p>
    <w:p w14:paraId="240A84C1" w14:textId="2021F333"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NFG asserts that CAP design can be influenced by factors such as age and condition of residences, average household size, usage rates, cost of living, quality of appliances, and poverty level in the service territory.  NFG Comments at 5.  NFG recommends that any potential changes to the CAP maximum energy burdens should also take energy conservation into account.  NFG CAP customers receive a discount off their monthly bill but can also save more by reducing energy usage.  Further, all NFG CAP customers receive energy education to help them conserve natural gas and are referred to LIURP and other programs, as appropriate.  NFG Comments at 6</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 xml:space="preserve">8.  </w:t>
      </w:r>
    </w:p>
    <w:p w14:paraId="4293A652" w14:textId="77777777" w:rsidR="00506216" w:rsidRPr="00C80D3A" w:rsidRDefault="00506216" w:rsidP="00315DBC">
      <w:pPr>
        <w:spacing w:after="0" w:line="360" w:lineRule="auto"/>
        <w:contextualSpacing/>
        <w:rPr>
          <w:rFonts w:ascii="Times New Roman" w:hAnsi="Times New Roman" w:cs="Times New Roman"/>
          <w:sz w:val="26"/>
          <w:szCs w:val="26"/>
        </w:rPr>
      </w:pPr>
    </w:p>
    <w:p w14:paraId="35607932" w14:textId="13808223"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NFG reports that almost all of its CAP customers had average energy burdens below 6% from 2012 to 2016.  Only in 2016 did NFG customers with incomes at or below 50% of the FPIG experience an average energy burden of 7.84%.</w:t>
      </w:r>
      <w:r w:rsidRPr="00C80D3A">
        <w:rPr>
          <w:rFonts w:ascii="Times New Roman" w:hAnsi="Times New Roman" w:cs="Times New Roman"/>
          <w:sz w:val="26"/>
          <w:szCs w:val="26"/>
          <w:vertAlign w:val="superscript"/>
        </w:rPr>
        <w:footnoteReference w:id="42"/>
      </w:r>
      <w:r w:rsidRPr="00C80D3A">
        <w:rPr>
          <w:rFonts w:ascii="Times New Roman" w:hAnsi="Times New Roman" w:cs="Times New Roman"/>
          <w:sz w:val="26"/>
          <w:szCs w:val="26"/>
        </w:rPr>
        <w:t xml:space="preserve">  NFG Comments at 2</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3.</w:t>
      </w:r>
    </w:p>
    <w:p w14:paraId="51165219" w14:textId="77777777" w:rsidR="00506216" w:rsidRPr="00C80D3A" w:rsidRDefault="00506216" w:rsidP="00315DBC">
      <w:pPr>
        <w:spacing w:after="0" w:line="360" w:lineRule="auto"/>
        <w:contextualSpacing/>
        <w:rPr>
          <w:rFonts w:ascii="Times New Roman" w:hAnsi="Times New Roman" w:cs="Times New Roman"/>
          <w:sz w:val="26"/>
          <w:szCs w:val="26"/>
        </w:rPr>
      </w:pPr>
    </w:p>
    <w:p w14:paraId="6058683D" w14:textId="5903E3C3"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Low Income Advocates recommend that (1) any new energy burden target be a ceiling (maximum) for CAP payments, not a floor (minimum); and (2) the Commission should direct utilities to eliminate CAP cost control design elements – such as CAP Plus charges, PPA co-pays, and minimum payment requirements – which would cause customers to exceed the maximum energy burden.  Low Income Advocates Comments at 14</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16.  Columbia and OCA support maintaining these cost control measures.  Columbia Comments at 7</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 xml:space="preserve">8 and OCA Reply Comments at 8.  </w:t>
      </w:r>
    </w:p>
    <w:p w14:paraId="3AA3E03A"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3BDDD269" w14:textId="5B96BDA7"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EAP argues that elimination of co-pays and minimum payment requirements would harm customers who pay for these programs, particularly those just above the CAP income-eligibility thresholds.  EAP Reply Comments at 4</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 xml:space="preserve">5.  EAP also argues the Competition Acts intended universal service programs to </w:t>
      </w:r>
      <w:r w:rsidRPr="00C80D3A">
        <w:rPr>
          <w:rFonts w:ascii="Times New Roman" w:hAnsi="Times New Roman" w:cs="Times New Roman"/>
          <w:i/>
          <w:sz w:val="26"/>
          <w:szCs w:val="26"/>
        </w:rPr>
        <w:t>help</w:t>
      </w:r>
      <w:r w:rsidRPr="00C80D3A">
        <w:rPr>
          <w:rFonts w:ascii="Times New Roman" w:hAnsi="Times New Roman" w:cs="Times New Roman"/>
          <w:sz w:val="26"/>
          <w:szCs w:val="26"/>
        </w:rPr>
        <w:t xml:space="preserve"> customers pay their electric/natural gas bills, not provide free or near-free utility service.  EAP Reply Comments at 4.</w:t>
      </w:r>
    </w:p>
    <w:p w14:paraId="47DDC89B" w14:textId="77777777" w:rsidR="00506216" w:rsidRPr="00C80D3A" w:rsidRDefault="00506216" w:rsidP="00315DBC">
      <w:pPr>
        <w:spacing w:after="0" w:line="360" w:lineRule="auto"/>
        <w:contextualSpacing/>
        <w:rPr>
          <w:rFonts w:ascii="Times New Roman" w:hAnsi="Times New Roman" w:cs="Times New Roman"/>
          <w:sz w:val="26"/>
          <w:szCs w:val="26"/>
        </w:rPr>
      </w:pPr>
    </w:p>
    <w:p w14:paraId="2265C092" w14:textId="40B4650A"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PGW contends that PIPs will fail to make energy affordable for customers with incomes at or below 50% of the FPIG generally, and for customers with incomes at or below 25% of the income specifically.  Minimum payment requirements will ensure that these customers always have energy burdens exceeding program targets.  Customers at these income levels often have a myriad of issues that they are dealing with, including lack of income, that require an integration of social services and other programs to address.  PGW Comments at 1</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2, Exhibit A.  The Low Income Advocates agree with PGW that societal issues contribute to energy unaffordability but maintain that bill assistance is a critical component in helping low-income households.  Low Income Advocates Reply Comments at 8.</w:t>
      </w:r>
    </w:p>
    <w:p w14:paraId="349967D9" w14:textId="77777777" w:rsidR="00506216" w:rsidRPr="00C80D3A" w:rsidRDefault="00506216" w:rsidP="00315DBC">
      <w:pPr>
        <w:spacing w:after="0" w:line="360" w:lineRule="auto"/>
        <w:contextualSpacing/>
        <w:rPr>
          <w:rFonts w:ascii="Times New Roman" w:hAnsi="Times New Roman" w:cs="Times New Roman"/>
          <w:sz w:val="26"/>
          <w:szCs w:val="26"/>
        </w:rPr>
      </w:pPr>
    </w:p>
    <w:p w14:paraId="7C31BC41" w14:textId="3A122E62"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OCA and Duquesne oppose establishing flat maximum energy burdens for all income tiers.  They recommend that the Commission maintain maximum energy burden ranges based on household poverty levels, as exists in the current CAP Policy Statement.  These ranges allow for flexibility as energy affordability can differ by service territory and household size.  Further, tiered energy burden maximums allow for the lowest income customers to receive the highest amount of assistance.  OCA Comments at 6, 13</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14, Appendix A at 69</w:t>
      </w:r>
      <w:r w:rsidR="00750A27" w:rsidRPr="00C80D3A">
        <w:rPr>
          <w:rFonts w:ascii="Times New Roman" w:hAnsi="Times New Roman" w:cs="Times New Roman"/>
          <w:sz w:val="26"/>
          <w:szCs w:val="26"/>
        </w:rPr>
        <w:t>–</w:t>
      </w:r>
      <w:r w:rsidRPr="00C80D3A">
        <w:rPr>
          <w:rFonts w:ascii="Times New Roman" w:hAnsi="Times New Roman" w:cs="Times New Roman"/>
          <w:sz w:val="26"/>
          <w:szCs w:val="26"/>
        </w:rPr>
        <w:t>72, 110</w:t>
      </w:r>
      <w:r w:rsidR="00F31013" w:rsidRPr="00C80D3A">
        <w:rPr>
          <w:rFonts w:ascii="Times New Roman" w:hAnsi="Times New Roman" w:cs="Times New Roman"/>
          <w:sz w:val="26"/>
          <w:szCs w:val="26"/>
        </w:rPr>
        <w:t>,</w:t>
      </w:r>
      <w:r w:rsidRPr="00C80D3A">
        <w:rPr>
          <w:rFonts w:ascii="Times New Roman" w:hAnsi="Times New Roman" w:cs="Times New Roman"/>
          <w:sz w:val="26"/>
          <w:szCs w:val="26"/>
        </w:rPr>
        <w:t xml:space="preserve"> and Duquesne Reply Comments at 3.</w:t>
      </w:r>
    </w:p>
    <w:p w14:paraId="1B10144F" w14:textId="77777777" w:rsidR="00506216" w:rsidRPr="00C80D3A" w:rsidRDefault="00506216" w:rsidP="00315DBC">
      <w:pPr>
        <w:spacing w:after="0" w:line="360" w:lineRule="auto"/>
        <w:contextualSpacing/>
        <w:rPr>
          <w:rFonts w:ascii="Times New Roman" w:hAnsi="Times New Roman" w:cs="Times New Roman"/>
          <w:sz w:val="26"/>
          <w:szCs w:val="26"/>
        </w:rPr>
      </w:pPr>
    </w:p>
    <w:p w14:paraId="52E7D691" w14:textId="2C08D865"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PECO projects no negative impact to CAP bills if it switched from the tiered energy burden ranges to a flat 10% maximum energy burden.  For example, all income tiers would experience a reduction if non-</w:t>
      </w:r>
      <w:r w:rsidR="00D32EF3">
        <w:rPr>
          <w:rFonts w:ascii="Times New Roman" w:hAnsi="Times New Roman" w:cs="Times New Roman"/>
          <w:sz w:val="26"/>
          <w:szCs w:val="26"/>
        </w:rPr>
        <w:t xml:space="preserve">heating </w:t>
      </w:r>
      <w:r w:rsidR="006118F7">
        <w:rPr>
          <w:rFonts w:ascii="Times New Roman" w:hAnsi="Times New Roman" w:cs="Times New Roman"/>
          <w:sz w:val="26"/>
          <w:szCs w:val="26"/>
        </w:rPr>
        <w:t xml:space="preserve">electric </w:t>
      </w:r>
      <w:r w:rsidRPr="00C80D3A">
        <w:rPr>
          <w:rFonts w:ascii="Times New Roman" w:hAnsi="Times New Roman" w:cs="Times New Roman"/>
          <w:sz w:val="26"/>
          <w:szCs w:val="26"/>
        </w:rPr>
        <w:t>bills were limited to 4% of household income.  PECO Comments at 10.</w:t>
      </w:r>
    </w:p>
    <w:p w14:paraId="231F5789" w14:textId="77777777" w:rsidR="00506216" w:rsidRPr="008E1728" w:rsidRDefault="00506216" w:rsidP="00315DBC">
      <w:pPr>
        <w:spacing w:after="0" w:line="360" w:lineRule="auto"/>
        <w:contextualSpacing/>
        <w:rPr>
          <w:rFonts w:ascii="Times New Roman" w:hAnsi="Times New Roman" w:cs="Times New Roman"/>
          <w:sz w:val="26"/>
          <w:szCs w:val="26"/>
        </w:rPr>
      </w:pPr>
    </w:p>
    <w:p w14:paraId="309B2776" w14:textId="77777777" w:rsidR="00450A32" w:rsidRPr="008E1728" w:rsidRDefault="00450A32" w:rsidP="00450A32">
      <w:pPr>
        <w:keepNext/>
        <w:contextualSpacing/>
        <w:rPr>
          <w:rFonts w:ascii="Times New Roman" w:hAnsi="Times New Roman" w:cs="Times New Roman"/>
          <w:sz w:val="26"/>
          <w:szCs w:val="26"/>
        </w:rPr>
      </w:pPr>
      <w:r w:rsidRPr="008E1728">
        <w:rPr>
          <w:rFonts w:ascii="Times New Roman" w:hAnsi="Times New Roman" w:cs="Times New Roman"/>
          <w:i/>
          <w:iCs/>
          <w:sz w:val="26"/>
          <w:szCs w:val="26"/>
        </w:rPr>
        <w:t xml:space="preserve">Cost Estimates of Implementing a 10% Maximum Energy Burden </w:t>
      </w:r>
      <w:r w:rsidRPr="008E1728">
        <w:rPr>
          <w:rFonts w:ascii="Times New Roman" w:hAnsi="Times New Roman" w:cs="Times New Roman"/>
          <w:sz w:val="26"/>
          <w:szCs w:val="26"/>
        </w:rPr>
        <w:t>(4% for electric non-heating, 6% for natural gas heating, and 10% for electric heating)</w:t>
      </w:r>
    </w:p>
    <w:p w14:paraId="4B459715" w14:textId="77777777" w:rsidR="00450A32" w:rsidRPr="008E1728" w:rsidRDefault="00450A32" w:rsidP="00450A32">
      <w:pPr>
        <w:keepNext/>
        <w:contextualSpacing/>
        <w:rPr>
          <w:rFonts w:ascii="Times New Roman" w:hAnsi="Times New Roman" w:cs="Times New Roman"/>
          <w:sz w:val="26"/>
          <w:szCs w:val="26"/>
        </w:rPr>
      </w:pPr>
    </w:p>
    <w:p w14:paraId="47C1E9D4" w14:textId="1AC5A79D" w:rsidR="00450A32" w:rsidRPr="008E1728" w:rsidRDefault="00450A32" w:rsidP="00F5795D">
      <w:pPr>
        <w:spacing w:after="0" w:line="360" w:lineRule="auto"/>
        <w:ind w:firstLine="720"/>
        <w:contextualSpacing/>
        <w:rPr>
          <w:rFonts w:ascii="Times New Roman" w:hAnsi="Times New Roman" w:cs="Times New Roman"/>
          <w:sz w:val="26"/>
          <w:szCs w:val="26"/>
        </w:rPr>
      </w:pPr>
      <w:r w:rsidRPr="00390C60">
        <w:rPr>
          <w:rFonts w:ascii="Times New Roman" w:hAnsi="Times New Roman" w:cs="Times New Roman"/>
          <w:sz w:val="26"/>
          <w:szCs w:val="26"/>
        </w:rPr>
        <w:t>As noted above</w:t>
      </w:r>
      <w:r w:rsidRPr="003D4835">
        <w:rPr>
          <w:rFonts w:ascii="Times New Roman" w:hAnsi="Times New Roman" w:cs="Times New Roman"/>
          <w:sz w:val="26"/>
          <w:szCs w:val="26"/>
        </w:rPr>
        <w:t>,</w:t>
      </w:r>
      <w:r w:rsidRPr="008E1728">
        <w:rPr>
          <w:rFonts w:ascii="Times New Roman" w:hAnsi="Times New Roman" w:cs="Times New Roman"/>
          <w:sz w:val="26"/>
          <w:szCs w:val="26"/>
        </w:rPr>
        <w:t xml:space="preserve"> the January 2019 Order and the March 2019 Secretarial Letter requested that the utilities provide estimates of projected costs if they were to implement a 10% maximum energy burden (4% for non-</w:t>
      </w:r>
      <w:r w:rsidR="00260ADD">
        <w:rPr>
          <w:rFonts w:ascii="Times New Roman" w:hAnsi="Times New Roman" w:cs="Times New Roman"/>
          <w:sz w:val="26"/>
          <w:szCs w:val="26"/>
        </w:rPr>
        <w:t>heating electric</w:t>
      </w:r>
      <w:r w:rsidRPr="008E1728">
        <w:rPr>
          <w:rFonts w:ascii="Times New Roman" w:hAnsi="Times New Roman" w:cs="Times New Roman"/>
          <w:sz w:val="26"/>
          <w:szCs w:val="26"/>
        </w:rPr>
        <w:t>, 6% for natural gas heating, or 10% for electric heating) using PIP billing.  Stakeholders also provided comments.  These estimates do not necessarily reflect the CAP costs associated with only reducing the maximum CAP energy burden to 10%</w:t>
      </w:r>
      <w:r w:rsidR="00B75CC9">
        <w:rPr>
          <w:rFonts w:ascii="Times New Roman" w:hAnsi="Times New Roman" w:cs="Times New Roman"/>
          <w:sz w:val="26"/>
          <w:szCs w:val="26"/>
        </w:rPr>
        <w:t xml:space="preserve"> and allowing utilities to maintain current CAP payment plans</w:t>
      </w:r>
      <w:r w:rsidRPr="008E1728">
        <w:rPr>
          <w:rFonts w:ascii="Times New Roman" w:hAnsi="Times New Roman" w:cs="Times New Roman"/>
          <w:sz w:val="26"/>
          <w:szCs w:val="26"/>
        </w:rPr>
        <w:t>.</w:t>
      </w:r>
      <w:r w:rsidRPr="008E1728">
        <w:rPr>
          <w:rFonts w:ascii="Times New Roman" w:hAnsi="Times New Roman" w:cs="Times New Roman"/>
          <w:sz w:val="26"/>
          <w:szCs w:val="26"/>
          <w:vertAlign w:val="superscript"/>
        </w:rPr>
        <w:footnoteReference w:id="43"/>
      </w:r>
      <w:r w:rsidRPr="008E1728">
        <w:rPr>
          <w:rFonts w:ascii="Times New Roman" w:hAnsi="Times New Roman" w:cs="Times New Roman"/>
          <w:sz w:val="26"/>
          <w:szCs w:val="26"/>
        </w:rPr>
        <w:t xml:space="preserve">    </w:t>
      </w:r>
    </w:p>
    <w:p w14:paraId="753444C0" w14:textId="29DE058C" w:rsidR="00B77396" w:rsidRDefault="00B77396">
      <w:pPr>
        <w:rPr>
          <w:rFonts w:ascii="Times New Roman" w:hAnsi="Times New Roman" w:cs="Times New Roman"/>
          <w:sz w:val="26"/>
          <w:szCs w:val="26"/>
        </w:rPr>
      </w:pPr>
      <w:r>
        <w:rPr>
          <w:rFonts w:ascii="Times New Roman" w:hAnsi="Times New Roman" w:cs="Times New Roman"/>
          <w:sz w:val="26"/>
          <w:szCs w:val="26"/>
        </w:rPr>
        <w:br w:type="page"/>
      </w:r>
    </w:p>
    <w:p w14:paraId="713E78AD" w14:textId="597930C2" w:rsidR="00450A32" w:rsidRPr="008E1728" w:rsidRDefault="00450A32" w:rsidP="00F5795D">
      <w:pPr>
        <w:spacing w:after="0" w:line="360" w:lineRule="auto"/>
        <w:ind w:firstLine="720"/>
        <w:contextualSpacing/>
        <w:rPr>
          <w:rFonts w:ascii="Times New Roman" w:hAnsi="Times New Roman" w:cs="Times New Roman"/>
          <w:sz w:val="26"/>
          <w:szCs w:val="26"/>
        </w:rPr>
      </w:pPr>
      <w:r w:rsidRPr="008E1728">
        <w:rPr>
          <w:rFonts w:ascii="Times New Roman" w:hAnsi="Times New Roman" w:cs="Times New Roman"/>
          <w:sz w:val="26"/>
          <w:szCs w:val="26"/>
        </w:rPr>
        <w:t xml:space="preserve">Tables 2 and 3 below reflect the estimated impact (increase/decrease) on actual or projected total CAP costs if EDCs and NGDCs charged </w:t>
      </w:r>
      <w:r w:rsidR="00AC3A88">
        <w:rPr>
          <w:rFonts w:ascii="Times New Roman" w:hAnsi="Times New Roman" w:cs="Times New Roman"/>
          <w:sz w:val="26"/>
          <w:szCs w:val="26"/>
        </w:rPr>
        <w:t xml:space="preserve">CAP </w:t>
      </w:r>
      <w:r w:rsidRPr="008E1728">
        <w:rPr>
          <w:rFonts w:ascii="Times New Roman" w:hAnsi="Times New Roman" w:cs="Times New Roman"/>
          <w:sz w:val="26"/>
          <w:szCs w:val="26"/>
        </w:rPr>
        <w:t>customers either the 10% PIP or their average bill, whichever is less.</w:t>
      </w:r>
      <w:r w:rsidRPr="008E1728">
        <w:rPr>
          <w:rStyle w:val="FootnoteReference"/>
          <w:rFonts w:ascii="Times New Roman" w:hAnsi="Times New Roman" w:cs="Times New Roman"/>
          <w:sz w:val="26"/>
          <w:szCs w:val="26"/>
        </w:rPr>
        <w:footnoteReference w:id="44"/>
      </w:r>
      <w:r w:rsidRPr="008E1728">
        <w:rPr>
          <w:rFonts w:ascii="Times New Roman" w:hAnsi="Times New Roman" w:cs="Times New Roman"/>
          <w:sz w:val="26"/>
          <w:szCs w:val="26"/>
        </w:rPr>
        <w:t xml:space="preserve">  </w:t>
      </w:r>
    </w:p>
    <w:p w14:paraId="4E502920" w14:textId="77777777" w:rsidR="00450A32" w:rsidRPr="008E1728" w:rsidRDefault="00450A32" w:rsidP="00450A32">
      <w:pPr>
        <w:keepNext/>
        <w:contextualSpacing/>
        <w:jc w:val="center"/>
        <w:rPr>
          <w:rFonts w:ascii="Times New Roman" w:hAnsi="Times New Roman" w:cs="Times New Roman"/>
          <w:b/>
          <w:bCs/>
          <w:sz w:val="26"/>
          <w:szCs w:val="26"/>
        </w:rPr>
      </w:pPr>
      <w:r w:rsidRPr="008E1728">
        <w:rPr>
          <w:rFonts w:ascii="Times New Roman" w:hAnsi="Times New Roman" w:cs="Times New Roman"/>
          <w:b/>
          <w:bCs/>
          <w:sz w:val="26"/>
          <w:szCs w:val="26"/>
        </w:rPr>
        <w:t>Table 2</w:t>
      </w:r>
    </w:p>
    <w:p w14:paraId="74469D91" w14:textId="77777777" w:rsidR="00450A32" w:rsidRPr="008E1728" w:rsidRDefault="00450A32" w:rsidP="00450A32">
      <w:pPr>
        <w:keepNext/>
        <w:contextualSpacing/>
        <w:jc w:val="center"/>
        <w:rPr>
          <w:rFonts w:ascii="Times New Roman" w:hAnsi="Times New Roman" w:cs="Times New Roman"/>
          <w:b/>
          <w:bCs/>
          <w:sz w:val="26"/>
          <w:szCs w:val="26"/>
        </w:rPr>
      </w:pPr>
      <w:r w:rsidRPr="008E1728">
        <w:rPr>
          <w:rFonts w:ascii="Times New Roman" w:hAnsi="Times New Roman" w:cs="Times New Roman"/>
          <w:b/>
          <w:bCs/>
          <w:sz w:val="26"/>
          <w:szCs w:val="26"/>
        </w:rPr>
        <w:t>Charging 4% (for non-heating) and 10% (for heating) of Household Income or Average Bill</w:t>
      </w:r>
    </w:p>
    <w:p w14:paraId="5417C7EC" w14:textId="3ED4E650" w:rsidR="00450A32" w:rsidRPr="008E1728" w:rsidRDefault="00450A32" w:rsidP="00450A32">
      <w:pPr>
        <w:keepNext/>
        <w:contextualSpacing/>
        <w:jc w:val="center"/>
        <w:rPr>
          <w:rFonts w:ascii="Times New Roman" w:hAnsi="Times New Roman" w:cs="Times New Roman"/>
          <w:b/>
          <w:bCs/>
          <w:sz w:val="26"/>
          <w:szCs w:val="26"/>
        </w:rPr>
      </w:pPr>
      <w:r w:rsidRPr="008E1728">
        <w:rPr>
          <w:rFonts w:ascii="Times New Roman" w:hAnsi="Times New Roman" w:cs="Times New Roman"/>
          <w:b/>
          <w:bCs/>
          <w:sz w:val="26"/>
          <w:szCs w:val="26"/>
        </w:rPr>
        <w:t>Estimated Increase/Decrease on EDC CAP Spending 2016-2021</w:t>
      </w:r>
    </w:p>
    <w:tbl>
      <w:tblPr>
        <w:tblStyle w:val="TableGrid"/>
        <w:tblW w:w="10760" w:type="dxa"/>
        <w:jc w:val="center"/>
        <w:tblLook w:val="04A0" w:firstRow="1" w:lastRow="0" w:firstColumn="1" w:lastColumn="0" w:noHBand="0" w:noVBand="1"/>
      </w:tblPr>
      <w:tblGrid>
        <w:gridCol w:w="1315"/>
        <w:gridCol w:w="1560"/>
        <w:gridCol w:w="1560"/>
        <w:gridCol w:w="1560"/>
        <w:gridCol w:w="1560"/>
        <w:gridCol w:w="1690"/>
        <w:gridCol w:w="1560"/>
      </w:tblGrid>
      <w:tr w:rsidR="00450A32" w:rsidRPr="008E1728" w14:paraId="2523F303" w14:textId="77777777" w:rsidTr="00B75CC9">
        <w:trPr>
          <w:jc w:val="center"/>
        </w:trPr>
        <w:tc>
          <w:tcPr>
            <w:tcW w:w="1664" w:type="dxa"/>
            <w:vAlign w:val="center"/>
          </w:tcPr>
          <w:p w14:paraId="2F5D9981" w14:textId="77777777" w:rsidR="00450A32" w:rsidRPr="008E1728" w:rsidRDefault="00450A32" w:rsidP="00B75CC9">
            <w:pPr>
              <w:keepNext/>
              <w:contextualSpacing/>
              <w:jc w:val="center"/>
              <w:rPr>
                <w:sz w:val="26"/>
                <w:szCs w:val="26"/>
              </w:rPr>
            </w:pPr>
          </w:p>
        </w:tc>
        <w:tc>
          <w:tcPr>
            <w:tcW w:w="1516" w:type="dxa"/>
            <w:vAlign w:val="center"/>
          </w:tcPr>
          <w:p w14:paraId="34D6AB80" w14:textId="77777777" w:rsidR="00450A32" w:rsidRPr="008E1728" w:rsidRDefault="00450A32" w:rsidP="00B75CC9">
            <w:pPr>
              <w:keepNext/>
              <w:contextualSpacing/>
              <w:jc w:val="center"/>
              <w:rPr>
                <w:b/>
                <w:sz w:val="26"/>
                <w:szCs w:val="26"/>
              </w:rPr>
            </w:pPr>
            <w:r w:rsidRPr="008E1728">
              <w:rPr>
                <w:b/>
                <w:sz w:val="26"/>
                <w:szCs w:val="26"/>
              </w:rPr>
              <w:t>2016</w:t>
            </w:r>
          </w:p>
        </w:tc>
        <w:tc>
          <w:tcPr>
            <w:tcW w:w="1516" w:type="dxa"/>
            <w:vAlign w:val="center"/>
          </w:tcPr>
          <w:p w14:paraId="2A7E2BD6" w14:textId="1F7EFD1B" w:rsidR="00450A32" w:rsidRPr="008E1728" w:rsidRDefault="00450A32" w:rsidP="00B75CC9">
            <w:pPr>
              <w:keepNext/>
              <w:contextualSpacing/>
              <w:jc w:val="center"/>
              <w:rPr>
                <w:b/>
                <w:sz w:val="26"/>
                <w:szCs w:val="26"/>
              </w:rPr>
            </w:pPr>
            <w:r w:rsidRPr="008E1728">
              <w:rPr>
                <w:b/>
                <w:sz w:val="26"/>
                <w:szCs w:val="26"/>
              </w:rPr>
              <w:t>2017</w:t>
            </w:r>
          </w:p>
        </w:tc>
        <w:tc>
          <w:tcPr>
            <w:tcW w:w="1516" w:type="dxa"/>
            <w:vAlign w:val="center"/>
          </w:tcPr>
          <w:p w14:paraId="45647E85" w14:textId="77777777" w:rsidR="00450A32" w:rsidRPr="008E1728" w:rsidRDefault="00450A32" w:rsidP="00B75CC9">
            <w:pPr>
              <w:keepNext/>
              <w:contextualSpacing/>
              <w:jc w:val="center"/>
              <w:rPr>
                <w:b/>
                <w:sz w:val="26"/>
                <w:szCs w:val="26"/>
              </w:rPr>
            </w:pPr>
            <w:r w:rsidRPr="008E1728">
              <w:rPr>
                <w:b/>
                <w:sz w:val="26"/>
                <w:szCs w:val="26"/>
              </w:rPr>
              <w:t>2018</w:t>
            </w:r>
          </w:p>
        </w:tc>
        <w:tc>
          <w:tcPr>
            <w:tcW w:w="1516" w:type="dxa"/>
            <w:vAlign w:val="center"/>
          </w:tcPr>
          <w:p w14:paraId="3B567C9F" w14:textId="77777777" w:rsidR="00450A32" w:rsidRPr="008E1728" w:rsidRDefault="00450A32" w:rsidP="00B75CC9">
            <w:pPr>
              <w:keepNext/>
              <w:contextualSpacing/>
              <w:jc w:val="center"/>
              <w:rPr>
                <w:b/>
                <w:sz w:val="26"/>
                <w:szCs w:val="26"/>
              </w:rPr>
            </w:pPr>
            <w:r w:rsidRPr="008E1728">
              <w:rPr>
                <w:b/>
                <w:sz w:val="26"/>
                <w:szCs w:val="26"/>
              </w:rPr>
              <w:t>2019</w:t>
            </w:r>
          </w:p>
        </w:tc>
        <w:tc>
          <w:tcPr>
            <w:tcW w:w="1516" w:type="dxa"/>
            <w:vAlign w:val="center"/>
          </w:tcPr>
          <w:p w14:paraId="7FF7C476" w14:textId="77777777" w:rsidR="00450A32" w:rsidRPr="008E1728" w:rsidRDefault="00450A32" w:rsidP="00B75CC9">
            <w:pPr>
              <w:keepNext/>
              <w:contextualSpacing/>
              <w:jc w:val="center"/>
              <w:rPr>
                <w:b/>
                <w:sz w:val="26"/>
                <w:szCs w:val="26"/>
              </w:rPr>
            </w:pPr>
            <w:r w:rsidRPr="008E1728">
              <w:rPr>
                <w:b/>
                <w:sz w:val="26"/>
                <w:szCs w:val="26"/>
              </w:rPr>
              <w:t>2020</w:t>
            </w:r>
          </w:p>
        </w:tc>
        <w:tc>
          <w:tcPr>
            <w:tcW w:w="1516" w:type="dxa"/>
            <w:vAlign w:val="center"/>
          </w:tcPr>
          <w:p w14:paraId="5F38E7DD" w14:textId="77777777" w:rsidR="00450A32" w:rsidRPr="008E1728" w:rsidRDefault="00450A32" w:rsidP="00B75CC9">
            <w:pPr>
              <w:keepNext/>
              <w:contextualSpacing/>
              <w:jc w:val="center"/>
              <w:rPr>
                <w:b/>
                <w:sz w:val="26"/>
                <w:szCs w:val="26"/>
              </w:rPr>
            </w:pPr>
            <w:r w:rsidRPr="008E1728">
              <w:rPr>
                <w:b/>
                <w:sz w:val="26"/>
                <w:szCs w:val="26"/>
              </w:rPr>
              <w:t>2021</w:t>
            </w:r>
          </w:p>
        </w:tc>
      </w:tr>
      <w:tr w:rsidR="00450A32" w:rsidRPr="008E1728" w14:paraId="5CB9EB56" w14:textId="77777777" w:rsidTr="00B75CC9">
        <w:trPr>
          <w:jc w:val="center"/>
        </w:trPr>
        <w:tc>
          <w:tcPr>
            <w:tcW w:w="1664" w:type="dxa"/>
            <w:vAlign w:val="center"/>
          </w:tcPr>
          <w:p w14:paraId="6F2E78E1" w14:textId="77777777" w:rsidR="00450A32" w:rsidRPr="00E64C43" w:rsidRDefault="00450A32" w:rsidP="00B75CC9">
            <w:pPr>
              <w:keepNext/>
              <w:contextualSpacing/>
              <w:rPr>
                <w:b/>
                <w:color w:val="0D0D0D" w:themeColor="text1" w:themeTint="F2"/>
                <w:sz w:val="26"/>
                <w:szCs w:val="26"/>
              </w:rPr>
            </w:pPr>
            <w:r w:rsidRPr="00E64C43">
              <w:rPr>
                <w:b/>
                <w:color w:val="0D0D0D" w:themeColor="text1" w:themeTint="F2"/>
                <w:sz w:val="26"/>
                <w:szCs w:val="26"/>
              </w:rPr>
              <w:t xml:space="preserve">Duquesne </w:t>
            </w:r>
          </w:p>
        </w:tc>
        <w:tc>
          <w:tcPr>
            <w:tcW w:w="1516" w:type="dxa"/>
            <w:vAlign w:val="center"/>
          </w:tcPr>
          <w:p w14:paraId="64E031D1"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$8,517,888 </w:t>
            </w:r>
          </w:p>
        </w:tc>
        <w:tc>
          <w:tcPr>
            <w:tcW w:w="1516" w:type="dxa"/>
            <w:vAlign w:val="center"/>
          </w:tcPr>
          <w:p w14:paraId="07E4164A"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$4,986,086 </w:t>
            </w:r>
          </w:p>
        </w:tc>
        <w:tc>
          <w:tcPr>
            <w:tcW w:w="1516" w:type="dxa"/>
            <w:vAlign w:val="center"/>
          </w:tcPr>
          <w:p w14:paraId="5437D5EB"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$4,704,692 </w:t>
            </w:r>
          </w:p>
        </w:tc>
        <w:tc>
          <w:tcPr>
            <w:tcW w:w="1516" w:type="dxa"/>
            <w:vAlign w:val="center"/>
          </w:tcPr>
          <w:p w14:paraId="7D168BAF"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$3,548,757 </w:t>
            </w:r>
          </w:p>
        </w:tc>
        <w:tc>
          <w:tcPr>
            <w:tcW w:w="1516" w:type="dxa"/>
            <w:vAlign w:val="center"/>
          </w:tcPr>
          <w:p w14:paraId="64F9A751"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$121,957 </w:t>
            </w:r>
          </w:p>
        </w:tc>
        <w:tc>
          <w:tcPr>
            <w:tcW w:w="1516" w:type="dxa"/>
            <w:vAlign w:val="center"/>
          </w:tcPr>
          <w:p w14:paraId="5894BA3F"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$520,094 </w:t>
            </w:r>
          </w:p>
        </w:tc>
      </w:tr>
      <w:tr w:rsidR="00450A32" w:rsidRPr="008E1728" w14:paraId="13411B33" w14:textId="77777777" w:rsidTr="00B75CC9">
        <w:trPr>
          <w:jc w:val="center"/>
        </w:trPr>
        <w:tc>
          <w:tcPr>
            <w:tcW w:w="1664" w:type="dxa"/>
            <w:vAlign w:val="center"/>
          </w:tcPr>
          <w:p w14:paraId="63862406" w14:textId="77777777" w:rsidR="00450A32" w:rsidRPr="00E64C43" w:rsidRDefault="00450A32" w:rsidP="00B75CC9">
            <w:pPr>
              <w:keepNext/>
              <w:contextualSpacing/>
              <w:rPr>
                <w:b/>
                <w:color w:val="0D0D0D" w:themeColor="text1" w:themeTint="F2"/>
                <w:sz w:val="26"/>
                <w:szCs w:val="26"/>
              </w:rPr>
            </w:pPr>
            <w:r w:rsidRPr="00E64C43">
              <w:rPr>
                <w:b/>
                <w:color w:val="0D0D0D" w:themeColor="text1" w:themeTint="F2"/>
                <w:sz w:val="26"/>
                <w:szCs w:val="26"/>
              </w:rPr>
              <w:t>Met-Ed</w:t>
            </w:r>
          </w:p>
        </w:tc>
        <w:tc>
          <w:tcPr>
            <w:tcW w:w="1516" w:type="dxa"/>
            <w:vAlign w:val="center"/>
          </w:tcPr>
          <w:p w14:paraId="2C20D598"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($2,557,430)</w:t>
            </w:r>
          </w:p>
        </w:tc>
        <w:tc>
          <w:tcPr>
            <w:tcW w:w="1516" w:type="dxa"/>
            <w:vAlign w:val="center"/>
          </w:tcPr>
          <w:p w14:paraId="02AEF2C7"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($1,884,001)</w:t>
            </w:r>
          </w:p>
        </w:tc>
        <w:tc>
          <w:tcPr>
            <w:tcW w:w="1516" w:type="dxa"/>
            <w:vAlign w:val="center"/>
          </w:tcPr>
          <w:p w14:paraId="0CA46582"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($4,051,910)</w:t>
            </w:r>
          </w:p>
        </w:tc>
        <w:tc>
          <w:tcPr>
            <w:tcW w:w="1516" w:type="dxa"/>
            <w:vAlign w:val="center"/>
          </w:tcPr>
          <w:p w14:paraId="19D6DBF6"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($4,948,532)</w:t>
            </w:r>
          </w:p>
        </w:tc>
        <w:tc>
          <w:tcPr>
            <w:tcW w:w="1516" w:type="dxa"/>
            <w:vAlign w:val="center"/>
          </w:tcPr>
          <w:p w14:paraId="62C12B85"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($16,131,506)</w:t>
            </w:r>
          </w:p>
        </w:tc>
        <w:tc>
          <w:tcPr>
            <w:tcW w:w="1516" w:type="dxa"/>
            <w:vAlign w:val="center"/>
          </w:tcPr>
          <w:p w14:paraId="27AF82FE"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($6,019,088)</w:t>
            </w:r>
          </w:p>
        </w:tc>
      </w:tr>
      <w:tr w:rsidR="00450A32" w:rsidRPr="008E1728" w14:paraId="3E6120B9" w14:textId="77777777" w:rsidTr="00B75CC9">
        <w:trPr>
          <w:jc w:val="center"/>
        </w:trPr>
        <w:tc>
          <w:tcPr>
            <w:tcW w:w="1664" w:type="dxa"/>
            <w:vAlign w:val="center"/>
          </w:tcPr>
          <w:p w14:paraId="43BD2D99" w14:textId="77777777" w:rsidR="00450A32" w:rsidRPr="00E64C43" w:rsidRDefault="00450A32" w:rsidP="00B75CC9">
            <w:pPr>
              <w:keepNext/>
              <w:contextualSpacing/>
              <w:rPr>
                <w:b/>
                <w:color w:val="0D0D0D" w:themeColor="text1" w:themeTint="F2"/>
                <w:sz w:val="24"/>
                <w:szCs w:val="24"/>
              </w:rPr>
            </w:pPr>
            <w:r w:rsidRPr="00E64C43">
              <w:rPr>
                <w:b/>
                <w:color w:val="0D0D0D" w:themeColor="text1" w:themeTint="F2"/>
                <w:sz w:val="24"/>
                <w:szCs w:val="24"/>
              </w:rPr>
              <w:t>PECO-E&amp;NG</w:t>
            </w:r>
          </w:p>
        </w:tc>
        <w:tc>
          <w:tcPr>
            <w:tcW w:w="1516" w:type="dxa"/>
            <w:vAlign w:val="center"/>
          </w:tcPr>
          <w:p w14:paraId="4B8B17A7"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$17,895,406 </w:t>
            </w:r>
          </w:p>
        </w:tc>
        <w:tc>
          <w:tcPr>
            <w:tcW w:w="1516" w:type="dxa"/>
            <w:vAlign w:val="center"/>
          </w:tcPr>
          <w:p w14:paraId="3217500A"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$28,719,829 </w:t>
            </w:r>
          </w:p>
        </w:tc>
        <w:tc>
          <w:tcPr>
            <w:tcW w:w="1516" w:type="dxa"/>
            <w:vAlign w:val="center"/>
          </w:tcPr>
          <w:p w14:paraId="43665877"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$34,827,539 </w:t>
            </w:r>
          </w:p>
        </w:tc>
        <w:tc>
          <w:tcPr>
            <w:tcW w:w="1516" w:type="dxa"/>
            <w:vAlign w:val="center"/>
          </w:tcPr>
          <w:p w14:paraId="485C95FC"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$38,534,186 </w:t>
            </w:r>
          </w:p>
        </w:tc>
        <w:tc>
          <w:tcPr>
            <w:tcW w:w="1516" w:type="dxa"/>
            <w:vAlign w:val="center"/>
          </w:tcPr>
          <w:p w14:paraId="22F2CCB3"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$37,438,236 </w:t>
            </w:r>
          </w:p>
        </w:tc>
        <w:tc>
          <w:tcPr>
            <w:tcW w:w="1516" w:type="dxa"/>
            <w:vAlign w:val="center"/>
          </w:tcPr>
          <w:p w14:paraId="57A3B4EF"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$37,468,934 </w:t>
            </w:r>
          </w:p>
        </w:tc>
      </w:tr>
      <w:tr w:rsidR="00450A32" w:rsidRPr="008E1728" w14:paraId="1A492C82" w14:textId="77777777" w:rsidTr="00B75CC9">
        <w:trPr>
          <w:jc w:val="center"/>
        </w:trPr>
        <w:tc>
          <w:tcPr>
            <w:tcW w:w="1664" w:type="dxa"/>
            <w:vAlign w:val="center"/>
          </w:tcPr>
          <w:p w14:paraId="2F312243" w14:textId="77777777" w:rsidR="00450A32" w:rsidRPr="00E64C43" w:rsidRDefault="00450A32" w:rsidP="00B75CC9">
            <w:pPr>
              <w:keepNext/>
              <w:contextualSpacing/>
              <w:rPr>
                <w:b/>
                <w:color w:val="0D0D0D" w:themeColor="text1" w:themeTint="F2"/>
                <w:sz w:val="26"/>
                <w:szCs w:val="26"/>
              </w:rPr>
            </w:pPr>
            <w:r w:rsidRPr="00E64C43">
              <w:rPr>
                <w:b/>
                <w:color w:val="0D0D0D" w:themeColor="text1" w:themeTint="F2"/>
                <w:sz w:val="26"/>
                <w:szCs w:val="26"/>
              </w:rPr>
              <w:t>Penelec</w:t>
            </w:r>
          </w:p>
        </w:tc>
        <w:tc>
          <w:tcPr>
            <w:tcW w:w="1516" w:type="dxa"/>
            <w:vAlign w:val="center"/>
          </w:tcPr>
          <w:p w14:paraId="0AFC4201"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($3,064,101)</w:t>
            </w:r>
          </w:p>
        </w:tc>
        <w:tc>
          <w:tcPr>
            <w:tcW w:w="1516" w:type="dxa"/>
            <w:vAlign w:val="center"/>
          </w:tcPr>
          <w:p w14:paraId="0A7CD5CA"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($2,228,239)</w:t>
            </w:r>
          </w:p>
        </w:tc>
        <w:tc>
          <w:tcPr>
            <w:tcW w:w="1516" w:type="dxa"/>
            <w:vAlign w:val="center"/>
          </w:tcPr>
          <w:p w14:paraId="72226D69"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($3,157,557)</w:t>
            </w:r>
          </w:p>
        </w:tc>
        <w:tc>
          <w:tcPr>
            <w:tcW w:w="1516" w:type="dxa"/>
            <w:vAlign w:val="center"/>
          </w:tcPr>
          <w:p w14:paraId="2DCC5CD7"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($5,881,713)</w:t>
            </w:r>
          </w:p>
        </w:tc>
        <w:tc>
          <w:tcPr>
            <w:tcW w:w="1516" w:type="dxa"/>
            <w:vAlign w:val="center"/>
          </w:tcPr>
          <w:p w14:paraId="14127C26"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($8,207,708)</w:t>
            </w:r>
          </w:p>
        </w:tc>
        <w:tc>
          <w:tcPr>
            <w:tcW w:w="1516" w:type="dxa"/>
            <w:vAlign w:val="center"/>
          </w:tcPr>
          <w:p w14:paraId="243181B1"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($7,635,153)</w:t>
            </w:r>
          </w:p>
        </w:tc>
      </w:tr>
      <w:tr w:rsidR="00450A32" w:rsidRPr="008E1728" w14:paraId="3EA55119" w14:textId="77777777" w:rsidTr="00B75CC9">
        <w:trPr>
          <w:jc w:val="center"/>
        </w:trPr>
        <w:tc>
          <w:tcPr>
            <w:tcW w:w="1664" w:type="dxa"/>
            <w:vAlign w:val="center"/>
          </w:tcPr>
          <w:p w14:paraId="043D3C77" w14:textId="77777777" w:rsidR="00450A32" w:rsidRPr="00E64C43" w:rsidRDefault="00450A32" w:rsidP="00B75CC9">
            <w:pPr>
              <w:keepNext/>
              <w:contextualSpacing/>
              <w:rPr>
                <w:b/>
                <w:color w:val="0D0D0D" w:themeColor="text1" w:themeTint="F2"/>
                <w:sz w:val="26"/>
                <w:szCs w:val="26"/>
              </w:rPr>
            </w:pPr>
            <w:r w:rsidRPr="00E64C43">
              <w:rPr>
                <w:b/>
                <w:color w:val="0D0D0D" w:themeColor="text1" w:themeTint="F2"/>
                <w:sz w:val="26"/>
                <w:szCs w:val="26"/>
              </w:rPr>
              <w:t>Penn Power</w:t>
            </w:r>
          </w:p>
        </w:tc>
        <w:tc>
          <w:tcPr>
            <w:tcW w:w="1516" w:type="dxa"/>
            <w:vAlign w:val="center"/>
          </w:tcPr>
          <w:p w14:paraId="3C454E6A"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($612,118)</w:t>
            </w:r>
          </w:p>
        </w:tc>
        <w:tc>
          <w:tcPr>
            <w:tcW w:w="1516" w:type="dxa"/>
            <w:vAlign w:val="center"/>
          </w:tcPr>
          <w:p w14:paraId="49DE004A"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($598,054)</w:t>
            </w:r>
          </w:p>
        </w:tc>
        <w:tc>
          <w:tcPr>
            <w:tcW w:w="1516" w:type="dxa"/>
            <w:vAlign w:val="center"/>
          </w:tcPr>
          <w:p w14:paraId="64BDF12B"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($714,904)</w:t>
            </w:r>
          </w:p>
        </w:tc>
        <w:tc>
          <w:tcPr>
            <w:tcW w:w="1516" w:type="dxa"/>
            <w:vAlign w:val="center"/>
          </w:tcPr>
          <w:p w14:paraId="65D9FA1A"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($926,342)</w:t>
            </w:r>
          </w:p>
        </w:tc>
        <w:tc>
          <w:tcPr>
            <w:tcW w:w="1516" w:type="dxa"/>
            <w:vAlign w:val="center"/>
          </w:tcPr>
          <w:p w14:paraId="765C9E78"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($1,440,647)</w:t>
            </w:r>
          </w:p>
        </w:tc>
        <w:tc>
          <w:tcPr>
            <w:tcW w:w="1516" w:type="dxa"/>
            <w:vAlign w:val="center"/>
          </w:tcPr>
          <w:p w14:paraId="5A38586E"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($1,718,785)</w:t>
            </w:r>
          </w:p>
        </w:tc>
      </w:tr>
      <w:tr w:rsidR="00450A32" w:rsidRPr="008E1728" w14:paraId="44F772BA" w14:textId="77777777" w:rsidTr="00B75CC9">
        <w:trPr>
          <w:jc w:val="center"/>
        </w:trPr>
        <w:tc>
          <w:tcPr>
            <w:tcW w:w="1664" w:type="dxa"/>
            <w:vAlign w:val="center"/>
          </w:tcPr>
          <w:p w14:paraId="6724FD74" w14:textId="77777777" w:rsidR="00450A32" w:rsidRPr="00E64C43" w:rsidRDefault="00450A32" w:rsidP="00B75CC9">
            <w:pPr>
              <w:keepNext/>
              <w:contextualSpacing/>
              <w:rPr>
                <w:b/>
                <w:color w:val="0D0D0D" w:themeColor="text1" w:themeTint="F2"/>
                <w:sz w:val="26"/>
                <w:szCs w:val="26"/>
              </w:rPr>
            </w:pPr>
            <w:r w:rsidRPr="00E64C43">
              <w:rPr>
                <w:b/>
                <w:color w:val="0D0D0D" w:themeColor="text1" w:themeTint="F2"/>
                <w:sz w:val="26"/>
                <w:szCs w:val="26"/>
              </w:rPr>
              <w:t>PPL</w:t>
            </w:r>
          </w:p>
        </w:tc>
        <w:tc>
          <w:tcPr>
            <w:tcW w:w="1516" w:type="dxa"/>
            <w:vAlign w:val="center"/>
          </w:tcPr>
          <w:p w14:paraId="111C2F06"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$6,382,930 </w:t>
            </w:r>
          </w:p>
        </w:tc>
        <w:tc>
          <w:tcPr>
            <w:tcW w:w="1516" w:type="dxa"/>
            <w:vAlign w:val="center"/>
          </w:tcPr>
          <w:p w14:paraId="0144B188"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$7,750,910 </w:t>
            </w:r>
          </w:p>
        </w:tc>
        <w:tc>
          <w:tcPr>
            <w:tcW w:w="1516" w:type="dxa"/>
            <w:vAlign w:val="center"/>
          </w:tcPr>
          <w:p w14:paraId="435B524C"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 xml:space="preserve">$3,553,968 </w:t>
            </w:r>
          </w:p>
        </w:tc>
        <w:tc>
          <w:tcPr>
            <w:tcW w:w="1516" w:type="dxa"/>
            <w:vAlign w:val="center"/>
          </w:tcPr>
          <w:p w14:paraId="217107AD"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($4,377,290)</w:t>
            </w:r>
          </w:p>
        </w:tc>
        <w:tc>
          <w:tcPr>
            <w:tcW w:w="1516" w:type="dxa"/>
            <w:vAlign w:val="center"/>
          </w:tcPr>
          <w:p w14:paraId="08404387"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($4,080,746)</w:t>
            </w:r>
          </w:p>
        </w:tc>
        <w:tc>
          <w:tcPr>
            <w:tcW w:w="1516" w:type="dxa"/>
            <w:vAlign w:val="center"/>
          </w:tcPr>
          <w:p w14:paraId="246B570E" w14:textId="77777777" w:rsidR="00450A32" w:rsidRPr="00E64C43" w:rsidRDefault="00450A32" w:rsidP="00B75CC9">
            <w:pPr>
              <w:keepNext/>
              <w:contextualSpacing/>
              <w:jc w:val="center"/>
              <w:rPr>
                <w:color w:val="0D0D0D" w:themeColor="text1" w:themeTint="F2"/>
                <w:sz w:val="26"/>
                <w:szCs w:val="26"/>
              </w:rPr>
            </w:pPr>
            <w:r w:rsidRPr="00E64C43">
              <w:rPr>
                <w:color w:val="0D0D0D" w:themeColor="text1" w:themeTint="F2"/>
                <w:sz w:val="26"/>
                <w:szCs w:val="26"/>
              </w:rPr>
              <w:t>($3,814,822)</w:t>
            </w:r>
          </w:p>
        </w:tc>
      </w:tr>
      <w:tr w:rsidR="00450A32" w:rsidRPr="008E1728" w14:paraId="2C2BE59B" w14:textId="77777777" w:rsidTr="00B75CC9">
        <w:trPr>
          <w:jc w:val="center"/>
        </w:trPr>
        <w:tc>
          <w:tcPr>
            <w:tcW w:w="1664" w:type="dxa"/>
            <w:vAlign w:val="center"/>
          </w:tcPr>
          <w:p w14:paraId="63F91DB7" w14:textId="77777777" w:rsidR="00450A32" w:rsidRPr="00E64C43" w:rsidRDefault="00450A32" w:rsidP="00B75CC9">
            <w:pPr>
              <w:contextualSpacing/>
              <w:rPr>
                <w:b/>
                <w:color w:val="0D0D0D" w:themeColor="text1" w:themeTint="F2"/>
                <w:sz w:val="26"/>
                <w:szCs w:val="26"/>
              </w:rPr>
            </w:pPr>
            <w:r w:rsidRPr="00E64C43">
              <w:rPr>
                <w:b/>
                <w:color w:val="0D0D0D" w:themeColor="text1" w:themeTint="F2"/>
                <w:sz w:val="26"/>
                <w:szCs w:val="26"/>
              </w:rPr>
              <w:t>WPP</w:t>
            </w:r>
          </w:p>
        </w:tc>
        <w:tc>
          <w:tcPr>
            <w:tcW w:w="1516" w:type="dxa"/>
            <w:vAlign w:val="center"/>
          </w:tcPr>
          <w:p w14:paraId="66F5CEA5"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($7,617,110)</w:t>
            </w:r>
          </w:p>
        </w:tc>
        <w:tc>
          <w:tcPr>
            <w:tcW w:w="1516" w:type="dxa"/>
            <w:vAlign w:val="center"/>
          </w:tcPr>
          <w:p w14:paraId="7F056F9F"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($3,091,623)</w:t>
            </w:r>
          </w:p>
        </w:tc>
        <w:tc>
          <w:tcPr>
            <w:tcW w:w="1516" w:type="dxa"/>
            <w:vAlign w:val="center"/>
          </w:tcPr>
          <w:p w14:paraId="0E98253E"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($3,512,610)</w:t>
            </w:r>
          </w:p>
        </w:tc>
        <w:tc>
          <w:tcPr>
            <w:tcW w:w="1516" w:type="dxa"/>
            <w:vAlign w:val="center"/>
          </w:tcPr>
          <w:p w14:paraId="7DD98660"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($4,963,130)</w:t>
            </w:r>
          </w:p>
        </w:tc>
        <w:tc>
          <w:tcPr>
            <w:tcW w:w="1516" w:type="dxa"/>
            <w:vAlign w:val="center"/>
          </w:tcPr>
          <w:p w14:paraId="1D04FC53"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($6,498,258)</w:t>
            </w:r>
          </w:p>
        </w:tc>
        <w:tc>
          <w:tcPr>
            <w:tcW w:w="1516" w:type="dxa"/>
            <w:vAlign w:val="center"/>
          </w:tcPr>
          <w:p w14:paraId="6350C1E9"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($8,483,698)</w:t>
            </w:r>
          </w:p>
        </w:tc>
      </w:tr>
      <w:tr w:rsidR="00450A32" w:rsidRPr="008E1728" w14:paraId="5FF5924A" w14:textId="77777777" w:rsidTr="00B75CC9">
        <w:trPr>
          <w:jc w:val="center"/>
        </w:trPr>
        <w:tc>
          <w:tcPr>
            <w:tcW w:w="1664" w:type="dxa"/>
            <w:vAlign w:val="center"/>
          </w:tcPr>
          <w:p w14:paraId="2B143C9B" w14:textId="77777777" w:rsidR="00450A32" w:rsidRPr="00E64C43" w:rsidRDefault="00450A32" w:rsidP="00B75CC9">
            <w:pPr>
              <w:contextualSpacing/>
              <w:jc w:val="right"/>
              <w:rPr>
                <w:b/>
                <w:color w:val="0D0D0D" w:themeColor="text1" w:themeTint="F2"/>
                <w:sz w:val="26"/>
                <w:szCs w:val="26"/>
              </w:rPr>
            </w:pPr>
            <w:r w:rsidRPr="00E64C43">
              <w:rPr>
                <w:b/>
                <w:color w:val="0D0D0D" w:themeColor="text1" w:themeTint="F2"/>
                <w:sz w:val="26"/>
                <w:szCs w:val="26"/>
              </w:rPr>
              <w:t>Totals</w:t>
            </w:r>
          </w:p>
        </w:tc>
        <w:tc>
          <w:tcPr>
            <w:tcW w:w="1516" w:type="dxa"/>
            <w:vAlign w:val="center"/>
          </w:tcPr>
          <w:p w14:paraId="4265E338"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 xml:space="preserve">$18,945,465 </w:t>
            </w:r>
          </w:p>
        </w:tc>
        <w:tc>
          <w:tcPr>
            <w:tcW w:w="1516" w:type="dxa"/>
            <w:vAlign w:val="center"/>
          </w:tcPr>
          <w:p w14:paraId="59CABE2C"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 xml:space="preserve">$33,654,908 </w:t>
            </w:r>
          </w:p>
        </w:tc>
        <w:tc>
          <w:tcPr>
            <w:tcW w:w="1516" w:type="dxa"/>
            <w:vAlign w:val="center"/>
          </w:tcPr>
          <w:p w14:paraId="51EE8E3A"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 xml:space="preserve">$31,649,218 </w:t>
            </w:r>
          </w:p>
        </w:tc>
        <w:tc>
          <w:tcPr>
            <w:tcW w:w="1516" w:type="dxa"/>
            <w:vAlign w:val="center"/>
          </w:tcPr>
          <w:p w14:paraId="47D324A8"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 xml:space="preserve">$20,985,936 </w:t>
            </w:r>
          </w:p>
        </w:tc>
        <w:tc>
          <w:tcPr>
            <w:tcW w:w="1516" w:type="dxa"/>
            <w:vAlign w:val="center"/>
          </w:tcPr>
          <w:p w14:paraId="0A3215DB"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 xml:space="preserve">$1,201,328 </w:t>
            </w:r>
          </w:p>
        </w:tc>
        <w:tc>
          <w:tcPr>
            <w:tcW w:w="1516" w:type="dxa"/>
            <w:vAlign w:val="center"/>
          </w:tcPr>
          <w:p w14:paraId="3E7D1759" w14:textId="77777777" w:rsidR="00450A32" w:rsidRPr="00E64C43" w:rsidRDefault="00450A32" w:rsidP="00B75CC9">
            <w:pPr>
              <w:contextualSpacing/>
              <w:jc w:val="center"/>
              <w:rPr>
                <w:color w:val="0D0D0D" w:themeColor="text1" w:themeTint="F2"/>
                <w:sz w:val="26"/>
                <w:szCs w:val="26"/>
              </w:rPr>
            </w:pPr>
            <w:r w:rsidRPr="00E64C43">
              <w:rPr>
                <w:color w:val="0D0D0D" w:themeColor="text1" w:themeTint="F2"/>
                <w:sz w:val="26"/>
                <w:szCs w:val="26"/>
              </w:rPr>
              <w:t xml:space="preserve">$10,317,482 </w:t>
            </w:r>
          </w:p>
        </w:tc>
      </w:tr>
    </w:tbl>
    <w:p w14:paraId="6AF9FC5E" w14:textId="77777777" w:rsidR="00450A32" w:rsidRPr="00D037C9" w:rsidRDefault="00450A32" w:rsidP="00450A32">
      <w:pPr>
        <w:spacing w:line="360" w:lineRule="auto"/>
        <w:contextualSpacing/>
        <w:rPr>
          <w:rFonts w:ascii="Times New Roman" w:hAnsi="Times New Roman" w:cs="Times New Roman"/>
          <w:sz w:val="26"/>
          <w:szCs w:val="26"/>
        </w:rPr>
      </w:pPr>
    </w:p>
    <w:p w14:paraId="13539A09" w14:textId="77777777" w:rsidR="00450A32" w:rsidRPr="00D037C9" w:rsidRDefault="00450A32" w:rsidP="00450A32">
      <w:pPr>
        <w:keepNext/>
        <w:contextualSpacing/>
        <w:jc w:val="center"/>
        <w:rPr>
          <w:rFonts w:ascii="Times New Roman" w:hAnsi="Times New Roman" w:cs="Times New Roman"/>
          <w:b/>
          <w:bCs/>
          <w:sz w:val="26"/>
          <w:szCs w:val="26"/>
        </w:rPr>
      </w:pPr>
      <w:r w:rsidRPr="00D037C9">
        <w:rPr>
          <w:rFonts w:ascii="Times New Roman" w:hAnsi="Times New Roman" w:cs="Times New Roman"/>
          <w:b/>
          <w:bCs/>
          <w:sz w:val="26"/>
          <w:szCs w:val="26"/>
        </w:rPr>
        <w:t>Table 3</w:t>
      </w:r>
    </w:p>
    <w:p w14:paraId="094916BA" w14:textId="77777777" w:rsidR="00450A32" w:rsidRPr="00D037C9" w:rsidRDefault="00450A32" w:rsidP="00450A32">
      <w:pPr>
        <w:keepNext/>
        <w:contextualSpacing/>
        <w:jc w:val="center"/>
        <w:rPr>
          <w:rFonts w:ascii="Times New Roman" w:hAnsi="Times New Roman" w:cs="Times New Roman"/>
          <w:b/>
          <w:bCs/>
          <w:sz w:val="26"/>
          <w:szCs w:val="26"/>
        </w:rPr>
      </w:pPr>
      <w:r w:rsidRPr="00D037C9">
        <w:rPr>
          <w:rFonts w:ascii="Times New Roman" w:hAnsi="Times New Roman" w:cs="Times New Roman"/>
          <w:b/>
          <w:bCs/>
          <w:sz w:val="26"/>
          <w:szCs w:val="26"/>
        </w:rPr>
        <w:t>Charging 6% of Household Income or Average Bill</w:t>
      </w:r>
    </w:p>
    <w:p w14:paraId="53F98DAC" w14:textId="77777777" w:rsidR="00450A32" w:rsidRPr="00386038" w:rsidRDefault="00450A32" w:rsidP="00450A32">
      <w:pPr>
        <w:keepNext/>
        <w:contextualSpacing/>
        <w:jc w:val="center"/>
        <w:rPr>
          <w:rFonts w:ascii="Times New Roman" w:hAnsi="Times New Roman" w:cs="Times New Roman"/>
          <w:b/>
          <w:bCs/>
          <w:sz w:val="26"/>
          <w:szCs w:val="26"/>
        </w:rPr>
      </w:pPr>
      <w:r w:rsidRPr="00386038">
        <w:rPr>
          <w:rFonts w:ascii="Times New Roman" w:hAnsi="Times New Roman" w:cs="Times New Roman"/>
          <w:b/>
          <w:bCs/>
          <w:sz w:val="26"/>
          <w:szCs w:val="26"/>
        </w:rPr>
        <w:t>Estimated Increase/Decrease on NGDC CAP Spending 2016-2021</w:t>
      </w:r>
    </w:p>
    <w:tbl>
      <w:tblPr>
        <w:tblStyle w:val="TableGrid"/>
        <w:tblW w:w="10525" w:type="dxa"/>
        <w:jc w:val="center"/>
        <w:tblLook w:val="04A0" w:firstRow="1" w:lastRow="0" w:firstColumn="1" w:lastColumn="0" w:noHBand="0" w:noVBand="1"/>
      </w:tblPr>
      <w:tblGrid>
        <w:gridCol w:w="1315"/>
        <w:gridCol w:w="1560"/>
        <w:gridCol w:w="1560"/>
        <w:gridCol w:w="1560"/>
        <w:gridCol w:w="1560"/>
        <w:gridCol w:w="1560"/>
        <w:gridCol w:w="1560"/>
      </w:tblGrid>
      <w:tr w:rsidR="00450A32" w:rsidRPr="00386038" w14:paraId="6FD1588C" w14:textId="77777777" w:rsidTr="00B75CC9">
        <w:trPr>
          <w:jc w:val="center"/>
        </w:trPr>
        <w:tc>
          <w:tcPr>
            <w:tcW w:w="1414" w:type="dxa"/>
            <w:vAlign w:val="center"/>
          </w:tcPr>
          <w:p w14:paraId="27BCF0DA" w14:textId="77777777" w:rsidR="00450A32" w:rsidRPr="00386038" w:rsidRDefault="00450A32" w:rsidP="00B75CC9">
            <w:pPr>
              <w:keepNext/>
              <w:contextualSpacing/>
              <w:jc w:val="center"/>
              <w:rPr>
                <w:sz w:val="26"/>
                <w:szCs w:val="26"/>
              </w:rPr>
            </w:pPr>
          </w:p>
        </w:tc>
        <w:tc>
          <w:tcPr>
            <w:tcW w:w="1516" w:type="dxa"/>
            <w:vAlign w:val="center"/>
          </w:tcPr>
          <w:p w14:paraId="1670AE38" w14:textId="77777777" w:rsidR="00450A32" w:rsidRPr="00386038" w:rsidRDefault="00450A32" w:rsidP="00B75CC9">
            <w:pPr>
              <w:keepNext/>
              <w:contextualSpacing/>
              <w:jc w:val="center"/>
              <w:rPr>
                <w:b/>
                <w:sz w:val="26"/>
                <w:szCs w:val="26"/>
              </w:rPr>
            </w:pPr>
            <w:r w:rsidRPr="00386038">
              <w:rPr>
                <w:b/>
                <w:sz w:val="26"/>
                <w:szCs w:val="26"/>
              </w:rPr>
              <w:t>2016</w:t>
            </w:r>
          </w:p>
        </w:tc>
        <w:tc>
          <w:tcPr>
            <w:tcW w:w="1516" w:type="dxa"/>
            <w:vAlign w:val="center"/>
          </w:tcPr>
          <w:p w14:paraId="7BD857B5" w14:textId="77777777" w:rsidR="00450A32" w:rsidRPr="00386038" w:rsidRDefault="00450A32" w:rsidP="00B75CC9">
            <w:pPr>
              <w:keepNext/>
              <w:contextualSpacing/>
              <w:jc w:val="center"/>
              <w:rPr>
                <w:b/>
                <w:sz w:val="26"/>
                <w:szCs w:val="26"/>
              </w:rPr>
            </w:pPr>
            <w:r w:rsidRPr="00386038">
              <w:rPr>
                <w:b/>
                <w:sz w:val="26"/>
                <w:szCs w:val="26"/>
              </w:rPr>
              <w:t>2017</w:t>
            </w:r>
          </w:p>
        </w:tc>
        <w:tc>
          <w:tcPr>
            <w:tcW w:w="1516" w:type="dxa"/>
            <w:vAlign w:val="center"/>
          </w:tcPr>
          <w:p w14:paraId="35A9B1E4" w14:textId="77777777" w:rsidR="00450A32" w:rsidRPr="00386038" w:rsidRDefault="00450A32" w:rsidP="00B75CC9">
            <w:pPr>
              <w:keepNext/>
              <w:contextualSpacing/>
              <w:jc w:val="center"/>
              <w:rPr>
                <w:b/>
                <w:sz w:val="26"/>
                <w:szCs w:val="26"/>
              </w:rPr>
            </w:pPr>
            <w:r w:rsidRPr="00386038">
              <w:rPr>
                <w:b/>
                <w:sz w:val="26"/>
                <w:szCs w:val="26"/>
              </w:rPr>
              <w:t>2018</w:t>
            </w:r>
          </w:p>
        </w:tc>
        <w:tc>
          <w:tcPr>
            <w:tcW w:w="1521" w:type="dxa"/>
            <w:vAlign w:val="center"/>
          </w:tcPr>
          <w:p w14:paraId="4A1A4A79" w14:textId="77777777" w:rsidR="00450A32" w:rsidRPr="00386038" w:rsidRDefault="00450A32" w:rsidP="00B75CC9">
            <w:pPr>
              <w:keepNext/>
              <w:contextualSpacing/>
              <w:jc w:val="center"/>
              <w:rPr>
                <w:b/>
                <w:sz w:val="26"/>
                <w:szCs w:val="26"/>
              </w:rPr>
            </w:pPr>
            <w:r w:rsidRPr="00386038">
              <w:rPr>
                <w:b/>
                <w:sz w:val="26"/>
                <w:szCs w:val="26"/>
              </w:rPr>
              <w:t>2019</w:t>
            </w:r>
          </w:p>
        </w:tc>
        <w:tc>
          <w:tcPr>
            <w:tcW w:w="1521" w:type="dxa"/>
            <w:vAlign w:val="center"/>
          </w:tcPr>
          <w:p w14:paraId="6DA7EB35" w14:textId="77777777" w:rsidR="00450A32" w:rsidRPr="00386038" w:rsidRDefault="00450A32" w:rsidP="00B75CC9">
            <w:pPr>
              <w:keepNext/>
              <w:contextualSpacing/>
              <w:jc w:val="center"/>
              <w:rPr>
                <w:b/>
                <w:sz w:val="26"/>
                <w:szCs w:val="26"/>
              </w:rPr>
            </w:pPr>
            <w:r w:rsidRPr="00386038">
              <w:rPr>
                <w:b/>
                <w:sz w:val="26"/>
                <w:szCs w:val="26"/>
              </w:rPr>
              <w:t>2020</w:t>
            </w:r>
          </w:p>
        </w:tc>
        <w:tc>
          <w:tcPr>
            <w:tcW w:w="1521" w:type="dxa"/>
            <w:vAlign w:val="center"/>
          </w:tcPr>
          <w:p w14:paraId="5DF735A1" w14:textId="77777777" w:rsidR="00450A32" w:rsidRPr="00386038" w:rsidRDefault="00450A32" w:rsidP="00B75CC9">
            <w:pPr>
              <w:keepNext/>
              <w:contextualSpacing/>
              <w:jc w:val="center"/>
              <w:rPr>
                <w:b/>
                <w:sz w:val="26"/>
                <w:szCs w:val="26"/>
              </w:rPr>
            </w:pPr>
            <w:r w:rsidRPr="00386038">
              <w:rPr>
                <w:b/>
                <w:sz w:val="26"/>
                <w:szCs w:val="26"/>
              </w:rPr>
              <w:t>2021</w:t>
            </w:r>
          </w:p>
        </w:tc>
      </w:tr>
      <w:tr w:rsidR="00450A32" w:rsidRPr="00386038" w14:paraId="2D05F86E" w14:textId="77777777" w:rsidTr="00B75CC9">
        <w:trPr>
          <w:jc w:val="center"/>
        </w:trPr>
        <w:tc>
          <w:tcPr>
            <w:tcW w:w="1414" w:type="dxa"/>
            <w:vAlign w:val="center"/>
          </w:tcPr>
          <w:p w14:paraId="4D3EE4C0" w14:textId="77777777" w:rsidR="00450A32" w:rsidRPr="00386038" w:rsidRDefault="00450A32" w:rsidP="00B75CC9">
            <w:pPr>
              <w:keepNext/>
              <w:contextualSpacing/>
              <w:rPr>
                <w:b/>
                <w:sz w:val="26"/>
                <w:szCs w:val="26"/>
              </w:rPr>
            </w:pPr>
            <w:r w:rsidRPr="00386038">
              <w:rPr>
                <w:b/>
                <w:sz w:val="26"/>
                <w:szCs w:val="26"/>
              </w:rPr>
              <w:t>Columbia</w:t>
            </w:r>
          </w:p>
        </w:tc>
        <w:tc>
          <w:tcPr>
            <w:tcW w:w="1516" w:type="dxa"/>
            <w:vAlign w:val="center"/>
          </w:tcPr>
          <w:p w14:paraId="00DA7731" w14:textId="77777777" w:rsidR="00450A32" w:rsidRPr="00386038" w:rsidRDefault="00450A32" w:rsidP="00B75CC9">
            <w:pPr>
              <w:keepNext/>
              <w:contextualSpacing/>
              <w:jc w:val="center"/>
              <w:rPr>
                <w:sz w:val="26"/>
                <w:szCs w:val="26"/>
              </w:rPr>
            </w:pPr>
            <w:r w:rsidRPr="00386038">
              <w:rPr>
                <w:sz w:val="26"/>
                <w:szCs w:val="26"/>
              </w:rPr>
              <w:t>($4,640,392)</w:t>
            </w:r>
          </w:p>
        </w:tc>
        <w:tc>
          <w:tcPr>
            <w:tcW w:w="1516" w:type="dxa"/>
            <w:vAlign w:val="center"/>
          </w:tcPr>
          <w:p w14:paraId="581B3352" w14:textId="77777777" w:rsidR="00450A32" w:rsidRPr="00386038" w:rsidRDefault="00450A32" w:rsidP="00B75CC9">
            <w:pPr>
              <w:keepNext/>
              <w:contextualSpacing/>
              <w:jc w:val="center"/>
              <w:rPr>
                <w:sz w:val="26"/>
                <w:szCs w:val="26"/>
              </w:rPr>
            </w:pPr>
            <w:r w:rsidRPr="00386038">
              <w:rPr>
                <w:sz w:val="26"/>
                <w:szCs w:val="26"/>
              </w:rPr>
              <w:t>($4,814,045)</w:t>
            </w:r>
          </w:p>
        </w:tc>
        <w:tc>
          <w:tcPr>
            <w:tcW w:w="1516" w:type="dxa"/>
            <w:vAlign w:val="center"/>
          </w:tcPr>
          <w:p w14:paraId="268CA430" w14:textId="77777777" w:rsidR="00450A32" w:rsidRPr="00386038" w:rsidRDefault="00450A32" w:rsidP="00B75CC9">
            <w:pPr>
              <w:keepNext/>
              <w:contextualSpacing/>
              <w:jc w:val="center"/>
              <w:rPr>
                <w:sz w:val="26"/>
                <w:szCs w:val="26"/>
              </w:rPr>
            </w:pPr>
            <w:r w:rsidRPr="00386038">
              <w:rPr>
                <w:sz w:val="26"/>
                <w:szCs w:val="26"/>
              </w:rPr>
              <w:t>($4,418,657)</w:t>
            </w:r>
          </w:p>
        </w:tc>
        <w:tc>
          <w:tcPr>
            <w:tcW w:w="1521" w:type="dxa"/>
            <w:vAlign w:val="center"/>
          </w:tcPr>
          <w:p w14:paraId="7C838ABE" w14:textId="77777777" w:rsidR="00450A32" w:rsidRPr="00386038" w:rsidRDefault="00450A32" w:rsidP="00B75CC9">
            <w:pPr>
              <w:keepNext/>
              <w:contextualSpacing/>
              <w:jc w:val="center"/>
              <w:rPr>
                <w:sz w:val="26"/>
                <w:szCs w:val="26"/>
              </w:rPr>
            </w:pPr>
            <w:r w:rsidRPr="00386038">
              <w:rPr>
                <w:sz w:val="26"/>
                <w:szCs w:val="26"/>
              </w:rPr>
              <w:t>($4,542,764)</w:t>
            </w:r>
          </w:p>
        </w:tc>
        <w:tc>
          <w:tcPr>
            <w:tcW w:w="1521" w:type="dxa"/>
            <w:vAlign w:val="center"/>
          </w:tcPr>
          <w:p w14:paraId="5D6E9BE6" w14:textId="77777777" w:rsidR="00450A32" w:rsidRPr="00386038" w:rsidRDefault="00450A32" w:rsidP="00B75CC9">
            <w:pPr>
              <w:keepNext/>
              <w:contextualSpacing/>
              <w:jc w:val="center"/>
              <w:rPr>
                <w:sz w:val="26"/>
                <w:szCs w:val="26"/>
              </w:rPr>
            </w:pPr>
            <w:r w:rsidRPr="00386038">
              <w:rPr>
                <w:sz w:val="26"/>
                <w:szCs w:val="26"/>
              </w:rPr>
              <w:t>($4,325,384)</w:t>
            </w:r>
          </w:p>
        </w:tc>
        <w:tc>
          <w:tcPr>
            <w:tcW w:w="1521" w:type="dxa"/>
            <w:vAlign w:val="center"/>
          </w:tcPr>
          <w:p w14:paraId="775FB093" w14:textId="77777777" w:rsidR="00450A32" w:rsidRPr="00386038" w:rsidRDefault="00450A32" w:rsidP="00B75CC9">
            <w:pPr>
              <w:keepNext/>
              <w:contextualSpacing/>
              <w:jc w:val="center"/>
              <w:rPr>
                <w:sz w:val="26"/>
                <w:szCs w:val="26"/>
              </w:rPr>
            </w:pPr>
            <w:r w:rsidRPr="00386038">
              <w:rPr>
                <w:sz w:val="26"/>
                <w:szCs w:val="26"/>
              </w:rPr>
              <w:t>($4,477,724)</w:t>
            </w:r>
          </w:p>
        </w:tc>
      </w:tr>
      <w:tr w:rsidR="00450A32" w:rsidRPr="00386038" w14:paraId="43B67E9A" w14:textId="77777777" w:rsidTr="00B75CC9">
        <w:trPr>
          <w:jc w:val="center"/>
        </w:trPr>
        <w:tc>
          <w:tcPr>
            <w:tcW w:w="1414" w:type="dxa"/>
            <w:vAlign w:val="center"/>
          </w:tcPr>
          <w:p w14:paraId="591865B5" w14:textId="77777777" w:rsidR="00450A32" w:rsidRPr="00386038" w:rsidRDefault="00450A32" w:rsidP="00B75CC9">
            <w:pPr>
              <w:keepNext/>
              <w:contextualSpacing/>
              <w:rPr>
                <w:b/>
                <w:sz w:val="26"/>
                <w:szCs w:val="26"/>
              </w:rPr>
            </w:pPr>
            <w:r w:rsidRPr="00386038">
              <w:rPr>
                <w:b/>
                <w:sz w:val="26"/>
                <w:szCs w:val="26"/>
              </w:rPr>
              <w:t>NFG</w:t>
            </w:r>
          </w:p>
        </w:tc>
        <w:tc>
          <w:tcPr>
            <w:tcW w:w="1516" w:type="dxa"/>
            <w:vAlign w:val="center"/>
          </w:tcPr>
          <w:p w14:paraId="1802B11D" w14:textId="77777777" w:rsidR="00450A32" w:rsidRPr="00386038" w:rsidRDefault="00450A32" w:rsidP="00B75CC9">
            <w:pPr>
              <w:keepNext/>
              <w:contextualSpacing/>
              <w:jc w:val="center"/>
              <w:rPr>
                <w:sz w:val="26"/>
                <w:szCs w:val="26"/>
              </w:rPr>
            </w:pPr>
            <w:r w:rsidRPr="00386038">
              <w:rPr>
                <w:sz w:val="26"/>
                <w:szCs w:val="26"/>
              </w:rPr>
              <w:t xml:space="preserve">$656,745 </w:t>
            </w:r>
          </w:p>
        </w:tc>
        <w:tc>
          <w:tcPr>
            <w:tcW w:w="1516" w:type="dxa"/>
            <w:vAlign w:val="center"/>
          </w:tcPr>
          <w:p w14:paraId="3A516FA4" w14:textId="77777777" w:rsidR="00450A32" w:rsidRPr="00386038" w:rsidRDefault="00450A32" w:rsidP="00B75CC9">
            <w:pPr>
              <w:keepNext/>
              <w:contextualSpacing/>
              <w:jc w:val="center"/>
              <w:rPr>
                <w:sz w:val="26"/>
                <w:szCs w:val="26"/>
              </w:rPr>
            </w:pPr>
            <w:r w:rsidRPr="00386038">
              <w:rPr>
                <w:sz w:val="26"/>
                <w:szCs w:val="26"/>
              </w:rPr>
              <w:t xml:space="preserve">$644,967 </w:t>
            </w:r>
          </w:p>
        </w:tc>
        <w:tc>
          <w:tcPr>
            <w:tcW w:w="1516" w:type="dxa"/>
            <w:vAlign w:val="center"/>
          </w:tcPr>
          <w:p w14:paraId="6134B2B4" w14:textId="77777777" w:rsidR="00450A32" w:rsidRPr="00386038" w:rsidRDefault="00450A32" w:rsidP="00B75CC9">
            <w:pPr>
              <w:keepNext/>
              <w:contextualSpacing/>
              <w:jc w:val="center"/>
              <w:rPr>
                <w:sz w:val="26"/>
                <w:szCs w:val="26"/>
              </w:rPr>
            </w:pPr>
            <w:r w:rsidRPr="00386038">
              <w:rPr>
                <w:sz w:val="26"/>
                <w:szCs w:val="26"/>
              </w:rPr>
              <w:t xml:space="preserve">$630,300 </w:t>
            </w:r>
          </w:p>
        </w:tc>
        <w:tc>
          <w:tcPr>
            <w:tcW w:w="1521" w:type="dxa"/>
            <w:vAlign w:val="center"/>
          </w:tcPr>
          <w:p w14:paraId="3DB89236" w14:textId="77777777" w:rsidR="00450A32" w:rsidRPr="00386038" w:rsidRDefault="00450A32" w:rsidP="00B75CC9">
            <w:pPr>
              <w:keepNext/>
              <w:contextualSpacing/>
              <w:jc w:val="center"/>
              <w:rPr>
                <w:sz w:val="26"/>
                <w:szCs w:val="26"/>
              </w:rPr>
            </w:pPr>
            <w:r w:rsidRPr="00386038">
              <w:rPr>
                <w:sz w:val="26"/>
                <w:szCs w:val="26"/>
              </w:rPr>
              <w:t xml:space="preserve">$193,736 </w:t>
            </w:r>
          </w:p>
        </w:tc>
        <w:tc>
          <w:tcPr>
            <w:tcW w:w="1521" w:type="dxa"/>
            <w:vAlign w:val="center"/>
          </w:tcPr>
          <w:p w14:paraId="6CCDEDE4" w14:textId="77777777" w:rsidR="00450A32" w:rsidRPr="00386038" w:rsidRDefault="00450A32" w:rsidP="00B75CC9">
            <w:pPr>
              <w:keepNext/>
              <w:contextualSpacing/>
              <w:jc w:val="center"/>
              <w:rPr>
                <w:sz w:val="26"/>
                <w:szCs w:val="26"/>
              </w:rPr>
            </w:pPr>
            <w:r w:rsidRPr="00386038">
              <w:rPr>
                <w:sz w:val="26"/>
                <w:szCs w:val="26"/>
              </w:rPr>
              <w:t xml:space="preserve">$3,863 </w:t>
            </w:r>
          </w:p>
        </w:tc>
        <w:tc>
          <w:tcPr>
            <w:tcW w:w="1521" w:type="dxa"/>
            <w:vAlign w:val="center"/>
          </w:tcPr>
          <w:p w14:paraId="332C4096" w14:textId="77777777" w:rsidR="00450A32" w:rsidRPr="00386038" w:rsidRDefault="00450A32" w:rsidP="00B75CC9">
            <w:pPr>
              <w:keepNext/>
              <w:contextualSpacing/>
              <w:jc w:val="center"/>
              <w:rPr>
                <w:sz w:val="26"/>
                <w:szCs w:val="26"/>
              </w:rPr>
            </w:pPr>
            <w:r w:rsidRPr="00386038">
              <w:rPr>
                <w:sz w:val="26"/>
                <w:szCs w:val="26"/>
              </w:rPr>
              <w:t>($134,539)</w:t>
            </w:r>
          </w:p>
        </w:tc>
      </w:tr>
      <w:tr w:rsidR="00450A32" w:rsidRPr="00386038" w14:paraId="545674A9" w14:textId="77777777" w:rsidTr="00B75CC9">
        <w:trPr>
          <w:jc w:val="center"/>
        </w:trPr>
        <w:tc>
          <w:tcPr>
            <w:tcW w:w="1414" w:type="dxa"/>
            <w:vAlign w:val="center"/>
          </w:tcPr>
          <w:p w14:paraId="4B23B80E" w14:textId="77777777" w:rsidR="00450A32" w:rsidRPr="00386038" w:rsidRDefault="00450A32" w:rsidP="00B75CC9">
            <w:pPr>
              <w:keepNext/>
              <w:contextualSpacing/>
              <w:rPr>
                <w:b/>
                <w:sz w:val="26"/>
                <w:szCs w:val="26"/>
              </w:rPr>
            </w:pPr>
            <w:r w:rsidRPr="00386038">
              <w:rPr>
                <w:b/>
                <w:sz w:val="26"/>
                <w:szCs w:val="26"/>
              </w:rPr>
              <w:t>Peoples Gas</w:t>
            </w:r>
          </w:p>
        </w:tc>
        <w:tc>
          <w:tcPr>
            <w:tcW w:w="1516" w:type="dxa"/>
            <w:vAlign w:val="center"/>
          </w:tcPr>
          <w:p w14:paraId="3458D052" w14:textId="77777777" w:rsidR="00450A32" w:rsidRPr="00386038" w:rsidRDefault="00450A32" w:rsidP="00B75CC9">
            <w:pPr>
              <w:keepNext/>
              <w:contextualSpacing/>
              <w:jc w:val="center"/>
              <w:rPr>
                <w:sz w:val="26"/>
                <w:szCs w:val="26"/>
              </w:rPr>
            </w:pPr>
            <w:r w:rsidRPr="00386038">
              <w:rPr>
                <w:sz w:val="26"/>
                <w:szCs w:val="26"/>
              </w:rPr>
              <w:t>($4,858,332)</w:t>
            </w:r>
          </w:p>
        </w:tc>
        <w:tc>
          <w:tcPr>
            <w:tcW w:w="1516" w:type="dxa"/>
            <w:vAlign w:val="center"/>
          </w:tcPr>
          <w:p w14:paraId="4E3CAE75" w14:textId="77777777" w:rsidR="00450A32" w:rsidRPr="00386038" w:rsidRDefault="00450A32" w:rsidP="00B75CC9">
            <w:pPr>
              <w:keepNext/>
              <w:contextualSpacing/>
              <w:jc w:val="center"/>
              <w:rPr>
                <w:sz w:val="26"/>
                <w:szCs w:val="26"/>
              </w:rPr>
            </w:pPr>
            <w:r w:rsidRPr="00386038">
              <w:rPr>
                <w:sz w:val="26"/>
                <w:szCs w:val="26"/>
              </w:rPr>
              <w:t>($6,690,097)</w:t>
            </w:r>
          </w:p>
        </w:tc>
        <w:tc>
          <w:tcPr>
            <w:tcW w:w="1516" w:type="dxa"/>
            <w:vAlign w:val="center"/>
          </w:tcPr>
          <w:p w14:paraId="08FDA216" w14:textId="77777777" w:rsidR="00450A32" w:rsidRPr="00386038" w:rsidRDefault="00450A32" w:rsidP="00B75CC9">
            <w:pPr>
              <w:keepNext/>
              <w:contextualSpacing/>
              <w:jc w:val="center"/>
              <w:rPr>
                <w:sz w:val="26"/>
                <w:szCs w:val="26"/>
              </w:rPr>
            </w:pPr>
            <w:r w:rsidRPr="00386038">
              <w:rPr>
                <w:sz w:val="26"/>
                <w:szCs w:val="26"/>
              </w:rPr>
              <w:t>($6,316,213)</w:t>
            </w:r>
          </w:p>
        </w:tc>
        <w:tc>
          <w:tcPr>
            <w:tcW w:w="1521" w:type="dxa"/>
            <w:vAlign w:val="center"/>
          </w:tcPr>
          <w:p w14:paraId="053FE8D5" w14:textId="77777777" w:rsidR="00450A32" w:rsidRPr="00386038" w:rsidRDefault="00450A32" w:rsidP="00B75CC9">
            <w:pPr>
              <w:keepNext/>
              <w:contextualSpacing/>
              <w:jc w:val="center"/>
              <w:rPr>
                <w:sz w:val="26"/>
                <w:szCs w:val="26"/>
              </w:rPr>
            </w:pPr>
            <w:r w:rsidRPr="00386038">
              <w:rPr>
                <w:sz w:val="26"/>
                <w:szCs w:val="26"/>
              </w:rPr>
              <w:t>($3,311,870)</w:t>
            </w:r>
          </w:p>
        </w:tc>
        <w:tc>
          <w:tcPr>
            <w:tcW w:w="1521" w:type="dxa"/>
            <w:vAlign w:val="center"/>
          </w:tcPr>
          <w:p w14:paraId="7FD3E7C0" w14:textId="77777777" w:rsidR="00450A32" w:rsidRPr="00386038" w:rsidRDefault="00450A32" w:rsidP="00B75CC9">
            <w:pPr>
              <w:keepNext/>
              <w:contextualSpacing/>
              <w:jc w:val="center"/>
              <w:rPr>
                <w:sz w:val="26"/>
                <w:szCs w:val="26"/>
              </w:rPr>
            </w:pPr>
            <w:r w:rsidRPr="00386038">
              <w:rPr>
                <w:sz w:val="26"/>
                <w:szCs w:val="26"/>
              </w:rPr>
              <w:t>($3,313,457)</w:t>
            </w:r>
          </w:p>
        </w:tc>
        <w:tc>
          <w:tcPr>
            <w:tcW w:w="1521" w:type="dxa"/>
            <w:vAlign w:val="center"/>
          </w:tcPr>
          <w:p w14:paraId="7F6EAFAD" w14:textId="77777777" w:rsidR="00450A32" w:rsidRPr="00386038" w:rsidRDefault="00450A32" w:rsidP="00B75CC9">
            <w:pPr>
              <w:keepNext/>
              <w:contextualSpacing/>
              <w:jc w:val="center"/>
              <w:rPr>
                <w:sz w:val="26"/>
                <w:szCs w:val="26"/>
              </w:rPr>
            </w:pPr>
            <w:r w:rsidRPr="00386038">
              <w:rPr>
                <w:sz w:val="26"/>
                <w:szCs w:val="26"/>
              </w:rPr>
              <w:t>($3,315,091)</w:t>
            </w:r>
          </w:p>
        </w:tc>
      </w:tr>
      <w:tr w:rsidR="00450A32" w:rsidRPr="00386038" w14:paraId="5FE88040" w14:textId="77777777" w:rsidTr="00B75CC9">
        <w:trPr>
          <w:jc w:val="center"/>
        </w:trPr>
        <w:tc>
          <w:tcPr>
            <w:tcW w:w="1414" w:type="dxa"/>
            <w:vAlign w:val="center"/>
          </w:tcPr>
          <w:p w14:paraId="13C65821" w14:textId="77777777" w:rsidR="00450A32" w:rsidRPr="00386038" w:rsidRDefault="00450A32" w:rsidP="00B75CC9">
            <w:pPr>
              <w:keepNext/>
              <w:contextualSpacing/>
              <w:rPr>
                <w:b/>
                <w:sz w:val="26"/>
                <w:szCs w:val="26"/>
              </w:rPr>
            </w:pPr>
            <w:r w:rsidRPr="00386038">
              <w:rPr>
                <w:b/>
                <w:sz w:val="26"/>
                <w:szCs w:val="26"/>
              </w:rPr>
              <w:t>Peoples EQT</w:t>
            </w:r>
          </w:p>
        </w:tc>
        <w:tc>
          <w:tcPr>
            <w:tcW w:w="1516" w:type="dxa"/>
            <w:vAlign w:val="center"/>
          </w:tcPr>
          <w:p w14:paraId="3B2FB092" w14:textId="77777777" w:rsidR="00450A32" w:rsidRPr="00386038" w:rsidRDefault="00450A32" w:rsidP="00B75CC9">
            <w:pPr>
              <w:keepNext/>
              <w:contextualSpacing/>
              <w:jc w:val="center"/>
              <w:rPr>
                <w:sz w:val="26"/>
                <w:szCs w:val="26"/>
              </w:rPr>
            </w:pPr>
            <w:r w:rsidRPr="00386038">
              <w:rPr>
                <w:sz w:val="26"/>
                <w:szCs w:val="26"/>
              </w:rPr>
              <w:t>($2,444,408)</w:t>
            </w:r>
          </w:p>
        </w:tc>
        <w:tc>
          <w:tcPr>
            <w:tcW w:w="1516" w:type="dxa"/>
            <w:vAlign w:val="center"/>
          </w:tcPr>
          <w:p w14:paraId="2F95AEED" w14:textId="77777777" w:rsidR="00450A32" w:rsidRPr="00386038" w:rsidRDefault="00450A32" w:rsidP="00B75CC9">
            <w:pPr>
              <w:keepNext/>
              <w:contextualSpacing/>
              <w:jc w:val="center"/>
              <w:rPr>
                <w:sz w:val="26"/>
                <w:szCs w:val="26"/>
              </w:rPr>
            </w:pPr>
            <w:r w:rsidRPr="00386038">
              <w:rPr>
                <w:sz w:val="26"/>
                <w:szCs w:val="26"/>
              </w:rPr>
              <w:t>($3,857,760)</w:t>
            </w:r>
          </w:p>
        </w:tc>
        <w:tc>
          <w:tcPr>
            <w:tcW w:w="1516" w:type="dxa"/>
            <w:vAlign w:val="center"/>
          </w:tcPr>
          <w:p w14:paraId="1C64846E" w14:textId="77777777" w:rsidR="00450A32" w:rsidRPr="00386038" w:rsidRDefault="00450A32" w:rsidP="00B75CC9">
            <w:pPr>
              <w:keepNext/>
              <w:contextualSpacing/>
              <w:jc w:val="center"/>
              <w:rPr>
                <w:sz w:val="26"/>
                <w:szCs w:val="26"/>
              </w:rPr>
            </w:pPr>
            <w:r w:rsidRPr="00386038">
              <w:rPr>
                <w:sz w:val="26"/>
                <w:szCs w:val="26"/>
              </w:rPr>
              <w:t>($4,278,314)</w:t>
            </w:r>
          </w:p>
        </w:tc>
        <w:tc>
          <w:tcPr>
            <w:tcW w:w="1521" w:type="dxa"/>
            <w:vAlign w:val="center"/>
          </w:tcPr>
          <w:p w14:paraId="57392AA1" w14:textId="77777777" w:rsidR="00450A32" w:rsidRPr="00386038" w:rsidRDefault="00450A32" w:rsidP="00B75CC9">
            <w:pPr>
              <w:keepNext/>
              <w:contextualSpacing/>
              <w:jc w:val="center"/>
              <w:rPr>
                <w:sz w:val="26"/>
                <w:szCs w:val="26"/>
              </w:rPr>
            </w:pPr>
            <w:r w:rsidRPr="00386038">
              <w:rPr>
                <w:sz w:val="26"/>
                <w:szCs w:val="26"/>
              </w:rPr>
              <w:t>($867,284)</w:t>
            </w:r>
          </w:p>
        </w:tc>
        <w:tc>
          <w:tcPr>
            <w:tcW w:w="1521" w:type="dxa"/>
            <w:vAlign w:val="center"/>
          </w:tcPr>
          <w:p w14:paraId="472544F2" w14:textId="77777777" w:rsidR="00450A32" w:rsidRPr="00386038" w:rsidRDefault="00450A32" w:rsidP="00B75CC9">
            <w:pPr>
              <w:keepNext/>
              <w:contextualSpacing/>
              <w:jc w:val="center"/>
              <w:rPr>
                <w:sz w:val="26"/>
                <w:szCs w:val="26"/>
              </w:rPr>
            </w:pPr>
            <w:r w:rsidRPr="00386038">
              <w:rPr>
                <w:sz w:val="26"/>
                <w:szCs w:val="26"/>
              </w:rPr>
              <w:t>($868,372)</w:t>
            </w:r>
          </w:p>
        </w:tc>
        <w:tc>
          <w:tcPr>
            <w:tcW w:w="1521" w:type="dxa"/>
            <w:vAlign w:val="center"/>
          </w:tcPr>
          <w:p w14:paraId="7BD2C550" w14:textId="77777777" w:rsidR="00450A32" w:rsidRPr="00386038" w:rsidRDefault="00450A32" w:rsidP="00B75CC9">
            <w:pPr>
              <w:keepNext/>
              <w:contextualSpacing/>
              <w:jc w:val="center"/>
              <w:rPr>
                <w:sz w:val="26"/>
                <w:szCs w:val="26"/>
              </w:rPr>
            </w:pPr>
            <w:r w:rsidRPr="00386038">
              <w:rPr>
                <w:sz w:val="26"/>
                <w:szCs w:val="26"/>
              </w:rPr>
              <w:t>($869,492)</w:t>
            </w:r>
          </w:p>
        </w:tc>
      </w:tr>
      <w:tr w:rsidR="00450A32" w:rsidRPr="00386038" w14:paraId="62C9511A" w14:textId="77777777" w:rsidTr="00B75CC9">
        <w:trPr>
          <w:jc w:val="center"/>
        </w:trPr>
        <w:tc>
          <w:tcPr>
            <w:tcW w:w="1414" w:type="dxa"/>
            <w:vAlign w:val="center"/>
          </w:tcPr>
          <w:p w14:paraId="758D108E" w14:textId="77777777" w:rsidR="00450A32" w:rsidRPr="00386038" w:rsidRDefault="00450A32" w:rsidP="00B75CC9">
            <w:pPr>
              <w:keepNext/>
              <w:contextualSpacing/>
              <w:rPr>
                <w:b/>
                <w:sz w:val="26"/>
                <w:szCs w:val="26"/>
              </w:rPr>
            </w:pPr>
            <w:r w:rsidRPr="00386038">
              <w:rPr>
                <w:b/>
                <w:sz w:val="26"/>
                <w:szCs w:val="26"/>
              </w:rPr>
              <w:t>PGW</w:t>
            </w:r>
          </w:p>
        </w:tc>
        <w:tc>
          <w:tcPr>
            <w:tcW w:w="1516" w:type="dxa"/>
            <w:vAlign w:val="center"/>
          </w:tcPr>
          <w:p w14:paraId="3FC11AB6" w14:textId="77777777" w:rsidR="00450A32" w:rsidRPr="00386038" w:rsidRDefault="00450A32" w:rsidP="00B75CC9">
            <w:pPr>
              <w:keepNext/>
              <w:contextualSpacing/>
              <w:jc w:val="center"/>
              <w:rPr>
                <w:sz w:val="26"/>
                <w:szCs w:val="26"/>
              </w:rPr>
            </w:pPr>
            <w:r w:rsidRPr="00386038">
              <w:rPr>
                <w:sz w:val="26"/>
                <w:szCs w:val="26"/>
              </w:rPr>
              <w:t xml:space="preserve">$23,672,259 </w:t>
            </w:r>
          </w:p>
        </w:tc>
        <w:tc>
          <w:tcPr>
            <w:tcW w:w="1516" w:type="dxa"/>
            <w:vAlign w:val="center"/>
          </w:tcPr>
          <w:p w14:paraId="6E2A8D29" w14:textId="77777777" w:rsidR="00450A32" w:rsidRPr="00386038" w:rsidRDefault="00450A32" w:rsidP="00B75CC9">
            <w:pPr>
              <w:keepNext/>
              <w:contextualSpacing/>
              <w:jc w:val="center"/>
              <w:rPr>
                <w:sz w:val="26"/>
                <w:szCs w:val="26"/>
              </w:rPr>
            </w:pPr>
            <w:r w:rsidRPr="00386038">
              <w:rPr>
                <w:sz w:val="26"/>
                <w:szCs w:val="26"/>
              </w:rPr>
              <w:t xml:space="preserve">$21,418,115 </w:t>
            </w:r>
          </w:p>
        </w:tc>
        <w:tc>
          <w:tcPr>
            <w:tcW w:w="1516" w:type="dxa"/>
            <w:vAlign w:val="center"/>
          </w:tcPr>
          <w:p w14:paraId="71763DF3" w14:textId="77777777" w:rsidR="00450A32" w:rsidRPr="00386038" w:rsidRDefault="00450A32" w:rsidP="00B75CC9">
            <w:pPr>
              <w:keepNext/>
              <w:contextualSpacing/>
              <w:jc w:val="center"/>
              <w:rPr>
                <w:sz w:val="26"/>
                <w:szCs w:val="26"/>
              </w:rPr>
            </w:pPr>
            <w:r w:rsidRPr="00386038">
              <w:rPr>
                <w:sz w:val="26"/>
                <w:szCs w:val="26"/>
              </w:rPr>
              <w:t xml:space="preserve">$17,920,122 </w:t>
            </w:r>
          </w:p>
        </w:tc>
        <w:tc>
          <w:tcPr>
            <w:tcW w:w="1521" w:type="dxa"/>
            <w:vAlign w:val="center"/>
          </w:tcPr>
          <w:p w14:paraId="60338E62" w14:textId="77777777" w:rsidR="00450A32" w:rsidRPr="00386038" w:rsidRDefault="00450A32" w:rsidP="00B75CC9">
            <w:pPr>
              <w:keepNext/>
              <w:contextualSpacing/>
              <w:jc w:val="center"/>
              <w:rPr>
                <w:sz w:val="26"/>
                <w:szCs w:val="26"/>
              </w:rPr>
            </w:pPr>
            <w:r w:rsidRPr="00386038">
              <w:rPr>
                <w:sz w:val="26"/>
                <w:szCs w:val="26"/>
              </w:rPr>
              <w:t xml:space="preserve">$18,211,245 </w:t>
            </w:r>
          </w:p>
        </w:tc>
        <w:tc>
          <w:tcPr>
            <w:tcW w:w="1521" w:type="dxa"/>
            <w:vAlign w:val="center"/>
          </w:tcPr>
          <w:p w14:paraId="34EA303A" w14:textId="77777777" w:rsidR="00450A32" w:rsidRPr="00386038" w:rsidRDefault="00450A32" w:rsidP="00B75CC9">
            <w:pPr>
              <w:keepNext/>
              <w:contextualSpacing/>
              <w:jc w:val="center"/>
              <w:rPr>
                <w:sz w:val="26"/>
                <w:szCs w:val="26"/>
              </w:rPr>
            </w:pPr>
            <w:r w:rsidRPr="00386038">
              <w:rPr>
                <w:sz w:val="26"/>
                <w:szCs w:val="26"/>
              </w:rPr>
              <w:t xml:space="preserve">$18,211,245 </w:t>
            </w:r>
          </w:p>
        </w:tc>
        <w:tc>
          <w:tcPr>
            <w:tcW w:w="1521" w:type="dxa"/>
            <w:vAlign w:val="center"/>
          </w:tcPr>
          <w:p w14:paraId="1748E6C2" w14:textId="77777777" w:rsidR="00450A32" w:rsidRPr="00386038" w:rsidRDefault="00450A32" w:rsidP="00B75CC9">
            <w:pPr>
              <w:keepNext/>
              <w:contextualSpacing/>
              <w:jc w:val="center"/>
              <w:rPr>
                <w:sz w:val="26"/>
                <w:szCs w:val="26"/>
              </w:rPr>
            </w:pPr>
            <w:r w:rsidRPr="00386038">
              <w:rPr>
                <w:sz w:val="26"/>
                <w:szCs w:val="26"/>
              </w:rPr>
              <w:t xml:space="preserve">$18,211,245 </w:t>
            </w:r>
          </w:p>
        </w:tc>
      </w:tr>
      <w:tr w:rsidR="00386038" w:rsidRPr="00386038" w14:paraId="0B8B346F" w14:textId="77777777" w:rsidTr="00B75CC9">
        <w:trPr>
          <w:jc w:val="center"/>
        </w:trPr>
        <w:tc>
          <w:tcPr>
            <w:tcW w:w="1414" w:type="dxa"/>
            <w:vAlign w:val="center"/>
          </w:tcPr>
          <w:p w14:paraId="60394E3A" w14:textId="77777777" w:rsidR="00450A32" w:rsidRPr="00386038" w:rsidRDefault="00450A32" w:rsidP="00B75CC9">
            <w:pPr>
              <w:keepNext/>
              <w:contextualSpacing/>
              <w:rPr>
                <w:b/>
                <w:sz w:val="26"/>
                <w:szCs w:val="26"/>
              </w:rPr>
            </w:pPr>
            <w:r w:rsidRPr="00386038">
              <w:rPr>
                <w:b/>
                <w:sz w:val="26"/>
                <w:szCs w:val="26"/>
              </w:rPr>
              <w:t>UGI S</w:t>
            </w:r>
          </w:p>
        </w:tc>
        <w:tc>
          <w:tcPr>
            <w:tcW w:w="1516" w:type="dxa"/>
            <w:vAlign w:val="center"/>
          </w:tcPr>
          <w:p w14:paraId="117AE39C" w14:textId="77777777" w:rsidR="00450A32" w:rsidRPr="00386038" w:rsidRDefault="00450A32" w:rsidP="00B75CC9">
            <w:pPr>
              <w:keepNext/>
              <w:contextualSpacing/>
              <w:jc w:val="center"/>
              <w:rPr>
                <w:sz w:val="26"/>
                <w:szCs w:val="26"/>
              </w:rPr>
            </w:pPr>
            <w:r w:rsidRPr="00386038">
              <w:rPr>
                <w:sz w:val="26"/>
                <w:szCs w:val="26"/>
              </w:rPr>
              <w:t xml:space="preserve">$691,013 </w:t>
            </w:r>
          </w:p>
        </w:tc>
        <w:tc>
          <w:tcPr>
            <w:tcW w:w="1516" w:type="dxa"/>
            <w:vAlign w:val="center"/>
          </w:tcPr>
          <w:p w14:paraId="327A97A9" w14:textId="77777777" w:rsidR="00450A32" w:rsidRPr="00386038" w:rsidRDefault="00450A32" w:rsidP="00B75CC9">
            <w:pPr>
              <w:keepNext/>
              <w:contextualSpacing/>
              <w:jc w:val="center"/>
              <w:rPr>
                <w:sz w:val="26"/>
                <w:szCs w:val="26"/>
              </w:rPr>
            </w:pPr>
            <w:r w:rsidRPr="00386038">
              <w:rPr>
                <w:sz w:val="26"/>
                <w:szCs w:val="26"/>
              </w:rPr>
              <w:t xml:space="preserve">$793,167 </w:t>
            </w:r>
          </w:p>
        </w:tc>
        <w:tc>
          <w:tcPr>
            <w:tcW w:w="1516" w:type="dxa"/>
            <w:vAlign w:val="center"/>
          </w:tcPr>
          <w:p w14:paraId="24190CE2" w14:textId="77777777" w:rsidR="00450A32" w:rsidRPr="00386038" w:rsidRDefault="00450A32" w:rsidP="00B75CC9">
            <w:pPr>
              <w:keepNext/>
              <w:contextualSpacing/>
              <w:jc w:val="center"/>
              <w:rPr>
                <w:sz w:val="26"/>
                <w:szCs w:val="26"/>
              </w:rPr>
            </w:pPr>
            <w:r w:rsidRPr="00386038">
              <w:rPr>
                <w:sz w:val="26"/>
                <w:szCs w:val="26"/>
              </w:rPr>
              <w:t xml:space="preserve">$865,443 </w:t>
            </w:r>
          </w:p>
        </w:tc>
        <w:tc>
          <w:tcPr>
            <w:tcW w:w="1521" w:type="dxa"/>
            <w:vAlign w:val="center"/>
          </w:tcPr>
          <w:p w14:paraId="700FEF73" w14:textId="77777777" w:rsidR="00450A32" w:rsidRPr="00386038" w:rsidRDefault="00450A32" w:rsidP="00B75CC9">
            <w:pPr>
              <w:keepNext/>
              <w:contextualSpacing/>
              <w:jc w:val="center"/>
              <w:rPr>
                <w:sz w:val="26"/>
                <w:szCs w:val="26"/>
              </w:rPr>
            </w:pPr>
            <w:r w:rsidRPr="00386038">
              <w:rPr>
                <w:sz w:val="26"/>
                <w:szCs w:val="26"/>
              </w:rPr>
              <w:t xml:space="preserve">$885,302 </w:t>
            </w:r>
          </w:p>
        </w:tc>
        <w:tc>
          <w:tcPr>
            <w:tcW w:w="1521" w:type="dxa"/>
            <w:vAlign w:val="center"/>
          </w:tcPr>
          <w:p w14:paraId="2E61F535" w14:textId="77777777" w:rsidR="00450A32" w:rsidRPr="00386038" w:rsidRDefault="00450A32" w:rsidP="00B75CC9">
            <w:pPr>
              <w:keepNext/>
              <w:contextualSpacing/>
              <w:jc w:val="center"/>
              <w:rPr>
                <w:sz w:val="26"/>
                <w:szCs w:val="26"/>
              </w:rPr>
            </w:pPr>
            <w:r w:rsidRPr="00386038">
              <w:rPr>
                <w:sz w:val="26"/>
                <w:szCs w:val="26"/>
              </w:rPr>
              <w:t xml:space="preserve">$929,580 </w:t>
            </w:r>
          </w:p>
        </w:tc>
        <w:tc>
          <w:tcPr>
            <w:tcW w:w="1521" w:type="dxa"/>
            <w:vAlign w:val="center"/>
          </w:tcPr>
          <w:p w14:paraId="7F08B16A" w14:textId="77777777" w:rsidR="00450A32" w:rsidRPr="00386038" w:rsidRDefault="00450A32" w:rsidP="00B75CC9">
            <w:pPr>
              <w:keepNext/>
              <w:contextualSpacing/>
              <w:jc w:val="center"/>
              <w:rPr>
                <w:sz w:val="26"/>
                <w:szCs w:val="26"/>
              </w:rPr>
            </w:pPr>
            <w:r w:rsidRPr="00386038">
              <w:rPr>
                <w:sz w:val="26"/>
                <w:szCs w:val="26"/>
              </w:rPr>
              <w:t xml:space="preserve">$976,095 </w:t>
            </w:r>
          </w:p>
        </w:tc>
      </w:tr>
      <w:tr w:rsidR="00450A32" w:rsidRPr="008E1728" w14:paraId="6D849A2D" w14:textId="77777777" w:rsidTr="00B75CC9">
        <w:trPr>
          <w:jc w:val="center"/>
        </w:trPr>
        <w:tc>
          <w:tcPr>
            <w:tcW w:w="1414" w:type="dxa"/>
            <w:vAlign w:val="center"/>
          </w:tcPr>
          <w:p w14:paraId="766742CA" w14:textId="77777777" w:rsidR="00450A32" w:rsidRPr="008E1728" w:rsidRDefault="00450A32" w:rsidP="00B75CC9">
            <w:pPr>
              <w:contextualSpacing/>
              <w:rPr>
                <w:b/>
                <w:sz w:val="26"/>
                <w:szCs w:val="26"/>
              </w:rPr>
            </w:pPr>
            <w:r w:rsidRPr="008E1728">
              <w:rPr>
                <w:b/>
                <w:color w:val="000000"/>
                <w:sz w:val="26"/>
                <w:szCs w:val="26"/>
              </w:rPr>
              <w:t>UGI N</w:t>
            </w:r>
          </w:p>
        </w:tc>
        <w:tc>
          <w:tcPr>
            <w:tcW w:w="1516" w:type="dxa"/>
            <w:vAlign w:val="center"/>
          </w:tcPr>
          <w:p w14:paraId="727A2F9F" w14:textId="77777777" w:rsidR="00450A32" w:rsidRPr="008E1728" w:rsidRDefault="00450A32" w:rsidP="00B75CC9">
            <w:pPr>
              <w:contextualSpacing/>
              <w:jc w:val="center"/>
              <w:rPr>
                <w:sz w:val="26"/>
                <w:szCs w:val="26"/>
              </w:rPr>
            </w:pPr>
            <w:r w:rsidRPr="00F65A62">
              <w:rPr>
                <w:color w:val="000000"/>
                <w:sz w:val="26"/>
                <w:szCs w:val="26"/>
              </w:rPr>
              <w:t xml:space="preserve">$757,295 </w:t>
            </w:r>
          </w:p>
        </w:tc>
        <w:tc>
          <w:tcPr>
            <w:tcW w:w="1516" w:type="dxa"/>
            <w:vAlign w:val="center"/>
          </w:tcPr>
          <w:p w14:paraId="5481EADC" w14:textId="77777777" w:rsidR="00450A32" w:rsidRPr="008E1728" w:rsidRDefault="00450A32" w:rsidP="00B75CC9">
            <w:pPr>
              <w:contextualSpacing/>
              <w:jc w:val="center"/>
              <w:rPr>
                <w:sz w:val="26"/>
                <w:szCs w:val="26"/>
              </w:rPr>
            </w:pPr>
            <w:r w:rsidRPr="00F65A62">
              <w:rPr>
                <w:color w:val="000000"/>
                <w:sz w:val="26"/>
                <w:szCs w:val="26"/>
              </w:rPr>
              <w:t xml:space="preserve">$713,289 </w:t>
            </w:r>
          </w:p>
        </w:tc>
        <w:tc>
          <w:tcPr>
            <w:tcW w:w="1516" w:type="dxa"/>
            <w:vAlign w:val="center"/>
          </w:tcPr>
          <w:p w14:paraId="171BDCC1" w14:textId="77777777" w:rsidR="00450A32" w:rsidRPr="008E1728" w:rsidRDefault="00450A32" w:rsidP="00B75CC9">
            <w:pPr>
              <w:contextualSpacing/>
              <w:jc w:val="center"/>
              <w:rPr>
                <w:sz w:val="26"/>
                <w:szCs w:val="26"/>
              </w:rPr>
            </w:pPr>
            <w:r w:rsidRPr="007B0B62">
              <w:rPr>
                <w:color w:val="000000"/>
                <w:sz w:val="26"/>
                <w:szCs w:val="26"/>
              </w:rPr>
              <w:t xml:space="preserve">$836,679 </w:t>
            </w:r>
          </w:p>
        </w:tc>
        <w:tc>
          <w:tcPr>
            <w:tcW w:w="1521" w:type="dxa"/>
            <w:vAlign w:val="center"/>
          </w:tcPr>
          <w:p w14:paraId="22F0A1FF" w14:textId="77777777" w:rsidR="00450A32" w:rsidRPr="008E1728" w:rsidRDefault="00450A32" w:rsidP="00B75CC9">
            <w:pPr>
              <w:contextualSpacing/>
              <w:jc w:val="center"/>
              <w:rPr>
                <w:sz w:val="26"/>
                <w:szCs w:val="26"/>
              </w:rPr>
            </w:pPr>
            <w:r w:rsidRPr="00F65A62">
              <w:rPr>
                <w:color w:val="000000"/>
                <w:sz w:val="26"/>
                <w:szCs w:val="26"/>
              </w:rPr>
              <w:t xml:space="preserve">$911,566 </w:t>
            </w:r>
          </w:p>
        </w:tc>
        <w:tc>
          <w:tcPr>
            <w:tcW w:w="1521" w:type="dxa"/>
            <w:vAlign w:val="center"/>
          </w:tcPr>
          <w:p w14:paraId="04836ADD" w14:textId="77777777" w:rsidR="00450A32" w:rsidRPr="008E1728" w:rsidRDefault="00450A32" w:rsidP="00B75CC9">
            <w:pPr>
              <w:contextualSpacing/>
              <w:jc w:val="center"/>
              <w:rPr>
                <w:sz w:val="26"/>
                <w:szCs w:val="26"/>
              </w:rPr>
            </w:pPr>
            <w:r w:rsidRPr="00F65A62">
              <w:rPr>
                <w:color w:val="000000"/>
                <w:sz w:val="26"/>
                <w:szCs w:val="26"/>
              </w:rPr>
              <w:t xml:space="preserve">$951,807 </w:t>
            </w:r>
          </w:p>
        </w:tc>
        <w:tc>
          <w:tcPr>
            <w:tcW w:w="1521" w:type="dxa"/>
            <w:vAlign w:val="center"/>
          </w:tcPr>
          <w:p w14:paraId="40A74EBE" w14:textId="77777777" w:rsidR="00450A32" w:rsidRPr="008E1728" w:rsidRDefault="00450A32" w:rsidP="00B75CC9">
            <w:pPr>
              <w:contextualSpacing/>
              <w:jc w:val="center"/>
              <w:rPr>
                <w:sz w:val="26"/>
                <w:szCs w:val="26"/>
              </w:rPr>
            </w:pPr>
            <w:r w:rsidRPr="00F65A62">
              <w:rPr>
                <w:color w:val="000000"/>
                <w:sz w:val="26"/>
                <w:szCs w:val="26"/>
              </w:rPr>
              <w:t xml:space="preserve">$957,137 </w:t>
            </w:r>
          </w:p>
        </w:tc>
      </w:tr>
      <w:tr w:rsidR="008E1728" w:rsidRPr="008E1728" w14:paraId="2A08E1A6" w14:textId="77777777" w:rsidTr="00B75CC9">
        <w:trPr>
          <w:jc w:val="center"/>
        </w:trPr>
        <w:tc>
          <w:tcPr>
            <w:tcW w:w="1414" w:type="dxa"/>
            <w:vAlign w:val="center"/>
          </w:tcPr>
          <w:p w14:paraId="131B914F" w14:textId="77777777" w:rsidR="00450A32" w:rsidRPr="008E1728" w:rsidRDefault="00450A32" w:rsidP="00B75CC9">
            <w:pPr>
              <w:contextualSpacing/>
              <w:jc w:val="right"/>
              <w:rPr>
                <w:b/>
                <w:color w:val="000000"/>
                <w:sz w:val="26"/>
                <w:szCs w:val="26"/>
              </w:rPr>
            </w:pPr>
            <w:r w:rsidRPr="008E1728">
              <w:rPr>
                <w:b/>
                <w:sz w:val="26"/>
                <w:szCs w:val="26"/>
              </w:rPr>
              <w:t>Totals</w:t>
            </w:r>
          </w:p>
        </w:tc>
        <w:tc>
          <w:tcPr>
            <w:tcW w:w="1516" w:type="dxa"/>
            <w:vAlign w:val="bottom"/>
          </w:tcPr>
          <w:p w14:paraId="23A238FA" w14:textId="77777777" w:rsidR="00450A32" w:rsidRPr="008E1728" w:rsidRDefault="00450A32" w:rsidP="00B75CC9">
            <w:pPr>
              <w:contextualSpacing/>
              <w:jc w:val="center"/>
              <w:rPr>
                <w:color w:val="000000"/>
                <w:sz w:val="26"/>
                <w:szCs w:val="26"/>
              </w:rPr>
            </w:pPr>
            <w:r w:rsidRPr="008E1728">
              <w:rPr>
                <w:color w:val="000000"/>
                <w:sz w:val="26"/>
                <w:szCs w:val="26"/>
              </w:rPr>
              <w:t xml:space="preserve">$13,834,180 </w:t>
            </w:r>
          </w:p>
        </w:tc>
        <w:tc>
          <w:tcPr>
            <w:tcW w:w="1516" w:type="dxa"/>
            <w:vAlign w:val="bottom"/>
          </w:tcPr>
          <w:p w14:paraId="217087EB" w14:textId="77777777" w:rsidR="00450A32" w:rsidRPr="008E1728" w:rsidRDefault="00450A32" w:rsidP="00B75CC9">
            <w:pPr>
              <w:contextualSpacing/>
              <w:jc w:val="center"/>
              <w:rPr>
                <w:color w:val="000000"/>
                <w:sz w:val="26"/>
                <w:szCs w:val="26"/>
              </w:rPr>
            </w:pPr>
            <w:r w:rsidRPr="008E1728">
              <w:rPr>
                <w:color w:val="000000"/>
                <w:sz w:val="26"/>
                <w:szCs w:val="26"/>
              </w:rPr>
              <w:t xml:space="preserve">$8,207,636 </w:t>
            </w:r>
          </w:p>
        </w:tc>
        <w:tc>
          <w:tcPr>
            <w:tcW w:w="1516" w:type="dxa"/>
            <w:vAlign w:val="bottom"/>
          </w:tcPr>
          <w:p w14:paraId="751B0594" w14:textId="77777777" w:rsidR="00450A32" w:rsidRPr="008E1728" w:rsidRDefault="00450A32" w:rsidP="00B75CC9">
            <w:pPr>
              <w:contextualSpacing/>
              <w:jc w:val="center"/>
              <w:rPr>
                <w:color w:val="000000"/>
                <w:sz w:val="26"/>
                <w:szCs w:val="26"/>
              </w:rPr>
            </w:pPr>
            <w:r w:rsidRPr="008E1728">
              <w:rPr>
                <w:color w:val="000000"/>
                <w:sz w:val="26"/>
                <w:szCs w:val="26"/>
              </w:rPr>
              <w:t xml:space="preserve">$5,239,360 </w:t>
            </w:r>
          </w:p>
        </w:tc>
        <w:tc>
          <w:tcPr>
            <w:tcW w:w="1521" w:type="dxa"/>
            <w:vAlign w:val="bottom"/>
          </w:tcPr>
          <w:p w14:paraId="28B1FC59" w14:textId="77777777" w:rsidR="00450A32" w:rsidRPr="008E1728" w:rsidRDefault="00450A32" w:rsidP="00B75CC9">
            <w:pPr>
              <w:contextualSpacing/>
              <w:jc w:val="center"/>
              <w:rPr>
                <w:color w:val="000000"/>
                <w:sz w:val="26"/>
                <w:szCs w:val="26"/>
              </w:rPr>
            </w:pPr>
            <w:r w:rsidRPr="008E1728">
              <w:rPr>
                <w:color w:val="000000"/>
                <w:sz w:val="26"/>
                <w:szCs w:val="26"/>
              </w:rPr>
              <w:t xml:space="preserve">$11,479,931 </w:t>
            </w:r>
          </w:p>
        </w:tc>
        <w:tc>
          <w:tcPr>
            <w:tcW w:w="1521" w:type="dxa"/>
            <w:vAlign w:val="bottom"/>
          </w:tcPr>
          <w:p w14:paraId="4F2AA64B" w14:textId="77777777" w:rsidR="00450A32" w:rsidRPr="008E1728" w:rsidRDefault="00450A32" w:rsidP="00B75CC9">
            <w:pPr>
              <w:contextualSpacing/>
              <w:jc w:val="center"/>
              <w:rPr>
                <w:color w:val="000000"/>
                <w:sz w:val="26"/>
                <w:szCs w:val="26"/>
              </w:rPr>
            </w:pPr>
            <w:r w:rsidRPr="008E1728">
              <w:rPr>
                <w:color w:val="000000"/>
                <w:sz w:val="26"/>
                <w:szCs w:val="26"/>
              </w:rPr>
              <w:t xml:space="preserve">$11,589,282 </w:t>
            </w:r>
          </w:p>
        </w:tc>
        <w:tc>
          <w:tcPr>
            <w:tcW w:w="1521" w:type="dxa"/>
            <w:vAlign w:val="bottom"/>
          </w:tcPr>
          <w:p w14:paraId="323A5B6C" w14:textId="77777777" w:rsidR="00450A32" w:rsidRPr="008E1728" w:rsidRDefault="00450A32" w:rsidP="00B75CC9">
            <w:pPr>
              <w:contextualSpacing/>
              <w:jc w:val="center"/>
              <w:rPr>
                <w:color w:val="000000"/>
                <w:sz w:val="26"/>
                <w:szCs w:val="26"/>
              </w:rPr>
            </w:pPr>
            <w:r w:rsidRPr="008E1728">
              <w:rPr>
                <w:color w:val="000000"/>
                <w:sz w:val="26"/>
                <w:szCs w:val="26"/>
              </w:rPr>
              <w:t xml:space="preserve">$11,347,631 </w:t>
            </w:r>
          </w:p>
        </w:tc>
      </w:tr>
    </w:tbl>
    <w:p w14:paraId="2A3DCD41" w14:textId="77777777" w:rsidR="00450A32" w:rsidRPr="00103510" w:rsidRDefault="00450A32" w:rsidP="00450A32">
      <w:pPr>
        <w:spacing w:line="360" w:lineRule="auto"/>
        <w:contextualSpacing/>
        <w:rPr>
          <w:rFonts w:ascii="Times New Roman" w:hAnsi="Times New Roman" w:cs="Times New Roman"/>
          <w:sz w:val="26"/>
          <w:szCs w:val="26"/>
        </w:rPr>
      </w:pPr>
    </w:p>
    <w:p w14:paraId="1FF7FAE0" w14:textId="7A8FE8AF" w:rsidR="00450A32" w:rsidRPr="00103510" w:rsidRDefault="00450A32" w:rsidP="00450A32">
      <w:pPr>
        <w:spacing w:line="360" w:lineRule="auto"/>
        <w:ind w:firstLine="720"/>
        <w:contextualSpacing/>
        <w:rPr>
          <w:rFonts w:ascii="Times New Roman" w:hAnsi="Times New Roman" w:cs="Times New Roman"/>
          <w:sz w:val="26"/>
          <w:szCs w:val="26"/>
        </w:rPr>
      </w:pPr>
      <w:r w:rsidRPr="00103510">
        <w:rPr>
          <w:rFonts w:ascii="Times New Roman" w:hAnsi="Times New Roman" w:cs="Times New Roman"/>
          <w:sz w:val="26"/>
          <w:szCs w:val="26"/>
        </w:rPr>
        <w:t>FirstEnergy estimated that adopting a maximum 10% energy burden would have minimal total cost impacts and possible administrative advantages.  FirstEnergy CAPs currently have maximum energy burden of 3% for electric non-</w:t>
      </w:r>
      <w:r w:rsidR="00F65A62">
        <w:rPr>
          <w:rFonts w:ascii="Times New Roman" w:hAnsi="Times New Roman" w:cs="Times New Roman"/>
          <w:sz w:val="26"/>
          <w:szCs w:val="26"/>
        </w:rPr>
        <w:t>heati</w:t>
      </w:r>
      <w:r w:rsidRPr="00103510">
        <w:rPr>
          <w:rFonts w:ascii="Times New Roman" w:hAnsi="Times New Roman" w:cs="Times New Roman"/>
          <w:sz w:val="26"/>
          <w:szCs w:val="26"/>
        </w:rPr>
        <w:t xml:space="preserve">ng accounts and 9% for electric heating accounts; a change to 4% and 10% maximum energy burdens could result in program savings.  FirstEnergy Comments at 2–3.  PPL estimated that a 10% maximum energy burden would have minimal total cost impacts for its CAP.  PPL calculated that CAP customers with incomes between 0% and 50% and between 51% and 100% of the FPIG would see lower CAP bills (resulting in an increase of $1.7 million and $600,000 in CAP credits, respectively) and that CAP customers with incomes between 101% and 150% of the FPIG would see higher CAP bills (resulting in a reduction of $6 million in CAP credits annually).  Overall, a change to a 10% maximum energy burden could reduce PPL’s CAP costs by $3.7 million per year.  PPL Comments at 3–5.  PECO estimated that adopting a 10% maximum energy burden would increase its total CAP costs by $38.5 million annually (from $59.3 million to $97.8 million).  PECO Comments at 8.  </w:t>
      </w:r>
    </w:p>
    <w:p w14:paraId="07602910" w14:textId="77777777" w:rsidR="00450A32" w:rsidRPr="00103510" w:rsidRDefault="00450A32" w:rsidP="00450A32">
      <w:pPr>
        <w:spacing w:line="360" w:lineRule="auto"/>
        <w:ind w:firstLine="720"/>
        <w:contextualSpacing/>
        <w:rPr>
          <w:rFonts w:ascii="Times New Roman" w:hAnsi="Times New Roman" w:cs="Times New Roman"/>
          <w:sz w:val="26"/>
          <w:szCs w:val="26"/>
        </w:rPr>
      </w:pPr>
    </w:p>
    <w:p w14:paraId="0F13FB72" w14:textId="77777777" w:rsidR="00450A32" w:rsidRPr="00103510" w:rsidRDefault="00450A32" w:rsidP="00450A32">
      <w:pPr>
        <w:spacing w:line="360" w:lineRule="auto"/>
        <w:ind w:firstLine="720"/>
        <w:contextualSpacing/>
        <w:rPr>
          <w:rFonts w:ascii="Times New Roman" w:hAnsi="Times New Roman" w:cs="Times New Roman"/>
          <w:sz w:val="26"/>
          <w:szCs w:val="26"/>
        </w:rPr>
      </w:pPr>
      <w:r w:rsidRPr="00103510">
        <w:rPr>
          <w:rFonts w:ascii="Times New Roman" w:hAnsi="Times New Roman" w:cs="Times New Roman"/>
          <w:sz w:val="26"/>
          <w:szCs w:val="26"/>
        </w:rPr>
        <w:t xml:space="preserve">Peoples, Columbia, and NFG reported that their CAP customers, on average, routinely have energy burdens below 6%.  Other utilities, such as Duquesne and UGI, estimated CAP cost increases of less than $1 million per year.  Only PECO and PGW projected larger annual CAP cost increases based on lowered maximum energy burdens, approximately $38 million and $18 million, respectively.  </w:t>
      </w:r>
    </w:p>
    <w:p w14:paraId="0CA1F379" w14:textId="77777777" w:rsidR="00450A32" w:rsidRPr="00103510" w:rsidRDefault="00450A32" w:rsidP="00450A32">
      <w:pPr>
        <w:spacing w:line="360" w:lineRule="auto"/>
        <w:ind w:firstLine="720"/>
        <w:contextualSpacing/>
        <w:rPr>
          <w:rFonts w:ascii="Times New Roman" w:hAnsi="Times New Roman" w:cs="Times New Roman"/>
          <w:sz w:val="26"/>
          <w:szCs w:val="26"/>
        </w:rPr>
      </w:pPr>
    </w:p>
    <w:p w14:paraId="3C061F21" w14:textId="77777777" w:rsidR="00450A32" w:rsidRPr="00103510" w:rsidRDefault="00450A32" w:rsidP="00450A32">
      <w:pPr>
        <w:spacing w:line="360" w:lineRule="auto"/>
        <w:ind w:firstLine="720"/>
        <w:contextualSpacing/>
        <w:rPr>
          <w:rFonts w:ascii="Times New Roman" w:hAnsi="Times New Roman" w:cs="Times New Roman"/>
          <w:sz w:val="26"/>
          <w:szCs w:val="26"/>
        </w:rPr>
      </w:pPr>
      <w:r w:rsidRPr="00103510">
        <w:rPr>
          <w:rFonts w:ascii="Times New Roman" w:hAnsi="Times New Roman" w:cs="Times New Roman"/>
          <w:sz w:val="26"/>
          <w:szCs w:val="26"/>
        </w:rPr>
        <w:t>EAP observed that CAP costs totaled $331 million in 2017</w:t>
      </w:r>
      <w:r w:rsidRPr="00103510">
        <w:rPr>
          <w:rFonts w:ascii="Times New Roman" w:hAnsi="Times New Roman" w:cs="Times New Roman"/>
          <w:sz w:val="26"/>
          <w:szCs w:val="26"/>
          <w:vertAlign w:val="superscript"/>
        </w:rPr>
        <w:footnoteReference w:id="45"/>
      </w:r>
      <w:r w:rsidRPr="00103510">
        <w:rPr>
          <w:rFonts w:ascii="Times New Roman" w:hAnsi="Times New Roman" w:cs="Times New Roman"/>
          <w:sz w:val="26"/>
          <w:szCs w:val="26"/>
        </w:rPr>
        <w:t xml:space="preserve"> and that adding another $102 million in annual costs</w:t>
      </w:r>
      <w:r w:rsidRPr="00F5795D">
        <w:rPr>
          <w:rStyle w:val="FootnoteReference"/>
          <w:rFonts w:ascii="Times New Roman" w:hAnsi="Times New Roman" w:cs="Times New Roman"/>
          <w:sz w:val="26"/>
          <w:szCs w:val="26"/>
        </w:rPr>
        <w:footnoteReference w:id="46"/>
      </w:r>
      <w:r w:rsidRPr="00103510">
        <w:rPr>
          <w:rFonts w:ascii="Times New Roman" w:hAnsi="Times New Roman" w:cs="Times New Roman"/>
          <w:sz w:val="26"/>
          <w:szCs w:val="26"/>
        </w:rPr>
        <w:t xml:space="preserve"> to achieve a 10% maximum energy burden would be a 30% increase.  EAP Comments at 10</w:t>
      </w:r>
      <w:r w:rsidRPr="00103510">
        <w:rPr>
          <w:rFonts w:ascii="Times New Roman" w:hAnsi="Times New Roman" w:cs="Times New Roman"/>
          <w:sz w:val="26"/>
          <w:szCs w:val="26"/>
        </w:rPr>
        <w:noBreakHyphen/>
        <w:t xml:space="preserve">11.  </w:t>
      </w:r>
    </w:p>
    <w:p w14:paraId="51E51B57" w14:textId="77777777" w:rsidR="00450A32" w:rsidRPr="00103510" w:rsidRDefault="00450A32" w:rsidP="00450A32">
      <w:pPr>
        <w:spacing w:line="360" w:lineRule="auto"/>
        <w:ind w:firstLine="720"/>
        <w:contextualSpacing/>
        <w:rPr>
          <w:rFonts w:ascii="Times New Roman" w:hAnsi="Times New Roman" w:cs="Times New Roman"/>
          <w:sz w:val="26"/>
          <w:szCs w:val="26"/>
        </w:rPr>
      </w:pPr>
    </w:p>
    <w:p w14:paraId="5D56B717" w14:textId="3F2DC4B2" w:rsidR="00450A32" w:rsidRPr="00103510" w:rsidRDefault="00D81405" w:rsidP="00450A32">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R</w:t>
      </w:r>
      <w:r w:rsidR="001117AC">
        <w:rPr>
          <w:rFonts w:ascii="Times New Roman" w:hAnsi="Times New Roman" w:cs="Times New Roman"/>
          <w:sz w:val="26"/>
          <w:szCs w:val="26"/>
        </w:rPr>
        <w:t>esidential</w:t>
      </w:r>
      <w:r w:rsidR="00450A32" w:rsidRPr="00103510">
        <w:rPr>
          <w:rFonts w:ascii="Times New Roman" w:hAnsi="Times New Roman" w:cs="Times New Roman"/>
          <w:sz w:val="26"/>
          <w:szCs w:val="26"/>
        </w:rPr>
        <w:t xml:space="preserve"> ratepayers bear the cost of CAP programs.  Tables 4 and 5 below reflect the estimated impact (increase/decrease) on </w:t>
      </w:r>
      <w:r w:rsidR="00450A32" w:rsidRPr="00103510">
        <w:rPr>
          <w:rFonts w:ascii="Times New Roman" w:hAnsi="Times New Roman" w:cs="Times New Roman"/>
          <w:i/>
          <w:iCs/>
          <w:sz w:val="26"/>
          <w:szCs w:val="26"/>
        </w:rPr>
        <w:t>monthly</w:t>
      </w:r>
      <w:r w:rsidR="00450A32" w:rsidRPr="00103510">
        <w:rPr>
          <w:rFonts w:ascii="Times New Roman" w:hAnsi="Times New Roman" w:cs="Times New Roman"/>
          <w:sz w:val="26"/>
          <w:szCs w:val="26"/>
        </w:rPr>
        <w:t xml:space="preserve"> universal service charges on </w:t>
      </w:r>
      <w:r w:rsidR="001117AC">
        <w:rPr>
          <w:rFonts w:ascii="Times New Roman" w:hAnsi="Times New Roman" w:cs="Times New Roman"/>
          <w:sz w:val="26"/>
          <w:szCs w:val="26"/>
        </w:rPr>
        <w:t>residential</w:t>
      </w:r>
      <w:r w:rsidR="00450A32" w:rsidRPr="00103510">
        <w:rPr>
          <w:rFonts w:ascii="Times New Roman" w:hAnsi="Times New Roman" w:cs="Times New Roman"/>
          <w:sz w:val="26"/>
          <w:szCs w:val="26"/>
        </w:rPr>
        <w:t xml:space="preserve"> ratepayer bills if CAP customers were charged either a PIP (4%, 6%, or 10%) or their average bill, whichever is less.  </w:t>
      </w:r>
    </w:p>
    <w:p w14:paraId="62BAC911" w14:textId="77777777" w:rsidR="00450A32" w:rsidRPr="00103510" w:rsidRDefault="00450A32" w:rsidP="00450A32">
      <w:pPr>
        <w:spacing w:line="360" w:lineRule="auto"/>
        <w:ind w:firstLine="720"/>
        <w:contextualSpacing/>
        <w:rPr>
          <w:rFonts w:ascii="Times New Roman" w:hAnsi="Times New Roman" w:cs="Times New Roman"/>
          <w:sz w:val="26"/>
          <w:szCs w:val="26"/>
        </w:rPr>
      </w:pPr>
    </w:p>
    <w:p w14:paraId="32C0779B" w14:textId="77777777" w:rsidR="00450A32" w:rsidRPr="00450A32" w:rsidRDefault="00450A32" w:rsidP="00BB4665">
      <w:pPr>
        <w:keepNext/>
        <w:spacing w:line="240" w:lineRule="auto"/>
        <w:contextualSpacing/>
        <w:jc w:val="center"/>
        <w:rPr>
          <w:rFonts w:ascii="Times New Roman" w:hAnsi="Times New Roman" w:cs="Times New Roman"/>
          <w:b/>
          <w:bCs/>
          <w:sz w:val="26"/>
          <w:szCs w:val="26"/>
        </w:rPr>
      </w:pPr>
      <w:r w:rsidRPr="00450A32">
        <w:rPr>
          <w:rFonts w:ascii="Times New Roman" w:hAnsi="Times New Roman" w:cs="Times New Roman"/>
          <w:b/>
          <w:bCs/>
          <w:sz w:val="26"/>
          <w:szCs w:val="26"/>
        </w:rPr>
        <w:t>Table 4</w:t>
      </w:r>
    </w:p>
    <w:p w14:paraId="1CB93467" w14:textId="77777777" w:rsidR="00450A32" w:rsidRPr="00450A32" w:rsidRDefault="00450A32" w:rsidP="00BB4665">
      <w:pPr>
        <w:keepNext/>
        <w:spacing w:line="240" w:lineRule="auto"/>
        <w:contextualSpacing/>
        <w:jc w:val="center"/>
        <w:rPr>
          <w:rFonts w:ascii="Times New Roman" w:hAnsi="Times New Roman" w:cs="Times New Roman"/>
          <w:b/>
          <w:bCs/>
          <w:sz w:val="26"/>
          <w:szCs w:val="26"/>
        </w:rPr>
      </w:pPr>
      <w:r w:rsidRPr="00450A32">
        <w:rPr>
          <w:rFonts w:ascii="Times New Roman" w:hAnsi="Times New Roman" w:cs="Times New Roman"/>
          <w:b/>
          <w:bCs/>
          <w:sz w:val="26"/>
          <w:szCs w:val="26"/>
        </w:rPr>
        <w:t xml:space="preserve">Charging 4% (for non-heating) and 10% (for heating) of Household Income </w:t>
      </w:r>
    </w:p>
    <w:p w14:paraId="081C04A6" w14:textId="77777777" w:rsidR="00450A32" w:rsidRPr="00450A32" w:rsidRDefault="00450A32" w:rsidP="00BB4665">
      <w:pPr>
        <w:keepNext/>
        <w:tabs>
          <w:tab w:val="left" w:pos="8370"/>
        </w:tabs>
        <w:spacing w:line="240" w:lineRule="auto"/>
        <w:contextualSpacing/>
        <w:jc w:val="center"/>
        <w:rPr>
          <w:rFonts w:ascii="Times New Roman" w:hAnsi="Times New Roman" w:cs="Times New Roman"/>
          <w:b/>
          <w:bCs/>
          <w:sz w:val="26"/>
          <w:szCs w:val="26"/>
        </w:rPr>
      </w:pPr>
      <w:r w:rsidRPr="00450A32">
        <w:rPr>
          <w:rFonts w:ascii="Times New Roman" w:hAnsi="Times New Roman" w:cs="Times New Roman"/>
          <w:b/>
          <w:bCs/>
          <w:sz w:val="26"/>
          <w:szCs w:val="26"/>
        </w:rPr>
        <w:t>or Average Bill</w:t>
      </w:r>
    </w:p>
    <w:p w14:paraId="35EB14BE" w14:textId="77777777" w:rsidR="00450A32" w:rsidRPr="00450A32" w:rsidRDefault="00450A32" w:rsidP="00BB4665">
      <w:pPr>
        <w:keepNext/>
        <w:tabs>
          <w:tab w:val="left" w:pos="8370"/>
        </w:tabs>
        <w:spacing w:line="240" w:lineRule="auto"/>
        <w:contextualSpacing/>
        <w:jc w:val="center"/>
        <w:rPr>
          <w:rFonts w:ascii="Times New Roman" w:hAnsi="Times New Roman" w:cs="Times New Roman"/>
          <w:b/>
          <w:bCs/>
          <w:sz w:val="26"/>
          <w:szCs w:val="26"/>
        </w:rPr>
      </w:pPr>
      <w:r w:rsidRPr="00450A32">
        <w:rPr>
          <w:rFonts w:ascii="Times New Roman" w:hAnsi="Times New Roman" w:cs="Times New Roman"/>
          <w:b/>
          <w:bCs/>
          <w:sz w:val="26"/>
          <w:szCs w:val="26"/>
        </w:rPr>
        <w:t>Estimated Increase/Decrease on Monthly EDC Ratepayer Bills 2016-2021</w:t>
      </w:r>
    </w:p>
    <w:tbl>
      <w:tblPr>
        <w:tblStyle w:val="TableGrid"/>
        <w:tblW w:w="10525" w:type="dxa"/>
        <w:jc w:val="center"/>
        <w:tblLook w:val="04A0" w:firstRow="1" w:lastRow="0" w:firstColumn="1" w:lastColumn="0" w:noHBand="0" w:noVBand="1"/>
      </w:tblPr>
      <w:tblGrid>
        <w:gridCol w:w="2155"/>
        <w:gridCol w:w="1218"/>
        <w:gridCol w:w="1440"/>
        <w:gridCol w:w="1530"/>
        <w:gridCol w:w="1440"/>
        <w:gridCol w:w="1440"/>
        <w:gridCol w:w="1302"/>
      </w:tblGrid>
      <w:tr w:rsidR="00450A32" w:rsidRPr="00450A32" w14:paraId="0F5B8BC1" w14:textId="77777777" w:rsidTr="00450A32">
        <w:trPr>
          <w:jc w:val="center"/>
        </w:trPr>
        <w:tc>
          <w:tcPr>
            <w:tcW w:w="2155" w:type="dxa"/>
            <w:vAlign w:val="center"/>
          </w:tcPr>
          <w:p w14:paraId="16879EF5" w14:textId="77777777" w:rsidR="00450A32" w:rsidRPr="00450A32" w:rsidRDefault="00450A32" w:rsidP="00B75CC9">
            <w:pPr>
              <w:keepNext/>
              <w:tabs>
                <w:tab w:val="left" w:pos="8370"/>
              </w:tabs>
              <w:contextualSpacing/>
              <w:jc w:val="center"/>
              <w:rPr>
                <w:b/>
                <w:bCs/>
                <w:sz w:val="26"/>
                <w:szCs w:val="26"/>
              </w:rPr>
            </w:pPr>
          </w:p>
        </w:tc>
        <w:tc>
          <w:tcPr>
            <w:tcW w:w="1218" w:type="dxa"/>
            <w:vAlign w:val="center"/>
          </w:tcPr>
          <w:p w14:paraId="6BE9DFFD" w14:textId="77777777" w:rsidR="00450A32" w:rsidRPr="00450A32" w:rsidRDefault="00450A32" w:rsidP="00B75CC9">
            <w:pPr>
              <w:keepNext/>
              <w:tabs>
                <w:tab w:val="left" w:pos="8370"/>
              </w:tabs>
              <w:contextualSpacing/>
              <w:jc w:val="center"/>
              <w:rPr>
                <w:b/>
                <w:bCs/>
                <w:sz w:val="26"/>
                <w:szCs w:val="26"/>
              </w:rPr>
            </w:pPr>
            <w:r w:rsidRPr="00450A32">
              <w:rPr>
                <w:b/>
                <w:bCs/>
                <w:sz w:val="26"/>
                <w:szCs w:val="26"/>
              </w:rPr>
              <w:t>2016</w:t>
            </w:r>
          </w:p>
        </w:tc>
        <w:tc>
          <w:tcPr>
            <w:tcW w:w="1440" w:type="dxa"/>
            <w:vAlign w:val="center"/>
          </w:tcPr>
          <w:p w14:paraId="0642D597" w14:textId="77777777" w:rsidR="00450A32" w:rsidRPr="00450A32" w:rsidRDefault="00450A32" w:rsidP="00B75CC9">
            <w:pPr>
              <w:keepNext/>
              <w:tabs>
                <w:tab w:val="left" w:pos="8370"/>
              </w:tabs>
              <w:contextualSpacing/>
              <w:jc w:val="center"/>
              <w:rPr>
                <w:b/>
                <w:bCs/>
                <w:sz w:val="26"/>
                <w:szCs w:val="26"/>
              </w:rPr>
            </w:pPr>
            <w:r w:rsidRPr="00450A32">
              <w:rPr>
                <w:b/>
                <w:bCs/>
                <w:sz w:val="26"/>
                <w:szCs w:val="26"/>
              </w:rPr>
              <w:t>2017</w:t>
            </w:r>
          </w:p>
        </w:tc>
        <w:tc>
          <w:tcPr>
            <w:tcW w:w="1530" w:type="dxa"/>
            <w:vAlign w:val="center"/>
          </w:tcPr>
          <w:p w14:paraId="4D08ABE4" w14:textId="77777777" w:rsidR="00450A32" w:rsidRPr="008E1728" w:rsidRDefault="00450A32" w:rsidP="00B75CC9">
            <w:pPr>
              <w:keepNext/>
              <w:tabs>
                <w:tab w:val="left" w:pos="8370"/>
              </w:tabs>
              <w:contextualSpacing/>
              <w:jc w:val="center"/>
              <w:rPr>
                <w:b/>
                <w:bCs/>
                <w:sz w:val="26"/>
                <w:szCs w:val="26"/>
              </w:rPr>
            </w:pPr>
            <w:r w:rsidRPr="008E1728">
              <w:rPr>
                <w:b/>
                <w:bCs/>
                <w:sz w:val="26"/>
                <w:szCs w:val="26"/>
              </w:rPr>
              <w:t>2018</w:t>
            </w:r>
          </w:p>
        </w:tc>
        <w:tc>
          <w:tcPr>
            <w:tcW w:w="1440" w:type="dxa"/>
            <w:vAlign w:val="center"/>
          </w:tcPr>
          <w:p w14:paraId="60B71FD8" w14:textId="77777777" w:rsidR="00450A32" w:rsidRPr="008E1728" w:rsidRDefault="00450A32" w:rsidP="00B75CC9">
            <w:pPr>
              <w:keepNext/>
              <w:tabs>
                <w:tab w:val="left" w:pos="8370"/>
              </w:tabs>
              <w:contextualSpacing/>
              <w:jc w:val="center"/>
              <w:rPr>
                <w:b/>
                <w:bCs/>
                <w:sz w:val="26"/>
                <w:szCs w:val="26"/>
              </w:rPr>
            </w:pPr>
            <w:r w:rsidRPr="008E1728">
              <w:rPr>
                <w:b/>
                <w:bCs/>
                <w:sz w:val="26"/>
                <w:szCs w:val="26"/>
              </w:rPr>
              <w:t>2019</w:t>
            </w:r>
          </w:p>
        </w:tc>
        <w:tc>
          <w:tcPr>
            <w:tcW w:w="1440" w:type="dxa"/>
            <w:vAlign w:val="center"/>
          </w:tcPr>
          <w:p w14:paraId="6C4D8F63" w14:textId="77777777" w:rsidR="00450A32" w:rsidRPr="008E1728" w:rsidRDefault="00450A32" w:rsidP="00B75CC9">
            <w:pPr>
              <w:keepNext/>
              <w:tabs>
                <w:tab w:val="left" w:pos="8370"/>
              </w:tabs>
              <w:contextualSpacing/>
              <w:jc w:val="center"/>
              <w:rPr>
                <w:b/>
                <w:bCs/>
                <w:sz w:val="26"/>
                <w:szCs w:val="26"/>
              </w:rPr>
            </w:pPr>
            <w:r w:rsidRPr="008E1728">
              <w:rPr>
                <w:b/>
                <w:bCs/>
                <w:sz w:val="26"/>
                <w:szCs w:val="26"/>
              </w:rPr>
              <w:t>2020</w:t>
            </w:r>
          </w:p>
        </w:tc>
        <w:tc>
          <w:tcPr>
            <w:tcW w:w="1302" w:type="dxa"/>
            <w:vAlign w:val="center"/>
          </w:tcPr>
          <w:p w14:paraId="7682B4B5" w14:textId="77777777" w:rsidR="00450A32" w:rsidRPr="008E1728" w:rsidRDefault="00450A32" w:rsidP="00B75CC9">
            <w:pPr>
              <w:keepNext/>
              <w:tabs>
                <w:tab w:val="left" w:pos="8370"/>
              </w:tabs>
              <w:contextualSpacing/>
              <w:jc w:val="center"/>
              <w:rPr>
                <w:b/>
                <w:bCs/>
                <w:sz w:val="26"/>
                <w:szCs w:val="26"/>
              </w:rPr>
            </w:pPr>
            <w:r w:rsidRPr="008E1728">
              <w:rPr>
                <w:b/>
                <w:bCs/>
                <w:sz w:val="26"/>
                <w:szCs w:val="26"/>
              </w:rPr>
              <w:t>2021</w:t>
            </w:r>
          </w:p>
        </w:tc>
      </w:tr>
      <w:tr w:rsidR="00450A32" w:rsidRPr="00450A32" w14:paraId="108A58C7" w14:textId="77777777" w:rsidTr="00450A32">
        <w:trPr>
          <w:jc w:val="center"/>
        </w:trPr>
        <w:tc>
          <w:tcPr>
            <w:tcW w:w="2155" w:type="dxa"/>
            <w:vAlign w:val="center"/>
          </w:tcPr>
          <w:p w14:paraId="460D124D" w14:textId="46E0DCA1" w:rsidR="00450A32" w:rsidRPr="00450A32" w:rsidRDefault="00450A32" w:rsidP="00B75CC9">
            <w:pPr>
              <w:keepNext/>
              <w:tabs>
                <w:tab w:val="left" w:pos="8370"/>
              </w:tabs>
              <w:contextualSpacing/>
              <w:rPr>
                <w:b/>
                <w:bCs/>
                <w:sz w:val="26"/>
                <w:szCs w:val="26"/>
              </w:rPr>
            </w:pPr>
            <w:r w:rsidRPr="00450A32">
              <w:rPr>
                <w:b/>
                <w:bCs/>
                <w:sz w:val="26"/>
                <w:szCs w:val="26"/>
              </w:rPr>
              <w:t>Duquesne</w:t>
            </w:r>
            <w:r w:rsidR="002A2A1D">
              <w:rPr>
                <w:b/>
                <w:bCs/>
                <w:sz w:val="26"/>
                <w:szCs w:val="26"/>
              </w:rPr>
              <w:t>*</w:t>
            </w:r>
          </w:p>
        </w:tc>
        <w:tc>
          <w:tcPr>
            <w:tcW w:w="1218" w:type="dxa"/>
            <w:vAlign w:val="center"/>
          </w:tcPr>
          <w:p w14:paraId="7E83EDBC" w14:textId="77777777" w:rsidR="00450A32" w:rsidRPr="008D67E1" w:rsidRDefault="00450A32" w:rsidP="00B75CC9">
            <w:pPr>
              <w:keepNext/>
              <w:tabs>
                <w:tab w:val="left" w:pos="8370"/>
              </w:tabs>
              <w:contextualSpacing/>
              <w:jc w:val="center"/>
              <w:rPr>
                <w:sz w:val="26"/>
                <w:szCs w:val="26"/>
              </w:rPr>
            </w:pPr>
            <w:r w:rsidRPr="008D67E1">
              <w:rPr>
                <w:sz w:val="26"/>
                <w:szCs w:val="26"/>
              </w:rPr>
              <w:t>$1.46</w:t>
            </w:r>
          </w:p>
        </w:tc>
        <w:tc>
          <w:tcPr>
            <w:tcW w:w="1440" w:type="dxa"/>
            <w:vAlign w:val="center"/>
          </w:tcPr>
          <w:p w14:paraId="2644365E" w14:textId="77777777" w:rsidR="00450A32" w:rsidRPr="008D67E1" w:rsidRDefault="00450A32" w:rsidP="00B75CC9">
            <w:pPr>
              <w:keepNext/>
              <w:tabs>
                <w:tab w:val="left" w:pos="8370"/>
              </w:tabs>
              <w:contextualSpacing/>
              <w:jc w:val="center"/>
              <w:rPr>
                <w:sz w:val="26"/>
                <w:szCs w:val="26"/>
              </w:rPr>
            </w:pPr>
            <w:r w:rsidRPr="008D67E1">
              <w:rPr>
                <w:sz w:val="26"/>
                <w:szCs w:val="26"/>
              </w:rPr>
              <w:t>$0.84</w:t>
            </w:r>
          </w:p>
        </w:tc>
        <w:tc>
          <w:tcPr>
            <w:tcW w:w="1530" w:type="dxa"/>
            <w:vAlign w:val="center"/>
          </w:tcPr>
          <w:p w14:paraId="21E66B5F" w14:textId="77777777" w:rsidR="00450A32" w:rsidRPr="008D67E1" w:rsidRDefault="00450A32" w:rsidP="00B75CC9">
            <w:pPr>
              <w:keepNext/>
              <w:tabs>
                <w:tab w:val="left" w:pos="8370"/>
              </w:tabs>
              <w:contextualSpacing/>
              <w:jc w:val="center"/>
              <w:rPr>
                <w:sz w:val="26"/>
                <w:szCs w:val="26"/>
              </w:rPr>
            </w:pPr>
            <w:r w:rsidRPr="008D67E1">
              <w:rPr>
                <w:sz w:val="26"/>
                <w:szCs w:val="26"/>
              </w:rPr>
              <w:t>$0.78</w:t>
            </w:r>
          </w:p>
        </w:tc>
        <w:tc>
          <w:tcPr>
            <w:tcW w:w="1440" w:type="dxa"/>
            <w:vAlign w:val="center"/>
          </w:tcPr>
          <w:p w14:paraId="1FB1F055" w14:textId="77777777" w:rsidR="00450A32" w:rsidRPr="008D67E1" w:rsidRDefault="00450A32" w:rsidP="00B75CC9">
            <w:pPr>
              <w:keepNext/>
              <w:tabs>
                <w:tab w:val="left" w:pos="8370"/>
              </w:tabs>
              <w:contextualSpacing/>
              <w:jc w:val="center"/>
              <w:rPr>
                <w:sz w:val="26"/>
                <w:szCs w:val="26"/>
              </w:rPr>
            </w:pPr>
            <w:r w:rsidRPr="008D67E1">
              <w:rPr>
                <w:sz w:val="26"/>
                <w:szCs w:val="26"/>
              </w:rPr>
              <w:t>$0.59</w:t>
            </w:r>
          </w:p>
        </w:tc>
        <w:tc>
          <w:tcPr>
            <w:tcW w:w="1440" w:type="dxa"/>
            <w:vAlign w:val="center"/>
          </w:tcPr>
          <w:p w14:paraId="085DB809" w14:textId="77777777" w:rsidR="00450A32" w:rsidRPr="008D67E1" w:rsidRDefault="00450A32" w:rsidP="00B75CC9">
            <w:pPr>
              <w:keepNext/>
              <w:tabs>
                <w:tab w:val="left" w:pos="8370"/>
              </w:tabs>
              <w:contextualSpacing/>
              <w:jc w:val="center"/>
              <w:rPr>
                <w:sz w:val="26"/>
                <w:szCs w:val="26"/>
              </w:rPr>
            </w:pPr>
            <w:r w:rsidRPr="008D67E1">
              <w:rPr>
                <w:sz w:val="26"/>
                <w:szCs w:val="26"/>
              </w:rPr>
              <w:t>$0.02</w:t>
            </w:r>
          </w:p>
        </w:tc>
        <w:tc>
          <w:tcPr>
            <w:tcW w:w="1302" w:type="dxa"/>
            <w:vAlign w:val="center"/>
          </w:tcPr>
          <w:p w14:paraId="0E69EBDE" w14:textId="77777777" w:rsidR="00450A32" w:rsidRPr="008D67E1" w:rsidRDefault="00450A32" w:rsidP="00B75CC9">
            <w:pPr>
              <w:keepNext/>
              <w:tabs>
                <w:tab w:val="left" w:pos="8370"/>
              </w:tabs>
              <w:contextualSpacing/>
              <w:jc w:val="center"/>
              <w:rPr>
                <w:sz w:val="26"/>
                <w:szCs w:val="26"/>
              </w:rPr>
            </w:pPr>
            <w:r w:rsidRPr="008D67E1">
              <w:rPr>
                <w:sz w:val="26"/>
                <w:szCs w:val="26"/>
              </w:rPr>
              <w:t>$0.08</w:t>
            </w:r>
          </w:p>
        </w:tc>
      </w:tr>
      <w:tr w:rsidR="008D67E1" w:rsidRPr="00450A32" w14:paraId="50AA4F1A" w14:textId="77777777" w:rsidTr="005F5A13">
        <w:trPr>
          <w:jc w:val="center"/>
        </w:trPr>
        <w:tc>
          <w:tcPr>
            <w:tcW w:w="2155" w:type="dxa"/>
            <w:vAlign w:val="center"/>
          </w:tcPr>
          <w:p w14:paraId="267C7574" w14:textId="77777777" w:rsidR="008D67E1" w:rsidRPr="00450A32" w:rsidRDefault="008D67E1" w:rsidP="008D67E1">
            <w:pPr>
              <w:keepNext/>
              <w:tabs>
                <w:tab w:val="left" w:pos="8370"/>
              </w:tabs>
              <w:contextualSpacing/>
              <w:rPr>
                <w:b/>
                <w:bCs/>
                <w:sz w:val="26"/>
                <w:szCs w:val="26"/>
              </w:rPr>
            </w:pPr>
            <w:r w:rsidRPr="00450A32">
              <w:rPr>
                <w:b/>
                <w:bCs/>
                <w:sz w:val="26"/>
                <w:szCs w:val="26"/>
              </w:rPr>
              <w:t>Met-Ed</w:t>
            </w:r>
          </w:p>
        </w:tc>
        <w:tc>
          <w:tcPr>
            <w:tcW w:w="1218" w:type="dxa"/>
            <w:vAlign w:val="bottom"/>
          </w:tcPr>
          <w:p w14:paraId="0FB2AE99" w14:textId="1239CE59" w:rsidR="008D67E1" w:rsidRPr="00F5795D" w:rsidRDefault="008D67E1" w:rsidP="008D67E1">
            <w:pPr>
              <w:keepNext/>
              <w:tabs>
                <w:tab w:val="left" w:pos="8370"/>
              </w:tabs>
              <w:contextualSpacing/>
              <w:jc w:val="center"/>
              <w:rPr>
                <w:sz w:val="26"/>
                <w:szCs w:val="26"/>
              </w:rPr>
            </w:pPr>
            <w:r w:rsidRPr="00F5795D">
              <w:rPr>
                <w:color w:val="000000"/>
                <w:sz w:val="26"/>
                <w:szCs w:val="26"/>
              </w:rPr>
              <w:t>-$0.43</w:t>
            </w:r>
          </w:p>
        </w:tc>
        <w:tc>
          <w:tcPr>
            <w:tcW w:w="1440" w:type="dxa"/>
            <w:vAlign w:val="bottom"/>
          </w:tcPr>
          <w:p w14:paraId="54E0D3AF" w14:textId="7FCBD5BB" w:rsidR="008D67E1" w:rsidRPr="00F5795D" w:rsidRDefault="008D67E1" w:rsidP="008D67E1">
            <w:pPr>
              <w:keepNext/>
              <w:tabs>
                <w:tab w:val="left" w:pos="8370"/>
              </w:tabs>
              <w:contextualSpacing/>
              <w:jc w:val="center"/>
              <w:rPr>
                <w:sz w:val="26"/>
                <w:szCs w:val="26"/>
              </w:rPr>
            </w:pPr>
            <w:r w:rsidRPr="00F5795D">
              <w:rPr>
                <w:color w:val="000000"/>
                <w:sz w:val="26"/>
                <w:szCs w:val="26"/>
              </w:rPr>
              <w:t>-$0.31</w:t>
            </w:r>
          </w:p>
        </w:tc>
        <w:tc>
          <w:tcPr>
            <w:tcW w:w="1530" w:type="dxa"/>
            <w:vAlign w:val="bottom"/>
          </w:tcPr>
          <w:p w14:paraId="5025D1F1" w14:textId="4B935935" w:rsidR="008D67E1" w:rsidRPr="00F5795D" w:rsidRDefault="008D67E1" w:rsidP="008D67E1">
            <w:pPr>
              <w:keepNext/>
              <w:tabs>
                <w:tab w:val="left" w:pos="8370"/>
              </w:tabs>
              <w:contextualSpacing/>
              <w:jc w:val="center"/>
              <w:rPr>
                <w:sz w:val="26"/>
                <w:szCs w:val="26"/>
              </w:rPr>
            </w:pPr>
            <w:r w:rsidRPr="00F5795D">
              <w:rPr>
                <w:color w:val="000000"/>
                <w:sz w:val="26"/>
                <w:szCs w:val="26"/>
              </w:rPr>
              <w:t>-$0.67</w:t>
            </w:r>
          </w:p>
        </w:tc>
        <w:tc>
          <w:tcPr>
            <w:tcW w:w="1440" w:type="dxa"/>
            <w:vAlign w:val="bottom"/>
          </w:tcPr>
          <w:p w14:paraId="55F3DD92" w14:textId="0D70F28B" w:rsidR="008D67E1" w:rsidRPr="00F5795D" w:rsidRDefault="008D67E1" w:rsidP="008D67E1">
            <w:pPr>
              <w:keepNext/>
              <w:tabs>
                <w:tab w:val="left" w:pos="8370"/>
              </w:tabs>
              <w:contextualSpacing/>
              <w:jc w:val="center"/>
              <w:rPr>
                <w:sz w:val="26"/>
                <w:szCs w:val="26"/>
              </w:rPr>
            </w:pPr>
            <w:r w:rsidRPr="00F5795D">
              <w:rPr>
                <w:color w:val="000000"/>
                <w:sz w:val="26"/>
                <w:szCs w:val="26"/>
              </w:rPr>
              <w:t>-$0.82</w:t>
            </w:r>
          </w:p>
        </w:tc>
        <w:tc>
          <w:tcPr>
            <w:tcW w:w="1440" w:type="dxa"/>
            <w:vAlign w:val="bottom"/>
          </w:tcPr>
          <w:p w14:paraId="07880DC6" w14:textId="6D5DBF2A" w:rsidR="008D67E1" w:rsidRPr="00F5795D" w:rsidRDefault="008D67E1" w:rsidP="008D67E1">
            <w:pPr>
              <w:keepNext/>
              <w:tabs>
                <w:tab w:val="left" w:pos="8370"/>
              </w:tabs>
              <w:contextualSpacing/>
              <w:jc w:val="center"/>
              <w:rPr>
                <w:sz w:val="26"/>
                <w:szCs w:val="26"/>
              </w:rPr>
            </w:pPr>
            <w:r w:rsidRPr="00F5795D">
              <w:rPr>
                <w:color w:val="000000"/>
                <w:sz w:val="26"/>
                <w:szCs w:val="26"/>
              </w:rPr>
              <w:t>-$2.64</w:t>
            </w:r>
          </w:p>
        </w:tc>
        <w:tc>
          <w:tcPr>
            <w:tcW w:w="1302" w:type="dxa"/>
            <w:vAlign w:val="bottom"/>
          </w:tcPr>
          <w:p w14:paraId="09850F58" w14:textId="5FE72465" w:rsidR="008D67E1" w:rsidRPr="00F5795D" w:rsidRDefault="008D67E1" w:rsidP="008D67E1">
            <w:pPr>
              <w:keepNext/>
              <w:tabs>
                <w:tab w:val="left" w:pos="8370"/>
              </w:tabs>
              <w:contextualSpacing/>
              <w:jc w:val="center"/>
              <w:rPr>
                <w:sz w:val="26"/>
                <w:szCs w:val="26"/>
              </w:rPr>
            </w:pPr>
            <w:r w:rsidRPr="00F5795D">
              <w:rPr>
                <w:color w:val="000000"/>
                <w:sz w:val="26"/>
                <w:szCs w:val="26"/>
              </w:rPr>
              <w:t>-$0.98</w:t>
            </w:r>
          </w:p>
        </w:tc>
      </w:tr>
      <w:tr w:rsidR="008D67E1" w:rsidRPr="00450A32" w14:paraId="776F08AB" w14:textId="77777777" w:rsidTr="005F5A13">
        <w:trPr>
          <w:trHeight w:val="350"/>
          <w:jc w:val="center"/>
        </w:trPr>
        <w:tc>
          <w:tcPr>
            <w:tcW w:w="2155" w:type="dxa"/>
            <w:vAlign w:val="center"/>
          </w:tcPr>
          <w:p w14:paraId="30A971C3" w14:textId="77777777" w:rsidR="008D67E1" w:rsidRPr="00450A32" w:rsidRDefault="008D67E1" w:rsidP="008D67E1">
            <w:pPr>
              <w:keepNext/>
              <w:tabs>
                <w:tab w:val="left" w:pos="8370"/>
              </w:tabs>
              <w:contextualSpacing/>
              <w:rPr>
                <w:b/>
                <w:bCs/>
                <w:sz w:val="26"/>
                <w:szCs w:val="26"/>
              </w:rPr>
            </w:pPr>
            <w:r w:rsidRPr="00450A32">
              <w:rPr>
                <w:b/>
                <w:bCs/>
                <w:sz w:val="26"/>
                <w:szCs w:val="26"/>
              </w:rPr>
              <w:t>PECO- E&amp; NG</w:t>
            </w:r>
            <w:r w:rsidRPr="00450A32">
              <w:rPr>
                <w:b/>
                <w:bCs/>
                <w:sz w:val="26"/>
                <w:szCs w:val="26"/>
                <w:vertAlign w:val="superscript"/>
              </w:rPr>
              <w:footnoteReference w:id="47"/>
            </w:r>
          </w:p>
        </w:tc>
        <w:tc>
          <w:tcPr>
            <w:tcW w:w="1218" w:type="dxa"/>
            <w:vAlign w:val="bottom"/>
          </w:tcPr>
          <w:p w14:paraId="6F7E0D18" w14:textId="6AE55604" w:rsidR="008D67E1" w:rsidRPr="00F5795D" w:rsidRDefault="008D67E1" w:rsidP="008D67E1">
            <w:pPr>
              <w:keepNext/>
              <w:tabs>
                <w:tab w:val="left" w:pos="8370"/>
              </w:tabs>
              <w:contextualSpacing/>
              <w:jc w:val="center"/>
              <w:rPr>
                <w:sz w:val="26"/>
                <w:szCs w:val="26"/>
              </w:rPr>
            </w:pPr>
            <w:r w:rsidRPr="00F5795D">
              <w:rPr>
                <w:color w:val="000000"/>
                <w:sz w:val="26"/>
                <w:szCs w:val="26"/>
              </w:rPr>
              <w:t>$1.02</w:t>
            </w:r>
          </w:p>
        </w:tc>
        <w:tc>
          <w:tcPr>
            <w:tcW w:w="1440" w:type="dxa"/>
            <w:vAlign w:val="bottom"/>
          </w:tcPr>
          <w:p w14:paraId="51C947F4" w14:textId="576772E2" w:rsidR="008D67E1" w:rsidRPr="00F5795D" w:rsidRDefault="008D67E1" w:rsidP="008D67E1">
            <w:pPr>
              <w:keepNext/>
              <w:tabs>
                <w:tab w:val="left" w:pos="8370"/>
              </w:tabs>
              <w:contextualSpacing/>
              <w:jc w:val="center"/>
              <w:rPr>
                <w:sz w:val="26"/>
                <w:szCs w:val="26"/>
              </w:rPr>
            </w:pPr>
            <w:r w:rsidRPr="00F5795D">
              <w:rPr>
                <w:color w:val="000000"/>
                <w:sz w:val="26"/>
                <w:szCs w:val="26"/>
              </w:rPr>
              <w:t>$1.62</w:t>
            </w:r>
          </w:p>
        </w:tc>
        <w:tc>
          <w:tcPr>
            <w:tcW w:w="1530" w:type="dxa"/>
            <w:vAlign w:val="bottom"/>
          </w:tcPr>
          <w:p w14:paraId="31DA4DC2" w14:textId="7BE33C1C" w:rsidR="008D67E1" w:rsidRPr="00F5795D" w:rsidRDefault="008D67E1" w:rsidP="008D67E1">
            <w:pPr>
              <w:keepNext/>
              <w:tabs>
                <w:tab w:val="left" w:pos="8370"/>
              </w:tabs>
              <w:contextualSpacing/>
              <w:jc w:val="center"/>
              <w:rPr>
                <w:sz w:val="26"/>
                <w:szCs w:val="26"/>
              </w:rPr>
            </w:pPr>
            <w:r w:rsidRPr="00F5795D">
              <w:rPr>
                <w:color w:val="000000"/>
                <w:sz w:val="26"/>
                <w:szCs w:val="26"/>
              </w:rPr>
              <w:t>$1.94</w:t>
            </w:r>
          </w:p>
        </w:tc>
        <w:tc>
          <w:tcPr>
            <w:tcW w:w="1440" w:type="dxa"/>
            <w:vAlign w:val="bottom"/>
          </w:tcPr>
          <w:p w14:paraId="1EE5D775" w14:textId="4AA4B8D0" w:rsidR="008D67E1" w:rsidRPr="00F5795D" w:rsidRDefault="008D67E1" w:rsidP="008D67E1">
            <w:pPr>
              <w:keepNext/>
              <w:tabs>
                <w:tab w:val="left" w:pos="8370"/>
              </w:tabs>
              <w:contextualSpacing/>
              <w:jc w:val="center"/>
              <w:rPr>
                <w:sz w:val="26"/>
                <w:szCs w:val="26"/>
              </w:rPr>
            </w:pPr>
            <w:r w:rsidRPr="00F5795D">
              <w:rPr>
                <w:color w:val="000000"/>
                <w:sz w:val="26"/>
                <w:szCs w:val="26"/>
              </w:rPr>
              <w:t>$2.13</w:t>
            </w:r>
          </w:p>
        </w:tc>
        <w:tc>
          <w:tcPr>
            <w:tcW w:w="1440" w:type="dxa"/>
            <w:vAlign w:val="bottom"/>
          </w:tcPr>
          <w:p w14:paraId="72875E05" w14:textId="00190035" w:rsidR="008D67E1" w:rsidRPr="00F5795D" w:rsidRDefault="008D67E1" w:rsidP="008D67E1">
            <w:pPr>
              <w:keepNext/>
              <w:tabs>
                <w:tab w:val="left" w:pos="8370"/>
              </w:tabs>
              <w:contextualSpacing/>
              <w:jc w:val="center"/>
              <w:rPr>
                <w:sz w:val="26"/>
                <w:szCs w:val="26"/>
              </w:rPr>
            </w:pPr>
            <w:r w:rsidRPr="00F5795D">
              <w:rPr>
                <w:color w:val="000000"/>
                <w:sz w:val="26"/>
                <w:szCs w:val="26"/>
              </w:rPr>
              <w:t>$2.05</w:t>
            </w:r>
          </w:p>
        </w:tc>
        <w:tc>
          <w:tcPr>
            <w:tcW w:w="1302" w:type="dxa"/>
            <w:vAlign w:val="bottom"/>
          </w:tcPr>
          <w:p w14:paraId="4E2EE0B3" w14:textId="0CAF73F2" w:rsidR="008D67E1" w:rsidRPr="00F5795D" w:rsidRDefault="008D67E1" w:rsidP="008D67E1">
            <w:pPr>
              <w:keepNext/>
              <w:tabs>
                <w:tab w:val="left" w:pos="8370"/>
              </w:tabs>
              <w:contextualSpacing/>
              <w:jc w:val="center"/>
              <w:rPr>
                <w:sz w:val="26"/>
                <w:szCs w:val="26"/>
              </w:rPr>
            </w:pPr>
            <w:r w:rsidRPr="00F5795D">
              <w:rPr>
                <w:color w:val="000000"/>
                <w:sz w:val="26"/>
                <w:szCs w:val="26"/>
              </w:rPr>
              <w:t>$2.04</w:t>
            </w:r>
          </w:p>
        </w:tc>
      </w:tr>
      <w:tr w:rsidR="008D67E1" w:rsidRPr="00450A32" w14:paraId="0328AA95" w14:textId="77777777" w:rsidTr="005F5A13">
        <w:trPr>
          <w:jc w:val="center"/>
        </w:trPr>
        <w:tc>
          <w:tcPr>
            <w:tcW w:w="2155" w:type="dxa"/>
            <w:vAlign w:val="center"/>
          </w:tcPr>
          <w:p w14:paraId="79AC798F" w14:textId="77777777" w:rsidR="008D67E1" w:rsidRPr="00450A32" w:rsidRDefault="008D67E1" w:rsidP="008D67E1">
            <w:pPr>
              <w:keepNext/>
              <w:tabs>
                <w:tab w:val="left" w:pos="8370"/>
              </w:tabs>
              <w:contextualSpacing/>
              <w:rPr>
                <w:b/>
                <w:bCs/>
                <w:sz w:val="26"/>
                <w:szCs w:val="26"/>
              </w:rPr>
            </w:pPr>
            <w:r w:rsidRPr="00450A32">
              <w:rPr>
                <w:b/>
                <w:bCs/>
                <w:sz w:val="26"/>
                <w:szCs w:val="26"/>
              </w:rPr>
              <w:t>Penelec</w:t>
            </w:r>
          </w:p>
        </w:tc>
        <w:tc>
          <w:tcPr>
            <w:tcW w:w="1218" w:type="dxa"/>
            <w:vAlign w:val="bottom"/>
          </w:tcPr>
          <w:p w14:paraId="68C06373" w14:textId="096908D3" w:rsidR="008D67E1" w:rsidRPr="00F5795D" w:rsidRDefault="008D67E1" w:rsidP="008D67E1">
            <w:pPr>
              <w:keepNext/>
              <w:tabs>
                <w:tab w:val="left" w:pos="8370"/>
              </w:tabs>
              <w:contextualSpacing/>
              <w:jc w:val="center"/>
              <w:rPr>
                <w:sz w:val="26"/>
                <w:szCs w:val="26"/>
              </w:rPr>
            </w:pPr>
            <w:r w:rsidRPr="00F5795D">
              <w:rPr>
                <w:color w:val="000000"/>
                <w:sz w:val="26"/>
                <w:szCs w:val="26"/>
              </w:rPr>
              <w:t>-$0.51</w:t>
            </w:r>
          </w:p>
        </w:tc>
        <w:tc>
          <w:tcPr>
            <w:tcW w:w="1440" w:type="dxa"/>
            <w:vAlign w:val="bottom"/>
          </w:tcPr>
          <w:p w14:paraId="37B42066" w14:textId="7657A2E8" w:rsidR="008D67E1" w:rsidRPr="00F5795D" w:rsidRDefault="008D67E1" w:rsidP="008D67E1">
            <w:pPr>
              <w:keepNext/>
              <w:tabs>
                <w:tab w:val="left" w:pos="8370"/>
              </w:tabs>
              <w:contextualSpacing/>
              <w:jc w:val="center"/>
              <w:rPr>
                <w:sz w:val="26"/>
                <w:szCs w:val="26"/>
              </w:rPr>
            </w:pPr>
            <w:r w:rsidRPr="00F5795D">
              <w:rPr>
                <w:color w:val="000000"/>
                <w:sz w:val="26"/>
                <w:szCs w:val="26"/>
              </w:rPr>
              <w:t>-$0.37</w:t>
            </w:r>
          </w:p>
        </w:tc>
        <w:tc>
          <w:tcPr>
            <w:tcW w:w="1530" w:type="dxa"/>
            <w:vAlign w:val="bottom"/>
          </w:tcPr>
          <w:p w14:paraId="144BB8EE" w14:textId="0A9893CD" w:rsidR="008D67E1" w:rsidRPr="00F5795D" w:rsidRDefault="008D67E1" w:rsidP="008D67E1">
            <w:pPr>
              <w:keepNext/>
              <w:tabs>
                <w:tab w:val="left" w:pos="8370"/>
              </w:tabs>
              <w:contextualSpacing/>
              <w:jc w:val="center"/>
              <w:rPr>
                <w:sz w:val="26"/>
                <w:szCs w:val="26"/>
              </w:rPr>
            </w:pPr>
            <w:r w:rsidRPr="00F5795D">
              <w:rPr>
                <w:color w:val="000000"/>
                <w:sz w:val="26"/>
                <w:szCs w:val="26"/>
              </w:rPr>
              <w:t>-$0.52</w:t>
            </w:r>
          </w:p>
        </w:tc>
        <w:tc>
          <w:tcPr>
            <w:tcW w:w="1440" w:type="dxa"/>
            <w:vAlign w:val="bottom"/>
          </w:tcPr>
          <w:p w14:paraId="38024E10" w14:textId="0D5CBAC6" w:rsidR="008D67E1" w:rsidRPr="00F5795D" w:rsidRDefault="008D67E1" w:rsidP="008D67E1">
            <w:pPr>
              <w:keepNext/>
              <w:tabs>
                <w:tab w:val="left" w:pos="8370"/>
              </w:tabs>
              <w:contextualSpacing/>
              <w:jc w:val="center"/>
              <w:rPr>
                <w:sz w:val="26"/>
                <w:szCs w:val="26"/>
              </w:rPr>
            </w:pPr>
            <w:r w:rsidRPr="00F5795D">
              <w:rPr>
                <w:color w:val="000000"/>
                <w:sz w:val="26"/>
                <w:szCs w:val="26"/>
              </w:rPr>
              <w:t>-$0.98</w:t>
            </w:r>
          </w:p>
        </w:tc>
        <w:tc>
          <w:tcPr>
            <w:tcW w:w="1440" w:type="dxa"/>
            <w:vAlign w:val="bottom"/>
          </w:tcPr>
          <w:p w14:paraId="4B79A037" w14:textId="7E5BC1B3" w:rsidR="008D67E1" w:rsidRPr="00F5795D" w:rsidRDefault="008D67E1" w:rsidP="008D67E1">
            <w:pPr>
              <w:keepNext/>
              <w:tabs>
                <w:tab w:val="left" w:pos="8370"/>
              </w:tabs>
              <w:contextualSpacing/>
              <w:jc w:val="center"/>
              <w:rPr>
                <w:sz w:val="26"/>
                <w:szCs w:val="26"/>
              </w:rPr>
            </w:pPr>
            <w:r w:rsidRPr="00F5795D">
              <w:rPr>
                <w:color w:val="000000"/>
                <w:sz w:val="26"/>
                <w:szCs w:val="26"/>
              </w:rPr>
              <w:t>-$1.36</w:t>
            </w:r>
          </w:p>
        </w:tc>
        <w:tc>
          <w:tcPr>
            <w:tcW w:w="1302" w:type="dxa"/>
            <w:vAlign w:val="bottom"/>
          </w:tcPr>
          <w:p w14:paraId="1404471C" w14:textId="5105A02F" w:rsidR="008D67E1" w:rsidRPr="00F5795D" w:rsidRDefault="008D67E1" w:rsidP="008D67E1">
            <w:pPr>
              <w:keepNext/>
              <w:tabs>
                <w:tab w:val="left" w:pos="8370"/>
              </w:tabs>
              <w:contextualSpacing/>
              <w:jc w:val="center"/>
              <w:rPr>
                <w:sz w:val="26"/>
                <w:szCs w:val="26"/>
              </w:rPr>
            </w:pPr>
            <w:r w:rsidRPr="00F5795D">
              <w:rPr>
                <w:color w:val="000000"/>
                <w:sz w:val="26"/>
                <w:szCs w:val="26"/>
              </w:rPr>
              <w:t>-$1.27</w:t>
            </w:r>
          </w:p>
        </w:tc>
      </w:tr>
      <w:tr w:rsidR="008D67E1" w:rsidRPr="00450A32" w14:paraId="5524C6AE" w14:textId="77777777" w:rsidTr="005F5A13">
        <w:trPr>
          <w:jc w:val="center"/>
        </w:trPr>
        <w:tc>
          <w:tcPr>
            <w:tcW w:w="2155" w:type="dxa"/>
            <w:vAlign w:val="center"/>
          </w:tcPr>
          <w:p w14:paraId="4A24CC74" w14:textId="77777777" w:rsidR="008D67E1" w:rsidRPr="00450A32" w:rsidRDefault="008D67E1" w:rsidP="008D67E1">
            <w:pPr>
              <w:keepNext/>
              <w:tabs>
                <w:tab w:val="left" w:pos="8370"/>
              </w:tabs>
              <w:contextualSpacing/>
              <w:rPr>
                <w:b/>
                <w:bCs/>
                <w:sz w:val="26"/>
                <w:szCs w:val="26"/>
              </w:rPr>
            </w:pPr>
            <w:r w:rsidRPr="00450A32">
              <w:rPr>
                <w:b/>
                <w:bCs/>
                <w:sz w:val="26"/>
                <w:szCs w:val="26"/>
              </w:rPr>
              <w:t>Penn Power</w:t>
            </w:r>
          </w:p>
        </w:tc>
        <w:tc>
          <w:tcPr>
            <w:tcW w:w="1218" w:type="dxa"/>
            <w:vAlign w:val="bottom"/>
          </w:tcPr>
          <w:p w14:paraId="00C44C13" w14:textId="07FD8B81" w:rsidR="008D67E1" w:rsidRPr="00F5795D" w:rsidRDefault="008D67E1" w:rsidP="008D67E1">
            <w:pPr>
              <w:keepNext/>
              <w:tabs>
                <w:tab w:val="left" w:pos="8370"/>
              </w:tabs>
              <w:contextualSpacing/>
              <w:jc w:val="center"/>
              <w:rPr>
                <w:sz w:val="26"/>
                <w:szCs w:val="26"/>
              </w:rPr>
            </w:pPr>
            <w:r w:rsidRPr="00F5795D">
              <w:rPr>
                <w:color w:val="000000"/>
                <w:sz w:val="26"/>
                <w:szCs w:val="26"/>
              </w:rPr>
              <w:t>-$0.36</w:t>
            </w:r>
          </w:p>
        </w:tc>
        <w:tc>
          <w:tcPr>
            <w:tcW w:w="1440" w:type="dxa"/>
            <w:vAlign w:val="bottom"/>
          </w:tcPr>
          <w:p w14:paraId="05A7156D" w14:textId="633EB386" w:rsidR="008D67E1" w:rsidRPr="00F5795D" w:rsidRDefault="008D67E1" w:rsidP="008D67E1">
            <w:pPr>
              <w:keepNext/>
              <w:tabs>
                <w:tab w:val="left" w:pos="8370"/>
              </w:tabs>
              <w:contextualSpacing/>
              <w:jc w:val="center"/>
              <w:rPr>
                <w:sz w:val="26"/>
                <w:szCs w:val="26"/>
              </w:rPr>
            </w:pPr>
            <w:r w:rsidRPr="00F5795D">
              <w:rPr>
                <w:color w:val="000000"/>
                <w:sz w:val="26"/>
                <w:szCs w:val="26"/>
              </w:rPr>
              <w:t>-$0.35</w:t>
            </w:r>
          </w:p>
        </w:tc>
        <w:tc>
          <w:tcPr>
            <w:tcW w:w="1530" w:type="dxa"/>
            <w:vAlign w:val="bottom"/>
          </w:tcPr>
          <w:p w14:paraId="75EDA3A1" w14:textId="1F2B45B4" w:rsidR="008D67E1" w:rsidRPr="00F5795D" w:rsidRDefault="008D67E1" w:rsidP="008D67E1">
            <w:pPr>
              <w:keepNext/>
              <w:tabs>
                <w:tab w:val="left" w:pos="8370"/>
              </w:tabs>
              <w:contextualSpacing/>
              <w:jc w:val="center"/>
              <w:rPr>
                <w:sz w:val="26"/>
                <w:szCs w:val="26"/>
              </w:rPr>
            </w:pPr>
            <w:r w:rsidRPr="00F5795D">
              <w:rPr>
                <w:color w:val="000000"/>
                <w:sz w:val="26"/>
                <w:szCs w:val="26"/>
              </w:rPr>
              <w:t>-$0.41</w:t>
            </w:r>
          </w:p>
        </w:tc>
        <w:tc>
          <w:tcPr>
            <w:tcW w:w="1440" w:type="dxa"/>
            <w:vAlign w:val="bottom"/>
          </w:tcPr>
          <w:p w14:paraId="38AB4332" w14:textId="43E6E9DA" w:rsidR="008D67E1" w:rsidRPr="00F5795D" w:rsidRDefault="008D67E1" w:rsidP="008D67E1">
            <w:pPr>
              <w:keepNext/>
              <w:tabs>
                <w:tab w:val="left" w:pos="8370"/>
              </w:tabs>
              <w:contextualSpacing/>
              <w:jc w:val="center"/>
              <w:rPr>
                <w:sz w:val="26"/>
                <w:szCs w:val="26"/>
              </w:rPr>
            </w:pPr>
            <w:r w:rsidRPr="00F5795D">
              <w:rPr>
                <w:color w:val="000000"/>
                <w:sz w:val="26"/>
                <w:szCs w:val="26"/>
              </w:rPr>
              <w:t>-$0.53</w:t>
            </w:r>
          </w:p>
        </w:tc>
        <w:tc>
          <w:tcPr>
            <w:tcW w:w="1440" w:type="dxa"/>
            <w:vAlign w:val="bottom"/>
          </w:tcPr>
          <w:p w14:paraId="1D3D9861" w14:textId="5E8D6298" w:rsidR="008D67E1" w:rsidRPr="00F5795D" w:rsidRDefault="008D67E1" w:rsidP="008D67E1">
            <w:pPr>
              <w:keepNext/>
              <w:tabs>
                <w:tab w:val="left" w:pos="8370"/>
              </w:tabs>
              <w:contextualSpacing/>
              <w:jc w:val="center"/>
              <w:rPr>
                <w:sz w:val="26"/>
                <w:szCs w:val="26"/>
              </w:rPr>
            </w:pPr>
            <w:r w:rsidRPr="00F5795D">
              <w:rPr>
                <w:color w:val="000000"/>
                <w:sz w:val="26"/>
                <w:szCs w:val="26"/>
              </w:rPr>
              <w:t>-$0.82</w:t>
            </w:r>
          </w:p>
        </w:tc>
        <w:tc>
          <w:tcPr>
            <w:tcW w:w="1302" w:type="dxa"/>
            <w:vAlign w:val="bottom"/>
          </w:tcPr>
          <w:p w14:paraId="5F0B7217" w14:textId="7F8725FE" w:rsidR="008D67E1" w:rsidRPr="00F5795D" w:rsidRDefault="008D67E1" w:rsidP="008D67E1">
            <w:pPr>
              <w:keepNext/>
              <w:tabs>
                <w:tab w:val="left" w:pos="8370"/>
              </w:tabs>
              <w:contextualSpacing/>
              <w:jc w:val="center"/>
              <w:rPr>
                <w:sz w:val="26"/>
                <w:szCs w:val="26"/>
              </w:rPr>
            </w:pPr>
            <w:r w:rsidRPr="00F5795D">
              <w:rPr>
                <w:color w:val="000000"/>
                <w:sz w:val="26"/>
                <w:szCs w:val="26"/>
              </w:rPr>
              <w:t>-$0.97</w:t>
            </w:r>
          </w:p>
        </w:tc>
      </w:tr>
      <w:tr w:rsidR="008D67E1" w:rsidRPr="00450A32" w14:paraId="181A1FAC" w14:textId="77777777" w:rsidTr="005F5A13">
        <w:trPr>
          <w:jc w:val="center"/>
        </w:trPr>
        <w:tc>
          <w:tcPr>
            <w:tcW w:w="2155" w:type="dxa"/>
            <w:vAlign w:val="center"/>
          </w:tcPr>
          <w:p w14:paraId="7EE6D161" w14:textId="77777777" w:rsidR="008D67E1" w:rsidRPr="00450A32" w:rsidRDefault="008D67E1" w:rsidP="008D67E1">
            <w:pPr>
              <w:keepNext/>
              <w:tabs>
                <w:tab w:val="left" w:pos="8370"/>
              </w:tabs>
              <w:contextualSpacing/>
              <w:rPr>
                <w:b/>
                <w:bCs/>
                <w:sz w:val="26"/>
                <w:szCs w:val="26"/>
              </w:rPr>
            </w:pPr>
            <w:r w:rsidRPr="00450A32">
              <w:rPr>
                <w:b/>
                <w:bCs/>
                <w:sz w:val="26"/>
                <w:szCs w:val="26"/>
              </w:rPr>
              <w:t>PPL</w:t>
            </w:r>
          </w:p>
        </w:tc>
        <w:tc>
          <w:tcPr>
            <w:tcW w:w="1218" w:type="dxa"/>
            <w:vAlign w:val="bottom"/>
          </w:tcPr>
          <w:p w14:paraId="77FB8413" w14:textId="152263EE" w:rsidR="008D67E1" w:rsidRPr="00F5795D" w:rsidRDefault="008D67E1" w:rsidP="008D67E1">
            <w:pPr>
              <w:keepNext/>
              <w:tabs>
                <w:tab w:val="left" w:pos="8370"/>
              </w:tabs>
              <w:contextualSpacing/>
              <w:jc w:val="center"/>
              <w:rPr>
                <w:sz w:val="26"/>
                <w:szCs w:val="26"/>
              </w:rPr>
            </w:pPr>
            <w:r w:rsidRPr="00F5795D">
              <w:rPr>
                <w:color w:val="000000"/>
                <w:sz w:val="26"/>
                <w:szCs w:val="26"/>
              </w:rPr>
              <w:t>$0.43</w:t>
            </w:r>
          </w:p>
        </w:tc>
        <w:tc>
          <w:tcPr>
            <w:tcW w:w="1440" w:type="dxa"/>
            <w:vAlign w:val="bottom"/>
          </w:tcPr>
          <w:p w14:paraId="0706C744" w14:textId="0339BAC2" w:rsidR="008D67E1" w:rsidRPr="00F5795D" w:rsidRDefault="008D67E1" w:rsidP="008D67E1">
            <w:pPr>
              <w:keepNext/>
              <w:tabs>
                <w:tab w:val="left" w:pos="8370"/>
              </w:tabs>
              <w:contextualSpacing/>
              <w:jc w:val="center"/>
              <w:rPr>
                <w:sz w:val="26"/>
                <w:szCs w:val="26"/>
              </w:rPr>
            </w:pPr>
            <w:r w:rsidRPr="00F5795D">
              <w:rPr>
                <w:color w:val="000000"/>
                <w:sz w:val="26"/>
                <w:szCs w:val="26"/>
              </w:rPr>
              <w:t>$0.53</w:t>
            </w:r>
          </w:p>
        </w:tc>
        <w:tc>
          <w:tcPr>
            <w:tcW w:w="1530" w:type="dxa"/>
            <w:vAlign w:val="bottom"/>
          </w:tcPr>
          <w:p w14:paraId="2A1720A5" w14:textId="18F640AE" w:rsidR="008D67E1" w:rsidRPr="00F5795D" w:rsidRDefault="008D67E1" w:rsidP="008D67E1">
            <w:pPr>
              <w:keepNext/>
              <w:tabs>
                <w:tab w:val="left" w:pos="8370"/>
              </w:tabs>
              <w:contextualSpacing/>
              <w:jc w:val="center"/>
              <w:rPr>
                <w:sz w:val="26"/>
                <w:szCs w:val="26"/>
              </w:rPr>
            </w:pPr>
            <w:r w:rsidRPr="00F5795D">
              <w:rPr>
                <w:color w:val="000000"/>
                <w:sz w:val="26"/>
                <w:szCs w:val="26"/>
              </w:rPr>
              <w:t>$0.24</w:t>
            </w:r>
          </w:p>
        </w:tc>
        <w:tc>
          <w:tcPr>
            <w:tcW w:w="1440" w:type="dxa"/>
            <w:vAlign w:val="bottom"/>
          </w:tcPr>
          <w:p w14:paraId="544C2279" w14:textId="6269E664" w:rsidR="008D67E1" w:rsidRPr="00F5795D" w:rsidRDefault="008D67E1" w:rsidP="008D67E1">
            <w:pPr>
              <w:keepNext/>
              <w:tabs>
                <w:tab w:val="left" w:pos="8370"/>
              </w:tabs>
              <w:contextualSpacing/>
              <w:jc w:val="center"/>
              <w:rPr>
                <w:sz w:val="26"/>
                <w:szCs w:val="26"/>
              </w:rPr>
            </w:pPr>
            <w:r w:rsidRPr="00F5795D">
              <w:rPr>
                <w:color w:val="000000"/>
                <w:sz w:val="26"/>
                <w:szCs w:val="26"/>
              </w:rPr>
              <w:t>-$0.30</w:t>
            </w:r>
          </w:p>
        </w:tc>
        <w:tc>
          <w:tcPr>
            <w:tcW w:w="1440" w:type="dxa"/>
            <w:vAlign w:val="bottom"/>
          </w:tcPr>
          <w:p w14:paraId="07D34F35" w14:textId="2423F494" w:rsidR="008D67E1" w:rsidRPr="00F5795D" w:rsidRDefault="008D67E1" w:rsidP="008D67E1">
            <w:pPr>
              <w:keepNext/>
              <w:tabs>
                <w:tab w:val="left" w:pos="8370"/>
              </w:tabs>
              <w:contextualSpacing/>
              <w:jc w:val="center"/>
              <w:rPr>
                <w:sz w:val="26"/>
                <w:szCs w:val="26"/>
              </w:rPr>
            </w:pPr>
            <w:r w:rsidRPr="00F5795D">
              <w:rPr>
                <w:color w:val="000000"/>
                <w:sz w:val="26"/>
                <w:szCs w:val="26"/>
              </w:rPr>
              <w:t>-$0.28</w:t>
            </w:r>
          </w:p>
        </w:tc>
        <w:tc>
          <w:tcPr>
            <w:tcW w:w="1302" w:type="dxa"/>
            <w:vAlign w:val="bottom"/>
          </w:tcPr>
          <w:p w14:paraId="50925029" w14:textId="1FBC5CB3" w:rsidR="008D67E1" w:rsidRPr="00F5795D" w:rsidRDefault="008D67E1" w:rsidP="008D67E1">
            <w:pPr>
              <w:keepNext/>
              <w:tabs>
                <w:tab w:val="left" w:pos="8370"/>
              </w:tabs>
              <w:contextualSpacing/>
              <w:jc w:val="center"/>
              <w:rPr>
                <w:sz w:val="26"/>
                <w:szCs w:val="26"/>
              </w:rPr>
            </w:pPr>
            <w:r w:rsidRPr="00F5795D">
              <w:rPr>
                <w:color w:val="000000"/>
                <w:sz w:val="26"/>
                <w:szCs w:val="26"/>
              </w:rPr>
              <w:t>-$0.26</w:t>
            </w:r>
          </w:p>
        </w:tc>
      </w:tr>
      <w:tr w:rsidR="008D67E1" w:rsidRPr="00450A32" w14:paraId="783E66D6" w14:textId="77777777" w:rsidTr="005F5A13">
        <w:trPr>
          <w:jc w:val="center"/>
        </w:trPr>
        <w:tc>
          <w:tcPr>
            <w:tcW w:w="2155" w:type="dxa"/>
            <w:vAlign w:val="center"/>
          </w:tcPr>
          <w:p w14:paraId="3D3DB6BE" w14:textId="77777777" w:rsidR="008D67E1" w:rsidRPr="00450A32" w:rsidRDefault="008D67E1" w:rsidP="008D67E1">
            <w:pPr>
              <w:tabs>
                <w:tab w:val="left" w:pos="8370"/>
              </w:tabs>
              <w:contextualSpacing/>
              <w:rPr>
                <w:b/>
                <w:bCs/>
                <w:sz w:val="26"/>
                <w:szCs w:val="26"/>
              </w:rPr>
            </w:pPr>
            <w:r w:rsidRPr="00450A32">
              <w:rPr>
                <w:b/>
                <w:bCs/>
                <w:sz w:val="26"/>
                <w:szCs w:val="26"/>
              </w:rPr>
              <w:t>WPP</w:t>
            </w:r>
          </w:p>
        </w:tc>
        <w:tc>
          <w:tcPr>
            <w:tcW w:w="1218" w:type="dxa"/>
            <w:vAlign w:val="bottom"/>
          </w:tcPr>
          <w:p w14:paraId="039865C7" w14:textId="793DC1D8" w:rsidR="008D67E1" w:rsidRPr="00F5795D" w:rsidRDefault="008D67E1" w:rsidP="008D67E1">
            <w:pPr>
              <w:tabs>
                <w:tab w:val="left" w:pos="8370"/>
              </w:tabs>
              <w:contextualSpacing/>
              <w:jc w:val="center"/>
              <w:rPr>
                <w:sz w:val="26"/>
                <w:szCs w:val="26"/>
              </w:rPr>
            </w:pPr>
            <w:r w:rsidRPr="00F5795D">
              <w:rPr>
                <w:color w:val="000000"/>
                <w:sz w:val="26"/>
                <w:szCs w:val="26"/>
              </w:rPr>
              <w:t>-$1.02</w:t>
            </w:r>
          </w:p>
        </w:tc>
        <w:tc>
          <w:tcPr>
            <w:tcW w:w="1440" w:type="dxa"/>
            <w:vAlign w:val="bottom"/>
          </w:tcPr>
          <w:p w14:paraId="0885331A" w14:textId="7FC2D977" w:rsidR="008D67E1" w:rsidRPr="00F5795D" w:rsidRDefault="008D67E1" w:rsidP="008D67E1">
            <w:pPr>
              <w:tabs>
                <w:tab w:val="left" w:pos="8370"/>
              </w:tabs>
              <w:contextualSpacing/>
              <w:jc w:val="center"/>
              <w:rPr>
                <w:sz w:val="26"/>
                <w:szCs w:val="26"/>
              </w:rPr>
            </w:pPr>
            <w:r w:rsidRPr="00F5795D">
              <w:rPr>
                <w:color w:val="000000"/>
                <w:sz w:val="26"/>
                <w:szCs w:val="26"/>
              </w:rPr>
              <w:t>-$0.41</w:t>
            </w:r>
          </w:p>
        </w:tc>
        <w:tc>
          <w:tcPr>
            <w:tcW w:w="1530" w:type="dxa"/>
            <w:vAlign w:val="bottom"/>
          </w:tcPr>
          <w:p w14:paraId="79061B92" w14:textId="194E5F97" w:rsidR="008D67E1" w:rsidRPr="00F5795D" w:rsidRDefault="008D67E1" w:rsidP="008D67E1">
            <w:pPr>
              <w:tabs>
                <w:tab w:val="left" w:pos="8370"/>
              </w:tabs>
              <w:contextualSpacing/>
              <w:jc w:val="center"/>
              <w:rPr>
                <w:sz w:val="26"/>
                <w:szCs w:val="26"/>
              </w:rPr>
            </w:pPr>
            <w:r w:rsidRPr="00F5795D">
              <w:rPr>
                <w:color w:val="000000"/>
                <w:sz w:val="26"/>
                <w:szCs w:val="26"/>
              </w:rPr>
              <w:t>-$0.47</w:t>
            </w:r>
          </w:p>
        </w:tc>
        <w:tc>
          <w:tcPr>
            <w:tcW w:w="1440" w:type="dxa"/>
            <w:vAlign w:val="bottom"/>
          </w:tcPr>
          <w:p w14:paraId="7A5CB9E7" w14:textId="52321C9E" w:rsidR="008D67E1" w:rsidRPr="00F5795D" w:rsidRDefault="008D67E1" w:rsidP="008D67E1">
            <w:pPr>
              <w:tabs>
                <w:tab w:val="left" w:pos="8370"/>
              </w:tabs>
              <w:contextualSpacing/>
              <w:jc w:val="center"/>
              <w:rPr>
                <w:sz w:val="26"/>
                <w:szCs w:val="26"/>
              </w:rPr>
            </w:pPr>
            <w:r w:rsidRPr="00F5795D">
              <w:rPr>
                <w:color w:val="000000"/>
                <w:sz w:val="26"/>
                <w:szCs w:val="26"/>
              </w:rPr>
              <w:t>-$0.66</w:t>
            </w:r>
          </w:p>
        </w:tc>
        <w:tc>
          <w:tcPr>
            <w:tcW w:w="1440" w:type="dxa"/>
            <w:vAlign w:val="bottom"/>
          </w:tcPr>
          <w:p w14:paraId="5254DB83" w14:textId="50D8EC47" w:rsidR="008D67E1" w:rsidRPr="00F5795D" w:rsidRDefault="008D67E1" w:rsidP="008D67E1">
            <w:pPr>
              <w:tabs>
                <w:tab w:val="left" w:pos="8370"/>
              </w:tabs>
              <w:contextualSpacing/>
              <w:jc w:val="center"/>
              <w:rPr>
                <w:sz w:val="26"/>
                <w:szCs w:val="26"/>
              </w:rPr>
            </w:pPr>
            <w:r w:rsidRPr="00F5795D">
              <w:rPr>
                <w:color w:val="000000"/>
                <w:sz w:val="26"/>
                <w:szCs w:val="26"/>
              </w:rPr>
              <w:t>-$0.86</w:t>
            </w:r>
          </w:p>
        </w:tc>
        <w:tc>
          <w:tcPr>
            <w:tcW w:w="1302" w:type="dxa"/>
            <w:vAlign w:val="bottom"/>
          </w:tcPr>
          <w:p w14:paraId="1C760F87" w14:textId="25277DBF" w:rsidR="008D67E1" w:rsidRPr="00F5795D" w:rsidRDefault="008D67E1" w:rsidP="008D67E1">
            <w:pPr>
              <w:tabs>
                <w:tab w:val="left" w:pos="8370"/>
              </w:tabs>
              <w:contextualSpacing/>
              <w:jc w:val="center"/>
              <w:rPr>
                <w:sz w:val="26"/>
                <w:szCs w:val="26"/>
              </w:rPr>
            </w:pPr>
            <w:r w:rsidRPr="00F5795D">
              <w:rPr>
                <w:color w:val="000000"/>
                <w:sz w:val="26"/>
                <w:szCs w:val="26"/>
              </w:rPr>
              <w:t>-$1.12</w:t>
            </w:r>
          </w:p>
        </w:tc>
      </w:tr>
    </w:tbl>
    <w:p w14:paraId="0CFC13CF" w14:textId="157C87EE" w:rsidR="00450A32" w:rsidRDefault="008E5152" w:rsidP="00856D82">
      <w:pPr>
        <w:spacing w:after="0"/>
        <w:contextualSpacing/>
        <w:rPr>
          <w:rFonts w:ascii="Times New Roman" w:hAnsi="Times New Roman" w:cs="Times New Roman"/>
        </w:rPr>
      </w:pPr>
      <w:r w:rsidRPr="00457872">
        <w:rPr>
          <w:rFonts w:ascii="Times New Roman" w:hAnsi="Times New Roman" w:cs="Times New Roman"/>
        </w:rPr>
        <w:t xml:space="preserve">*Duquesne recovers </w:t>
      </w:r>
      <w:r w:rsidR="007B2B39">
        <w:rPr>
          <w:rFonts w:ascii="Times New Roman" w:hAnsi="Times New Roman" w:cs="Times New Roman"/>
        </w:rPr>
        <w:t>CAP</w:t>
      </w:r>
      <w:r w:rsidRPr="00457872">
        <w:rPr>
          <w:rFonts w:ascii="Times New Roman" w:hAnsi="Times New Roman" w:cs="Times New Roman"/>
        </w:rPr>
        <w:t xml:space="preserve"> costs only from non-CAP residential customers.</w:t>
      </w:r>
    </w:p>
    <w:p w14:paraId="71213D13" w14:textId="77777777" w:rsidR="00133B59" w:rsidRPr="00133B59" w:rsidRDefault="00133B59" w:rsidP="00133B59">
      <w:pPr>
        <w:spacing w:after="0"/>
        <w:contextualSpacing/>
        <w:rPr>
          <w:rFonts w:ascii="Times New Roman" w:hAnsi="Times New Roman" w:cs="Times New Roman"/>
          <w:sz w:val="26"/>
          <w:szCs w:val="26"/>
        </w:rPr>
      </w:pPr>
    </w:p>
    <w:p w14:paraId="3D90AD9D" w14:textId="77777777" w:rsidR="00450A32" w:rsidRPr="00FF1294" w:rsidRDefault="00450A32" w:rsidP="00BB4665">
      <w:pPr>
        <w:keepNext/>
        <w:spacing w:line="240" w:lineRule="auto"/>
        <w:contextualSpacing/>
        <w:jc w:val="center"/>
        <w:rPr>
          <w:rFonts w:ascii="Times New Roman" w:hAnsi="Times New Roman" w:cs="Times New Roman"/>
          <w:b/>
          <w:bCs/>
          <w:sz w:val="26"/>
          <w:szCs w:val="26"/>
        </w:rPr>
      </w:pPr>
      <w:r w:rsidRPr="00FF1294">
        <w:rPr>
          <w:rFonts w:ascii="Times New Roman" w:hAnsi="Times New Roman" w:cs="Times New Roman"/>
          <w:b/>
          <w:bCs/>
          <w:sz w:val="26"/>
          <w:szCs w:val="26"/>
        </w:rPr>
        <w:t>Table 5</w:t>
      </w:r>
    </w:p>
    <w:p w14:paraId="72612976" w14:textId="77777777" w:rsidR="00450A32" w:rsidRPr="00FF1294" w:rsidRDefault="00450A32" w:rsidP="00BB4665">
      <w:pPr>
        <w:keepNext/>
        <w:spacing w:line="240" w:lineRule="auto"/>
        <w:contextualSpacing/>
        <w:jc w:val="center"/>
        <w:rPr>
          <w:rFonts w:ascii="Times New Roman" w:hAnsi="Times New Roman" w:cs="Times New Roman"/>
          <w:b/>
          <w:bCs/>
          <w:sz w:val="26"/>
          <w:szCs w:val="26"/>
        </w:rPr>
      </w:pPr>
      <w:r w:rsidRPr="00FF1294">
        <w:rPr>
          <w:rFonts w:ascii="Times New Roman" w:hAnsi="Times New Roman" w:cs="Times New Roman"/>
          <w:b/>
          <w:bCs/>
          <w:sz w:val="26"/>
          <w:szCs w:val="26"/>
        </w:rPr>
        <w:t>Charging 6% of Household Income or Average Bill</w:t>
      </w:r>
    </w:p>
    <w:p w14:paraId="1480945F" w14:textId="77777777" w:rsidR="00450A32" w:rsidRPr="00FF1294" w:rsidRDefault="00450A32" w:rsidP="00BB4665">
      <w:pPr>
        <w:keepNext/>
        <w:spacing w:line="240" w:lineRule="auto"/>
        <w:contextualSpacing/>
        <w:jc w:val="center"/>
        <w:rPr>
          <w:rFonts w:ascii="Times New Roman" w:hAnsi="Times New Roman" w:cs="Times New Roman"/>
          <w:sz w:val="26"/>
          <w:szCs w:val="26"/>
        </w:rPr>
      </w:pPr>
      <w:r w:rsidRPr="00FF1294">
        <w:rPr>
          <w:rFonts w:ascii="Times New Roman" w:hAnsi="Times New Roman" w:cs="Times New Roman"/>
          <w:b/>
          <w:bCs/>
          <w:sz w:val="26"/>
          <w:szCs w:val="26"/>
        </w:rPr>
        <w:t>Estimated Increase/Decrease on Monthly NGDC Ratepayer Bills 2016-2021</w:t>
      </w:r>
    </w:p>
    <w:tbl>
      <w:tblPr>
        <w:tblStyle w:val="TableGrid"/>
        <w:tblW w:w="10525" w:type="dxa"/>
        <w:jc w:val="center"/>
        <w:tblLook w:val="04A0" w:firstRow="1" w:lastRow="0" w:firstColumn="1" w:lastColumn="0" w:noHBand="0" w:noVBand="1"/>
      </w:tblPr>
      <w:tblGrid>
        <w:gridCol w:w="2023"/>
        <w:gridCol w:w="1350"/>
        <w:gridCol w:w="1440"/>
        <w:gridCol w:w="1530"/>
        <w:gridCol w:w="1440"/>
        <w:gridCol w:w="1440"/>
        <w:gridCol w:w="1302"/>
      </w:tblGrid>
      <w:tr w:rsidR="00450A32" w:rsidRPr="00450A32" w14:paraId="12E2C1C1" w14:textId="77777777" w:rsidTr="00B75CC9">
        <w:trPr>
          <w:jc w:val="center"/>
        </w:trPr>
        <w:tc>
          <w:tcPr>
            <w:tcW w:w="2023" w:type="dxa"/>
          </w:tcPr>
          <w:p w14:paraId="23C8C7C5" w14:textId="77777777" w:rsidR="00450A32" w:rsidRPr="00450A32" w:rsidRDefault="00450A32" w:rsidP="00B75CC9">
            <w:pPr>
              <w:keepNext/>
              <w:contextualSpacing/>
              <w:rPr>
                <w:b/>
                <w:bCs/>
                <w:sz w:val="26"/>
                <w:szCs w:val="26"/>
              </w:rPr>
            </w:pPr>
          </w:p>
        </w:tc>
        <w:tc>
          <w:tcPr>
            <w:tcW w:w="1350" w:type="dxa"/>
            <w:vAlign w:val="center"/>
          </w:tcPr>
          <w:p w14:paraId="68A4A070" w14:textId="77777777" w:rsidR="00450A32" w:rsidRPr="00450A32" w:rsidRDefault="00450A32" w:rsidP="00B75CC9">
            <w:pPr>
              <w:keepNext/>
              <w:contextualSpacing/>
              <w:jc w:val="center"/>
              <w:rPr>
                <w:b/>
                <w:bCs/>
                <w:sz w:val="26"/>
                <w:szCs w:val="26"/>
              </w:rPr>
            </w:pPr>
            <w:r w:rsidRPr="00450A32">
              <w:rPr>
                <w:b/>
                <w:bCs/>
                <w:sz w:val="26"/>
                <w:szCs w:val="26"/>
              </w:rPr>
              <w:t>2016</w:t>
            </w:r>
          </w:p>
        </w:tc>
        <w:tc>
          <w:tcPr>
            <w:tcW w:w="1440" w:type="dxa"/>
            <w:vAlign w:val="center"/>
          </w:tcPr>
          <w:p w14:paraId="0EABDAA8" w14:textId="77777777" w:rsidR="00450A32" w:rsidRPr="008E1728" w:rsidRDefault="00450A32" w:rsidP="00B75CC9">
            <w:pPr>
              <w:keepNext/>
              <w:contextualSpacing/>
              <w:jc w:val="center"/>
              <w:rPr>
                <w:b/>
                <w:bCs/>
                <w:sz w:val="26"/>
                <w:szCs w:val="26"/>
              </w:rPr>
            </w:pPr>
            <w:r w:rsidRPr="008E1728">
              <w:rPr>
                <w:b/>
                <w:bCs/>
                <w:sz w:val="26"/>
                <w:szCs w:val="26"/>
              </w:rPr>
              <w:t>2017</w:t>
            </w:r>
          </w:p>
        </w:tc>
        <w:tc>
          <w:tcPr>
            <w:tcW w:w="1530" w:type="dxa"/>
            <w:vAlign w:val="center"/>
          </w:tcPr>
          <w:p w14:paraId="71F01D12" w14:textId="77777777" w:rsidR="00450A32" w:rsidRPr="008E1728" w:rsidRDefault="00450A32" w:rsidP="00B75CC9">
            <w:pPr>
              <w:keepNext/>
              <w:contextualSpacing/>
              <w:jc w:val="center"/>
              <w:rPr>
                <w:b/>
                <w:bCs/>
                <w:sz w:val="26"/>
                <w:szCs w:val="26"/>
              </w:rPr>
            </w:pPr>
            <w:r w:rsidRPr="008E1728">
              <w:rPr>
                <w:b/>
                <w:bCs/>
                <w:sz w:val="26"/>
                <w:szCs w:val="26"/>
              </w:rPr>
              <w:t>2018</w:t>
            </w:r>
          </w:p>
        </w:tc>
        <w:tc>
          <w:tcPr>
            <w:tcW w:w="1440" w:type="dxa"/>
            <w:vAlign w:val="center"/>
          </w:tcPr>
          <w:p w14:paraId="239824AA" w14:textId="77777777" w:rsidR="00450A32" w:rsidRPr="008E1728" w:rsidRDefault="00450A32" w:rsidP="00B75CC9">
            <w:pPr>
              <w:keepNext/>
              <w:contextualSpacing/>
              <w:jc w:val="center"/>
              <w:rPr>
                <w:b/>
                <w:bCs/>
                <w:sz w:val="26"/>
                <w:szCs w:val="26"/>
              </w:rPr>
            </w:pPr>
            <w:r w:rsidRPr="008E1728">
              <w:rPr>
                <w:b/>
                <w:bCs/>
                <w:sz w:val="26"/>
                <w:szCs w:val="26"/>
              </w:rPr>
              <w:t>2019</w:t>
            </w:r>
          </w:p>
        </w:tc>
        <w:tc>
          <w:tcPr>
            <w:tcW w:w="1440" w:type="dxa"/>
            <w:vAlign w:val="center"/>
          </w:tcPr>
          <w:p w14:paraId="1EC3619B" w14:textId="77777777" w:rsidR="00450A32" w:rsidRPr="008E1728" w:rsidRDefault="00450A32" w:rsidP="00B75CC9">
            <w:pPr>
              <w:keepNext/>
              <w:contextualSpacing/>
              <w:jc w:val="center"/>
              <w:rPr>
                <w:b/>
                <w:bCs/>
                <w:sz w:val="26"/>
                <w:szCs w:val="26"/>
              </w:rPr>
            </w:pPr>
            <w:r w:rsidRPr="008E1728">
              <w:rPr>
                <w:b/>
                <w:bCs/>
                <w:sz w:val="26"/>
                <w:szCs w:val="26"/>
              </w:rPr>
              <w:t>2020</w:t>
            </w:r>
          </w:p>
        </w:tc>
        <w:tc>
          <w:tcPr>
            <w:tcW w:w="1302" w:type="dxa"/>
            <w:vAlign w:val="center"/>
          </w:tcPr>
          <w:p w14:paraId="4884349A" w14:textId="77777777" w:rsidR="00450A32" w:rsidRPr="008E1728" w:rsidRDefault="00450A32" w:rsidP="00B75CC9">
            <w:pPr>
              <w:keepNext/>
              <w:contextualSpacing/>
              <w:jc w:val="center"/>
              <w:rPr>
                <w:b/>
                <w:bCs/>
                <w:sz w:val="26"/>
                <w:szCs w:val="26"/>
              </w:rPr>
            </w:pPr>
            <w:r w:rsidRPr="008E1728">
              <w:rPr>
                <w:b/>
                <w:bCs/>
                <w:sz w:val="26"/>
                <w:szCs w:val="26"/>
              </w:rPr>
              <w:t>2021</w:t>
            </w:r>
          </w:p>
        </w:tc>
      </w:tr>
      <w:tr w:rsidR="00450A32" w:rsidRPr="00450A32" w14:paraId="1B37834E" w14:textId="77777777" w:rsidTr="00B75CC9">
        <w:trPr>
          <w:jc w:val="center"/>
        </w:trPr>
        <w:tc>
          <w:tcPr>
            <w:tcW w:w="2023" w:type="dxa"/>
            <w:vAlign w:val="bottom"/>
          </w:tcPr>
          <w:p w14:paraId="202FB95F" w14:textId="7CE5E867" w:rsidR="00450A32" w:rsidRPr="00450A32" w:rsidRDefault="00450A32" w:rsidP="00B75CC9">
            <w:pPr>
              <w:keepNext/>
              <w:contextualSpacing/>
              <w:rPr>
                <w:b/>
                <w:bCs/>
                <w:sz w:val="26"/>
                <w:szCs w:val="26"/>
              </w:rPr>
            </w:pPr>
            <w:r w:rsidRPr="00450A32">
              <w:rPr>
                <w:b/>
                <w:bCs/>
                <w:color w:val="000000"/>
                <w:sz w:val="26"/>
                <w:szCs w:val="26"/>
              </w:rPr>
              <w:t>Columbia</w:t>
            </w:r>
          </w:p>
        </w:tc>
        <w:tc>
          <w:tcPr>
            <w:tcW w:w="1350" w:type="dxa"/>
            <w:vAlign w:val="bottom"/>
          </w:tcPr>
          <w:p w14:paraId="61E72416" w14:textId="77777777" w:rsidR="00450A32" w:rsidRPr="00450A32" w:rsidRDefault="00450A32" w:rsidP="00B75CC9">
            <w:pPr>
              <w:keepNext/>
              <w:contextualSpacing/>
              <w:jc w:val="center"/>
              <w:rPr>
                <w:sz w:val="26"/>
                <w:szCs w:val="26"/>
              </w:rPr>
            </w:pPr>
            <w:r w:rsidRPr="00450A32">
              <w:rPr>
                <w:color w:val="000000"/>
                <w:sz w:val="26"/>
                <w:szCs w:val="26"/>
              </w:rPr>
              <w:t>-$1.05</w:t>
            </w:r>
          </w:p>
        </w:tc>
        <w:tc>
          <w:tcPr>
            <w:tcW w:w="1440" w:type="dxa"/>
            <w:vAlign w:val="bottom"/>
          </w:tcPr>
          <w:p w14:paraId="7B605121" w14:textId="77777777" w:rsidR="00450A32" w:rsidRPr="008E1728" w:rsidRDefault="00450A32" w:rsidP="00B75CC9">
            <w:pPr>
              <w:keepNext/>
              <w:contextualSpacing/>
              <w:jc w:val="center"/>
              <w:rPr>
                <w:sz w:val="26"/>
                <w:szCs w:val="26"/>
              </w:rPr>
            </w:pPr>
            <w:r w:rsidRPr="008E1728">
              <w:rPr>
                <w:color w:val="000000"/>
                <w:sz w:val="26"/>
                <w:szCs w:val="26"/>
              </w:rPr>
              <w:t>-$1.08</w:t>
            </w:r>
          </w:p>
        </w:tc>
        <w:tc>
          <w:tcPr>
            <w:tcW w:w="1530" w:type="dxa"/>
            <w:vAlign w:val="bottom"/>
          </w:tcPr>
          <w:p w14:paraId="391569D5" w14:textId="77777777" w:rsidR="00450A32" w:rsidRPr="008E1728" w:rsidRDefault="00450A32" w:rsidP="00B75CC9">
            <w:pPr>
              <w:keepNext/>
              <w:contextualSpacing/>
              <w:jc w:val="center"/>
              <w:rPr>
                <w:sz w:val="26"/>
                <w:szCs w:val="26"/>
              </w:rPr>
            </w:pPr>
            <w:r w:rsidRPr="008E1728">
              <w:rPr>
                <w:color w:val="000000"/>
                <w:sz w:val="26"/>
                <w:szCs w:val="26"/>
              </w:rPr>
              <w:t>-$0.99</w:t>
            </w:r>
          </w:p>
        </w:tc>
        <w:tc>
          <w:tcPr>
            <w:tcW w:w="1440" w:type="dxa"/>
            <w:vAlign w:val="bottom"/>
          </w:tcPr>
          <w:p w14:paraId="0589DA30" w14:textId="77777777" w:rsidR="00450A32" w:rsidRPr="008E1728" w:rsidRDefault="00450A32" w:rsidP="00B75CC9">
            <w:pPr>
              <w:keepNext/>
              <w:contextualSpacing/>
              <w:jc w:val="center"/>
              <w:rPr>
                <w:sz w:val="26"/>
                <w:szCs w:val="26"/>
              </w:rPr>
            </w:pPr>
            <w:r w:rsidRPr="008E1728">
              <w:rPr>
                <w:color w:val="000000"/>
                <w:sz w:val="26"/>
                <w:szCs w:val="26"/>
              </w:rPr>
              <w:t>-$1.01</w:t>
            </w:r>
          </w:p>
        </w:tc>
        <w:tc>
          <w:tcPr>
            <w:tcW w:w="1440" w:type="dxa"/>
            <w:vAlign w:val="bottom"/>
          </w:tcPr>
          <w:p w14:paraId="148413B2" w14:textId="77777777" w:rsidR="00450A32" w:rsidRPr="008E1728" w:rsidRDefault="00450A32" w:rsidP="00B75CC9">
            <w:pPr>
              <w:keepNext/>
              <w:contextualSpacing/>
              <w:jc w:val="center"/>
              <w:rPr>
                <w:sz w:val="26"/>
                <w:szCs w:val="26"/>
              </w:rPr>
            </w:pPr>
            <w:r w:rsidRPr="008E1728">
              <w:rPr>
                <w:color w:val="000000"/>
                <w:sz w:val="26"/>
                <w:szCs w:val="26"/>
              </w:rPr>
              <w:t>-$0.95</w:t>
            </w:r>
          </w:p>
        </w:tc>
        <w:tc>
          <w:tcPr>
            <w:tcW w:w="1302" w:type="dxa"/>
            <w:vAlign w:val="bottom"/>
          </w:tcPr>
          <w:p w14:paraId="29F4463E" w14:textId="77777777" w:rsidR="00450A32" w:rsidRPr="008E1728" w:rsidRDefault="00450A32" w:rsidP="00B75CC9">
            <w:pPr>
              <w:keepNext/>
              <w:contextualSpacing/>
              <w:jc w:val="center"/>
              <w:rPr>
                <w:sz w:val="26"/>
                <w:szCs w:val="26"/>
              </w:rPr>
            </w:pPr>
            <w:r w:rsidRPr="008E1728">
              <w:rPr>
                <w:color w:val="000000"/>
                <w:sz w:val="26"/>
                <w:szCs w:val="26"/>
              </w:rPr>
              <w:t>-$0.98</w:t>
            </w:r>
          </w:p>
        </w:tc>
      </w:tr>
      <w:tr w:rsidR="00450A32" w:rsidRPr="00450A32" w14:paraId="73E0DB9F" w14:textId="77777777" w:rsidTr="00B75CC9">
        <w:trPr>
          <w:jc w:val="center"/>
        </w:trPr>
        <w:tc>
          <w:tcPr>
            <w:tcW w:w="2023" w:type="dxa"/>
            <w:vAlign w:val="bottom"/>
          </w:tcPr>
          <w:p w14:paraId="3BB50574" w14:textId="1B11BB85" w:rsidR="00450A32" w:rsidRPr="00450A32" w:rsidRDefault="00450A32" w:rsidP="00B75CC9">
            <w:pPr>
              <w:keepNext/>
              <w:contextualSpacing/>
              <w:rPr>
                <w:b/>
                <w:bCs/>
                <w:sz w:val="26"/>
                <w:szCs w:val="26"/>
              </w:rPr>
            </w:pPr>
            <w:r w:rsidRPr="00450A32">
              <w:rPr>
                <w:b/>
                <w:bCs/>
                <w:color w:val="000000"/>
                <w:sz w:val="26"/>
                <w:szCs w:val="26"/>
              </w:rPr>
              <w:t>NFG</w:t>
            </w:r>
          </w:p>
        </w:tc>
        <w:tc>
          <w:tcPr>
            <w:tcW w:w="1350" w:type="dxa"/>
            <w:vAlign w:val="bottom"/>
          </w:tcPr>
          <w:p w14:paraId="2A9EFCDF" w14:textId="77777777" w:rsidR="00450A32" w:rsidRPr="00450A32" w:rsidRDefault="00450A32" w:rsidP="00B75CC9">
            <w:pPr>
              <w:keepNext/>
              <w:contextualSpacing/>
              <w:jc w:val="center"/>
              <w:rPr>
                <w:sz w:val="26"/>
                <w:szCs w:val="26"/>
              </w:rPr>
            </w:pPr>
            <w:r w:rsidRPr="00450A32">
              <w:rPr>
                <w:color w:val="000000"/>
                <w:sz w:val="26"/>
                <w:szCs w:val="26"/>
              </w:rPr>
              <w:t>$0.29</w:t>
            </w:r>
          </w:p>
        </w:tc>
        <w:tc>
          <w:tcPr>
            <w:tcW w:w="1440" w:type="dxa"/>
            <w:vAlign w:val="bottom"/>
          </w:tcPr>
          <w:p w14:paraId="3057C6A9" w14:textId="77777777" w:rsidR="00450A32" w:rsidRPr="008E1728" w:rsidRDefault="00450A32" w:rsidP="00B75CC9">
            <w:pPr>
              <w:keepNext/>
              <w:contextualSpacing/>
              <w:jc w:val="center"/>
              <w:rPr>
                <w:sz w:val="26"/>
                <w:szCs w:val="26"/>
              </w:rPr>
            </w:pPr>
            <w:r w:rsidRPr="008E1728">
              <w:rPr>
                <w:color w:val="000000"/>
                <w:sz w:val="26"/>
                <w:szCs w:val="26"/>
              </w:rPr>
              <w:t>$0.28</w:t>
            </w:r>
          </w:p>
        </w:tc>
        <w:tc>
          <w:tcPr>
            <w:tcW w:w="1530" w:type="dxa"/>
            <w:vAlign w:val="bottom"/>
          </w:tcPr>
          <w:p w14:paraId="326D1E75" w14:textId="77777777" w:rsidR="00450A32" w:rsidRPr="008E1728" w:rsidRDefault="00450A32" w:rsidP="00B75CC9">
            <w:pPr>
              <w:keepNext/>
              <w:contextualSpacing/>
              <w:jc w:val="center"/>
              <w:rPr>
                <w:sz w:val="26"/>
                <w:szCs w:val="26"/>
              </w:rPr>
            </w:pPr>
            <w:r w:rsidRPr="008E1728">
              <w:rPr>
                <w:color w:val="000000"/>
                <w:sz w:val="26"/>
                <w:szCs w:val="26"/>
              </w:rPr>
              <w:t>$0.28</w:t>
            </w:r>
          </w:p>
        </w:tc>
        <w:tc>
          <w:tcPr>
            <w:tcW w:w="1440" w:type="dxa"/>
            <w:vAlign w:val="bottom"/>
          </w:tcPr>
          <w:p w14:paraId="1F3638E9" w14:textId="77777777" w:rsidR="00450A32" w:rsidRPr="008E1728" w:rsidRDefault="00450A32" w:rsidP="00B75CC9">
            <w:pPr>
              <w:keepNext/>
              <w:contextualSpacing/>
              <w:jc w:val="center"/>
              <w:rPr>
                <w:sz w:val="26"/>
                <w:szCs w:val="26"/>
              </w:rPr>
            </w:pPr>
            <w:r w:rsidRPr="008E1728">
              <w:rPr>
                <w:color w:val="000000"/>
                <w:sz w:val="26"/>
                <w:szCs w:val="26"/>
              </w:rPr>
              <w:t>$0.09</w:t>
            </w:r>
          </w:p>
        </w:tc>
        <w:tc>
          <w:tcPr>
            <w:tcW w:w="1440" w:type="dxa"/>
            <w:vAlign w:val="bottom"/>
          </w:tcPr>
          <w:p w14:paraId="7E320447" w14:textId="77777777" w:rsidR="00450A32" w:rsidRPr="008E1728" w:rsidRDefault="00450A32" w:rsidP="00B75CC9">
            <w:pPr>
              <w:keepNext/>
              <w:contextualSpacing/>
              <w:jc w:val="center"/>
              <w:rPr>
                <w:sz w:val="26"/>
                <w:szCs w:val="26"/>
              </w:rPr>
            </w:pPr>
            <w:r w:rsidRPr="008E1728">
              <w:rPr>
                <w:color w:val="000000"/>
                <w:sz w:val="26"/>
                <w:szCs w:val="26"/>
              </w:rPr>
              <w:t>$0.00</w:t>
            </w:r>
          </w:p>
        </w:tc>
        <w:tc>
          <w:tcPr>
            <w:tcW w:w="1302" w:type="dxa"/>
            <w:vAlign w:val="bottom"/>
          </w:tcPr>
          <w:p w14:paraId="5FDB1C7D" w14:textId="77777777" w:rsidR="00450A32" w:rsidRPr="008E1728" w:rsidRDefault="00450A32" w:rsidP="00B75CC9">
            <w:pPr>
              <w:keepNext/>
              <w:contextualSpacing/>
              <w:jc w:val="center"/>
              <w:rPr>
                <w:sz w:val="26"/>
                <w:szCs w:val="26"/>
              </w:rPr>
            </w:pPr>
            <w:r w:rsidRPr="008E1728">
              <w:rPr>
                <w:color w:val="000000"/>
                <w:sz w:val="26"/>
                <w:szCs w:val="26"/>
              </w:rPr>
              <w:t>-$0.06</w:t>
            </w:r>
          </w:p>
        </w:tc>
      </w:tr>
      <w:tr w:rsidR="00450A32" w:rsidRPr="00450A32" w14:paraId="3EAD1017" w14:textId="77777777" w:rsidTr="00B75CC9">
        <w:trPr>
          <w:jc w:val="center"/>
        </w:trPr>
        <w:tc>
          <w:tcPr>
            <w:tcW w:w="2023" w:type="dxa"/>
            <w:vAlign w:val="bottom"/>
          </w:tcPr>
          <w:p w14:paraId="14565867" w14:textId="125399C9" w:rsidR="00450A32" w:rsidRPr="00450A32" w:rsidRDefault="00450A32" w:rsidP="00B75CC9">
            <w:pPr>
              <w:keepNext/>
              <w:contextualSpacing/>
              <w:rPr>
                <w:b/>
                <w:bCs/>
                <w:sz w:val="26"/>
                <w:szCs w:val="26"/>
              </w:rPr>
            </w:pPr>
            <w:r w:rsidRPr="00450A32">
              <w:rPr>
                <w:b/>
                <w:bCs/>
                <w:color w:val="000000"/>
                <w:sz w:val="26"/>
                <w:szCs w:val="26"/>
              </w:rPr>
              <w:t>Peoples Gas</w:t>
            </w:r>
          </w:p>
        </w:tc>
        <w:tc>
          <w:tcPr>
            <w:tcW w:w="1350" w:type="dxa"/>
            <w:vAlign w:val="bottom"/>
          </w:tcPr>
          <w:p w14:paraId="4F8A21C9" w14:textId="77777777" w:rsidR="00450A32" w:rsidRPr="00450A32" w:rsidRDefault="00450A32" w:rsidP="00B75CC9">
            <w:pPr>
              <w:keepNext/>
              <w:contextualSpacing/>
              <w:jc w:val="center"/>
              <w:rPr>
                <w:sz w:val="26"/>
                <w:szCs w:val="26"/>
              </w:rPr>
            </w:pPr>
            <w:r w:rsidRPr="00450A32">
              <w:rPr>
                <w:color w:val="000000"/>
                <w:sz w:val="26"/>
                <w:szCs w:val="26"/>
              </w:rPr>
              <w:t>-$1.30</w:t>
            </w:r>
          </w:p>
        </w:tc>
        <w:tc>
          <w:tcPr>
            <w:tcW w:w="1440" w:type="dxa"/>
            <w:vAlign w:val="bottom"/>
          </w:tcPr>
          <w:p w14:paraId="013F08F8" w14:textId="77777777" w:rsidR="00450A32" w:rsidRPr="008E1728" w:rsidRDefault="00450A32" w:rsidP="00B75CC9">
            <w:pPr>
              <w:keepNext/>
              <w:contextualSpacing/>
              <w:jc w:val="center"/>
              <w:rPr>
                <w:sz w:val="26"/>
                <w:szCs w:val="26"/>
              </w:rPr>
            </w:pPr>
            <w:r w:rsidRPr="008E1728">
              <w:rPr>
                <w:color w:val="000000"/>
                <w:sz w:val="26"/>
                <w:szCs w:val="26"/>
              </w:rPr>
              <w:t>-$1.77</w:t>
            </w:r>
          </w:p>
        </w:tc>
        <w:tc>
          <w:tcPr>
            <w:tcW w:w="1530" w:type="dxa"/>
            <w:vAlign w:val="bottom"/>
          </w:tcPr>
          <w:p w14:paraId="6A47C99D" w14:textId="77777777" w:rsidR="00450A32" w:rsidRPr="008E1728" w:rsidRDefault="00450A32" w:rsidP="00B75CC9">
            <w:pPr>
              <w:keepNext/>
              <w:contextualSpacing/>
              <w:jc w:val="center"/>
              <w:rPr>
                <w:sz w:val="26"/>
                <w:szCs w:val="26"/>
              </w:rPr>
            </w:pPr>
            <w:r w:rsidRPr="008E1728">
              <w:rPr>
                <w:color w:val="000000"/>
                <w:sz w:val="26"/>
                <w:szCs w:val="26"/>
              </w:rPr>
              <w:t>-$1.66</w:t>
            </w:r>
          </w:p>
        </w:tc>
        <w:tc>
          <w:tcPr>
            <w:tcW w:w="1440" w:type="dxa"/>
            <w:vAlign w:val="bottom"/>
          </w:tcPr>
          <w:p w14:paraId="5F0E7CBA" w14:textId="77777777" w:rsidR="00450A32" w:rsidRPr="008E1728" w:rsidRDefault="00450A32" w:rsidP="00B75CC9">
            <w:pPr>
              <w:keepNext/>
              <w:contextualSpacing/>
              <w:jc w:val="center"/>
              <w:rPr>
                <w:sz w:val="26"/>
                <w:szCs w:val="26"/>
              </w:rPr>
            </w:pPr>
            <w:r w:rsidRPr="008E1728">
              <w:rPr>
                <w:color w:val="000000"/>
                <w:sz w:val="26"/>
                <w:szCs w:val="26"/>
              </w:rPr>
              <w:t>-$0.87</w:t>
            </w:r>
          </w:p>
        </w:tc>
        <w:tc>
          <w:tcPr>
            <w:tcW w:w="1440" w:type="dxa"/>
            <w:vAlign w:val="bottom"/>
          </w:tcPr>
          <w:p w14:paraId="49D3D811" w14:textId="77777777" w:rsidR="00450A32" w:rsidRPr="008E1728" w:rsidRDefault="00450A32" w:rsidP="00B75CC9">
            <w:pPr>
              <w:keepNext/>
              <w:contextualSpacing/>
              <w:jc w:val="center"/>
              <w:rPr>
                <w:sz w:val="26"/>
                <w:szCs w:val="26"/>
              </w:rPr>
            </w:pPr>
            <w:r w:rsidRPr="008E1728">
              <w:rPr>
                <w:color w:val="000000"/>
                <w:sz w:val="26"/>
                <w:szCs w:val="26"/>
              </w:rPr>
              <w:t>-$0.86</w:t>
            </w:r>
          </w:p>
        </w:tc>
        <w:tc>
          <w:tcPr>
            <w:tcW w:w="1302" w:type="dxa"/>
            <w:vAlign w:val="bottom"/>
          </w:tcPr>
          <w:p w14:paraId="5F14DE9D" w14:textId="77777777" w:rsidR="00450A32" w:rsidRPr="008E1728" w:rsidRDefault="00450A32" w:rsidP="00B75CC9">
            <w:pPr>
              <w:keepNext/>
              <w:contextualSpacing/>
              <w:jc w:val="center"/>
              <w:rPr>
                <w:sz w:val="26"/>
                <w:szCs w:val="26"/>
              </w:rPr>
            </w:pPr>
            <w:r w:rsidRPr="008E1728">
              <w:rPr>
                <w:color w:val="000000"/>
                <w:sz w:val="26"/>
                <w:szCs w:val="26"/>
              </w:rPr>
              <w:t>-$0.86</w:t>
            </w:r>
          </w:p>
        </w:tc>
      </w:tr>
      <w:tr w:rsidR="00450A32" w:rsidRPr="00450A32" w14:paraId="15C420D7" w14:textId="77777777" w:rsidTr="00B75CC9">
        <w:trPr>
          <w:jc w:val="center"/>
        </w:trPr>
        <w:tc>
          <w:tcPr>
            <w:tcW w:w="2023" w:type="dxa"/>
            <w:vAlign w:val="bottom"/>
          </w:tcPr>
          <w:p w14:paraId="104F2125" w14:textId="2C3F7DE6" w:rsidR="00450A32" w:rsidRPr="00450A32" w:rsidRDefault="00450A32" w:rsidP="00B75CC9">
            <w:pPr>
              <w:keepNext/>
              <w:contextualSpacing/>
              <w:rPr>
                <w:b/>
                <w:bCs/>
                <w:sz w:val="26"/>
                <w:szCs w:val="26"/>
              </w:rPr>
            </w:pPr>
            <w:r w:rsidRPr="00450A32">
              <w:rPr>
                <w:b/>
                <w:bCs/>
                <w:color w:val="000000"/>
                <w:sz w:val="26"/>
                <w:szCs w:val="26"/>
              </w:rPr>
              <w:t>Peoples EQT</w:t>
            </w:r>
          </w:p>
        </w:tc>
        <w:tc>
          <w:tcPr>
            <w:tcW w:w="1350" w:type="dxa"/>
            <w:vAlign w:val="center"/>
          </w:tcPr>
          <w:p w14:paraId="46B7334D" w14:textId="77777777" w:rsidR="00450A32" w:rsidRPr="00450A32" w:rsidRDefault="00450A32" w:rsidP="00B75CC9">
            <w:pPr>
              <w:keepNext/>
              <w:contextualSpacing/>
              <w:jc w:val="center"/>
              <w:rPr>
                <w:sz w:val="26"/>
                <w:szCs w:val="26"/>
              </w:rPr>
            </w:pPr>
            <w:r w:rsidRPr="00450A32">
              <w:rPr>
                <w:color w:val="000000"/>
                <w:sz w:val="26"/>
                <w:szCs w:val="26"/>
              </w:rPr>
              <w:t>-$0.89</w:t>
            </w:r>
          </w:p>
        </w:tc>
        <w:tc>
          <w:tcPr>
            <w:tcW w:w="1440" w:type="dxa"/>
            <w:vAlign w:val="center"/>
          </w:tcPr>
          <w:p w14:paraId="7D37E6E9" w14:textId="77777777" w:rsidR="00450A32" w:rsidRPr="008E1728" w:rsidRDefault="00450A32" w:rsidP="00B75CC9">
            <w:pPr>
              <w:keepNext/>
              <w:contextualSpacing/>
              <w:jc w:val="center"/>
              <w:rPr>
                <w:sz w:val="26"/>
                <w:szCs w:val="26"/>
              </w:rPr>
            </w:pPr>
            <w:r w:rsidRPr="008E1728">
              <w:rPr>
                <w:color w:val="000000"/>
                <w:sz w:val="26"/>
                <w:szCs w:val="26"/>
              </w:rPr>
              <w:t>-$1.37</w:t>
            </w:r>
          </w:p>
        </w:tc>
        <w:tc>
          <w:tcPr>
            <w:tcW w:w="1530" w:type="dxa"/>
            <w:vAlign w:val="center"/>
          </w:tcPr>
          <w:p w14:paraId="64A285F5" w14:textId="77777777" w:rsidR="00450A32" w:rsidRPr="008E1728" w:rsidRDefault="00450A32" w:rsidP="00B75CC9">
            <w:pPr>
              <w:keepNext/>
              <w:contextualSpacing/>
              <w:jc w:val="center"/>
              <w:rPr>
                <w:sz w:val="26"/>
                <w:szCs w:val="26"/>
              </w:rPr>
            </w:pPr>
            <w:r w:rsidRPr="008E1728">
              <w:rPr>
                <w:color w:val="000000"/>
                <w:sz w:val="26"/>
                <w:szCs w:val="26"/>
              </w:rPr>
              <w:t>-$1.52</w:t>
            </w:r>
          </w:p>
        </w:tc>
        <w:tc>
          <w:tcPr>
            <w:tcW w:w="1440" w:type="dxa"/>
            <w:vAlign w:val="center"/>
          </w:tcPr>
          <w:p w14:paraId="49F9F805" w14:textId="77777777" w:rsidR="00450A32" w:rsidRPr="008E1728" w:rsidRDefault="00450A32" w:rsidP="00B75CC9">
            <w:pPr>
              <w:keepNext/>
              <w:contextualSpacing/>
              <w:jc w:val="center"/>
              <w:rPr>
                <w:sz w:val="26"/>
                <w:szCs w:val="26"/>
              </w:rPr>
            </w:pPr>
            <w:r w:rsidRPr="008E1728">
              <w:rPr>
                <w:color w:val="000000"/>
                <w:sz w:val="26"/>
                <w:szCs w:val="26"/>
              </w:rPr>
              <w:t>-$0.30</w:t>
            </w:r>
          </w:p>
        </w:tc>
        <w:tc>
          <w:tcPr>
            <w:tcW w:w="1440" w:type="dxa"/>
            <w:vAlign w:val="center"/>
          </w:tcPr>
          <w:p w14:paraId="15ACC6DD" w14:textId="77777777" w:rsidR="00450A32" w:rsidRPr="008E1728" w:rsidRDefault="00450A32" w:rsidP="00B75CC9">
            <w:pPr>
              <w:keepNext/>
              <w:contextualSpacing/>
              <w:jc w:val="center"/>
              <w:rPr>
                <w:sz w:val="26"/>
                <w:szCs w:val="26"/>
              </w:rPr>
            </w:pPr>
            <w:r w:rsidRPr="008E1728">
              <w:rPr>
                <w:color w:val="000000"/>
                <w:sz w:val="26"/>
                <w:szCs w:val="26"/>
              </w:rPr>
              <w:t>-$0.30</w:t>
            </w:r>
          </w:p>
        </w:tc>
        <w:tc>
          <w:tcPr>
            <w:tcW w:w="1302" w:type="dxa"/>
            <w:vAlign w:val="center"/>
          </w:tcPr>
          <w:p w14:paraId="2055C71B" w14:textId="77777777" w:rsidR="00450A32" w:rsidRPr="008E1728" w:rsidRDefault="00450A32" w:rsidP="00B75CC9">
            <w:pPr>
              <w:keepNext/>
              <w:contextualSpacing/>
              <w:jc w:val="center"/>
              <w:rPr>
                <w:sz w:val="26"/>
                <w:szCs w:val="26"/>
              </w:rPr>
            </w:pPr>
            <w:r w:rsidRPr="008E1728">
              <w:rPr>
                <w:color w:val="000000"/>
                <w:sz w:val="26"/>
                <w:szCs w:val="26"/>
              </w:rPr>
              <w:t>-$0.30</w:t>
            </w:r>
          </w:p>
        </w:tc>
      </w:tr>
      <w:tr w:rsidR="0067357C" w:rsidRPr="00450A32" w14:paraId="169E057C" w14:textId="77777777" w:rsidTr="00B75CC9">
        <w:trPr>
          <w:jc w:val="center"/>
        </w:trPr>
        <w:tc>
          <w:tcPr>
            <w:tcW w:w="2023" w:type="dxa"/>
            <w:vAlign w:val="bottom"/>
          </w:tcPr>
          <w:p w14:paraId="202C9D44" w14:textId="14417467" w:rsidR="0067357C" w:rsidRPr="00450A32" w:rsidRDefault="0067357C" w:rsidP="0067357C">
            <w:pPr>
              <w:keepNext/>
              <w:contextualSpacing/>
              <w:rPr>
                <w:b/>
                <w:bCs/>
                <w:sz w:val="26"/>
                <w:szCs w:val="26"/>
              </w:rPr>
            </w:pPr>
            <w:r w:rsidRPr="00450A32">
              <w:rPr>
                <w:b/>
                <w:bCs/>
                <w:color w:val="000000"/>
                <w:sz w:val="26"/>
                <w:szCs w:val="26"/>
              </w:rPr>
              <w:t>PGW</w:t>
            </w:r>
            <w:r w:rsidR="002A2A1D">
              <w:rPr>
                <w:b/>
                <w:bCs/>
                <w:color w:val="000000"/>
                <w:sz w:val="26"/>
                <w:szCs w:val="26"/>
              </w:rPr>
              <w:t>*</w:t>
            </w:r>
          </w:p>
        </w:tc>
        <w:tc>
          <w:tcPr>
            <w:tcW w:w="1350" w:type="dxa"/>
            <w:vAlign w:val="bottom"/>
          </w:tcPr>
          <w:p w14:paraId="6A9A0647" w14:textId="4F6FCDF9" w:rsidR="0067357C" w:rsidRPr="00F5795D" w:rsidRDefault="0067357C" w:rsidP="0067357C">
            <w:pPr>
              <w:keepNext/>
              <w:contextualSpacing/>
              <w:jc w:val="center"/>
              <w:rPr>
                <w:sz w:val="26"/>
                <w:szCs w:val="26"/>
              </w:rPr>
            </w:pPr>
            <w:r w:rsidRPr="00F5795D">
              <w:rPr>
                <w:color w:val="000000"/>
                <w:sz w:val="26"/>
                <w:szCs w:val="26"/>
              </w:rPr>
              <w:t>$3.13</w:t>
            </w:r>
          </w:p>
        </w:tc>
        <w:tc>
          <w:tcPr>
            <w:tcW w:w="1440" w:type="dxa"/>
            <w:vAlign w:val="bottom"/>
          </w:tcPr>
          <w:p w14:paraId="31EFC40F" w14:textId="4D6BCCBA" w:rsidR="0067357C" w:rsidRPr="00F5795D" w:rsidRDefault="0067357C" w:rsidP="0067357C">
            <w:pPr>
              <w:keepNext/>
              <w:contextualSpacing/>
              <w:jc w:val="center"/>
              <w:rPr>
                <w:sz w:val="26"/>
                <w:szCs w:val="26"/>
              </w:rPr>
            </w:pPr>
            <w:r w:rsidRPr="00F5795D">
              <w:rPr>
                <w:color w:val="000000"/>
                <w:sz w:val="26"/>
                <w:szCs w:val="26"/>
              </w:rPr>
              <w:t>$2.82</w:t>
            </w:r>
          </w:p>
        </w:tc>
        <w:tc>
          <w:tcPr>
            <w:tcW w:w="1530" w:type="dxa"/>
            <w:vAlign w:val="bottom"/>
          </w:tcPr>
          <w:p w14:paraId="56414D5D" w14:textId="16553D90" w:rsidR="0067357C" w:rsidRPr="00F5795D" w:rsidRDefault="0067357C" w:rsidP="0067357C">
            <w:pPr>
              <w:keepNext/>
              <w:contextualSpacing/>
              <w:jc w:val="center"/>
              <w:rPr>
                <w:sz w:val="26"/>
                <w:szCs w:val="26"/>
              </w:rPr>
            </w:pPr>
            <w:r w:rsidRPr="00F5795D">
              <w:rPr>
                <w:color w:val="000000"/>
                <w:sz w:val="26"/>
                <w:szCs w:val="26"/>
              </w:rPr>
              <w:t>$2.35</w:t>
            </w:r>
          </w:p>
        </w:tc>
        <w:tc>
          <w:tcPr>
            <w:tcW w:w="1440" w:type="dxa"/>
            <w:vAlign w:val="bottom"/>
          </w:tcPr>
          <w:p w14:paraId="2241C16D" w14:textId="0877B78A" w:rsidR="0067357C" w:rsidRPr="00F5795D" w:rsidRDefault="0067357C" w:rsidP="0067357C">
            <w:pPr>
              <w:keepNext/>
              <w:contextualSpacing/>
              <w:jc w:val="center"/>
              <w:rPr>
                <w:sz w:val="26"/>
                <w:szCs w:val="26"/>
              </w:rPr>
            </w:pPr>
            <w:r w:rsidRPr="00F5795D">
              <w:rPr>
                <w:color w:val="000000"/>
                <w:sz w:val="26"/>
                <w:szCs w:val="26"/>
              </w:rPr>
              <w:t>$2.37</w:t>
            </w:r>
          </w:p>
        </w:tc>
        <w:tc>
          <w:tcPr>
            <w:tcW w:w="1440" w:type="dxa"/>
            <w:vAlign w:val="bottom"/>
          </w:tcPr>
          <w:p w14:paraId="4FA647DE" w14:textId="7C53D7E0" w:rsidR="0067357C" w:rsidRPr="00F5795D" w:rsidRDefault="0067357C" w:rsidP="0067357C">
            <w:pPr>
              <w:keepNext/>
              <w:contextualSpacing/>
              <w:jc w:val="center"/>
              <w:rPr>
                <w:sz w:val="26"/>
                <w:szCs w:val="26"/>
              </w:rPr>
            </w:pPr>
            <w:r w:rsidRPr="00F5795D">
              <w:rPr>
                <w:color w:val="000000"/>
                <w:sz w:val="26"/>
                <w:szCs w:val="26"/>
              </w:rPr>
              <w:t>$2.36</w:t>
            </w:r>
          </w:p>
        </w:tc>
        <w:tc>
          <w:tcPr>
            <w:tcW w:w="1302" w:type="dxa"/>
            <w:vAlign w:val="bottom"/>
          </w:tcPr>
          <w:p w14:paraId="391FDE40" w14:textId="4EEF14DC" w:rsidR="0067357C" w:rsidRPr="00F5795D" w:rsidRDefault="0067357C" w:rsidP="0067357C">
            <w:pPr>
              <w:keepNext/>
              <w:contextualSpacing/>
              <w:jc w:val="center"/>
              <w:rPr>
                <w:sz w:val="26"/>
                <w:szCs w:val="26"/>
              </w:rPr>
            </w:pPr>
            <w:r w:rsidRPr="00F5795D">
              <w:rPr>
                <w:color w:val="000000"/>
                <w:sz w:val="26"/>
                <w:szCs w:val="26"/>
              </w:rPr>
              <w:t>$2.35</w:t>
            </w:r>
          </w:p>
        </w:tc>
      </w:tr>
      <w:tr w:rsidR="0067357C" w:rsidRPr="00450A32" w14:paraId="7DB07F23" w14:textId="77777777" w:rsidTr="00B75CC9">
        <w:trPr>
          <w:jc w:val="center"/>
        </w:trPr>
        <w:tc>
          <w:tcPr>
            <w:tcW w:w="2023" w:type="dxa"/>
            <w:vAlign w:val="bottom"/>
          </w:tcPr>
          <w:p w14:paraId="47451D6B" w14:textId="7664179F" w:rsidR="0067357C" w:rsidRPr="00450A32" w:rsidRDefault="0067357C" w:rsidP="0067357C">
            <w:pPr>
              <w:keepNext/>
              <w:contextualSpacing/>
              <w:rPr>
                <w:b/>
                <w:bCs/>
                <w:sz w:val="26"/>
                <w:szCs w:val="26"/>
              </w:rPr>
            </w:pPr>
            <w:r w:rsidRPr="00450A32">
              <w:rPr>
                <w:b/>
                <w:bCs/>
                <w:color w:val="000000"/>
                <w:sz w:val="26"/>
                <w:szCs w:val="26"/>
              </w:rPr>
              <w:t>UGI South</w:t>
            </w:r>
          </w:p>
        </w:tc>
        <w:tc>
          <w:tcPr>
            <w:tcW w:w="1350" w:type="dxa"/>
            <w:vAlign w:val="bottom"/>
          </w:tcPr>
          <w:p w14:paraId="418674A0" w14:textId="309A3CA4" w:rsidR="0067357C" w:rsidRPr="00F5795D" w:rsidRDefault="0067357C" w:rsidP="0067357C">
            <w:pPr>
              <w:keepNext/>
              <w:contextualSpacing/>
              <w:jc w:val="center"/>
              <w:rPr>
                <w:sz w:val="26"/>
                <w:szCs w:val="26"/>
              </w:rPr>
            </w:pPr>
            <w:r w:rsidRPr="00F5795D">
              <w:rPr>
                <w:color w:val="000000"/>
                <w:sz w:val="26"/>
                <w:szCs w:val="26"/>
              </w:rPr>
              <w:t>$0.17</w:t>
            </w:r>
          </w:p>
        </w:tc>
        <w:tc>
          <w:tcPr>
            <w:tcW w:w="1440" w:type="dxa"/>
            <w:vAlign w:val="bottom"/>
          </w:tcPr>
          <w:p w14:paraId="5E350766" w14:textId="4F2F07BA" w:rsidR="0067357C" w:rsidRPr="00F5795D" w:rsidRDefault="0067357C" w:rsidP="0067357C">
            <w:pPr>
              <w:keepNext/>
              <w:contextualSpacing/>
              <w:jc w:val="center"/>
              <w:rPr>
                <w:sz w:val="26"/>
                <w:szCs w:val="26"/>
              </w:rPr>
            </w:pPr>
            <w:r w:rsidRPr="00F5795D">
              <w:rPr>
                <w:color w:val="000000"/>
                <w:sz w:val="26"/>
                <w:szCs w:val="26"/>
              </w:rPr>
              <w:t>$0.19</w:t>
            </w:r>
          </w:p>
        </w:tc>
        <w:tc>
          <w:tcPr>
            <w:tcW w:w="1530" w:type="dxa"/>
            <w:vAlign w:val="bottom"/>
          </w:tcPr>
          <w:p w14:paraId="3369B5C3" w14:textId="21E55CC6" w:rsidR="0067357C" w:rsidRPr="00F5795D" w:rsidRDefault="0067357C" w:rsidP="0067357C">
            <w:pPr>
              <w:keepNext/>
              <w:contextualSpacing/>
              <w:jc w:val="center"/>
              <w:rPr>
                <w:sz w:val="26"/>
                <w:szCs w:val="26"/>
              </w:rPr>
            </w:pPr>
            <w:r w:rsidRPr="00F5795D">
              <w:rPr>
                <w:color w:val="000000"/>
                <w:sz w:val="26"/>
                <w:szCs w:val="26"/>
              </w:rPr>
              <w:t>$0.20</w:t>
            </w:r>
          </w:p>
        </w:tc>
        <w:tc>
          <w:tcPr>
            <w:tcW w:w="1440" w:type="dxa"/>
            <w:vAlign w:val="bottom"/>
          </w:tcPr>
          <w:p w14:paraId="796ECE48" w14:textId="5E33D18F" w:rsidR="0067357C" w:rsidRPr="00F5795D" w:rsidRDefault="0067357C" w:rsidP="0067357C">
            <w:pPr>
              <w:keepNext/>
              <w:contextualSpacing/>
              <w:jc w:val="center"/>
              <w:rPr>
                <w:sz w:val="26"/>
                <w:szCs w:val="26"/>
              </w:rPr>
            </w:pPr>
            <w:r w:rsidRPr="00F5795D">
              <w:rPr>
                <w:color w:val="000000"/>
                <w:sz w:val="26"/>
                <w:szCs w:val="26"/>
              </w:rPr>
              <w:t>$0.20</w:t>
            </w:r>
          </w:p>
        </w:tc>
        <w:tc>
          <w:tcPr>
            <w:tcW w:w="1440" w:type="dxa"/>
            <w:vAlign w:val="bottom"/>
          </w:tcPr>
          <w:p w14:paraId="2AEC9532" w14:textId="3475776F" w:rsidR="0067357C" w:rsidRPr="00F5795D" w:rsidRDefault="0067357C" w:rsidP="0067357C">
            <w:pPr>
              <w:keepNext/>
              <w:contextualSpacing/>
              <w:jc w:val="center"/>
              <w:rPr>
                <w:sz w:val="26"/>
                <w:szCs w:val="26"/>
              </w:rPr>
            </w:pPr>
            <w:r w:rsidRPr="00F5795D">
              <w:rPr>
                <w:color w:val="000000"/>
                <w:sz w:val="26"/>
                <w:szCs w:val="26"/>
              </w:rPr>
              <w:t>$0.20</w:t>
            </w:r>
          </w:p>
        </w:tc>
        <w:tc>
          <w:tcPr>
            <w:tcW w:w="1302" w:type="dxa"/>
            <w:vAlign w:val="bottom"/>
          </w:tcPr>
          <w:p w14:paraId="51246E83" w14:textId="0729D93A" w:rsidR="0067357C" w:rsidRPr="00F5795D" w:rsidRDefault="0067357C" w:rsidP="0067357C">
            <w:pPr>
              <w:keepNext/>
              <w:contextualSpacing/>
              <w:jc w:val="center"/>
              <w:rPr>
                <w:sz w:val="26"/>
                <w:szCs w:val="26"/>
              </w:rPr>
            </w:pPr>
            <w:r w:rsidRPr="00F5795D">
              <w:rPr>
                <w:color w:val="000000"/>
                <w:sz w:val="26"/>
                <w:szCs w:val="26"/>
              </w:rPr>
              <w:t>$0.21</w:t>
            </w:r>
          </w:p>
        </w:tc>
      </w:tr>
      <w:tr w:rsidR="00EF5132" w:rsidRPr="00450A32" w14:paraId="48D832AB" w14:textId="77777777" w:rsidTr="00B75CC9">
        <w:trPr>
          <w:jc w:val="center"/>
        </w:trPr>
        <w:tc>
          <w:tcPr>
            <w:tcW w:w="2023" w:type="dxa"/>
            <w:vAlign w:val="bottom"/>
          </w:tcPr>
          <w:p w14:paraId="770A62F7" w14:textId="78EB2392" w:rsidR="00EF5132" w:rsidRPr="00450A32" w:rsidRDefault="00EF5132" w:rsidP="00EF5132">
            <w:pPr>
              <w:contextualSpacing/>
              <w:rPr>
                <w:b/>
                <w:bCs/>
                <w:sz w:val="26"/>
                <w:szCs w:val="26"/>
              </w:rPr>
            </w:pPr>
            <w:r w:rsidRPr="00450A32">
              <w:rPr>
                <w:b/>
                <w:bCs/>
                <w:color w:val="000000"/>
                <w:sz w:val="26"/>
                <w:szCs w:val="26"/>
              </w:rPr>
              <w:t>UGI North</w:t>
            </w:r>
          </w:p>
        </w:tc>
        <w:tc>
          <w:tcPr>
            <w:tcW w:w="1350" w:type="dxa"/>
            <w:vAlign w:val="bottom"/>
          </w:tcPr>
          <w:p w14:paraId="6483844E" w14:textId="204F8940" w:rsidR="00EF5132" w:rsidRPr="00F5795D" w:rsidRDefault="00EF5132" w:rsidP="00EF5132">
            <w:pPr>
              <w:contextualSpacing/>
              <w:jc w:val="center"/>
              <w:rPr>
                <w:sz w:val="26"/>
                <w:szCs w:val="26"/>
              </w:rPr>
            </w:pPr>
            <w:r w:rsidRPr="00F5795D">
              <w:rPr>
                <w:color w:val="000000"/>
                <w:sz w:val="26"/>
                <w:szCs w:val="26"/>
              </w:rPr>
              <w:t>$0.43</w:t>
            </w:r>
          </w:p>
        </w:tc>
        <w:tc>
          <w:tcPr>
            <w:tcW w:w="1440" w:type="dxa"/>
            <w:vAlign w:val="bottom"/>
          </w:tcPr>
          <w:p w14:paraId="247797CD" w14:textId="119284B1" w:rsidR="00EF5132" w:rsidRPr="00F5795D" w:rsidRDefault="00EF5132" w:rsidP="00EF5132">
            <w:pPr>
              <w:contextualSpacing/>
              <w:jc w:val="center"/>
              <w:rPr>
                <w:sz w:val="26"/>
                <w:szCs w:val="26"/>
              </w:rPr>
            </w:pPr>
            <w:r w:rsidRPr="00F5795D">
              <w:rPr>
                <w:color w:val="000000"/>
                <w:sz w:val="26"/>
                <w:szCs w:val="26"/>
              </w:rPr>
              <w:t>$0.40</w:t>
            </w:r>
          </w:p>
        </w:tc>
        <w:tc>
          <w:tcPr>
            <w:tcW w:w="1530" w:type="dxa"/>
            <w:vAlign w:val="bottom"/>
          </w:tcPr>
          <w:p w14:paraId="1B0769CB" w14:textId="3D164BB5" w:rsidR="00EF5132" w:rsidRPr="00F5795D" w:rsidRDefault="00EF5132" w:rsidP="00EF5132">
            <w:pPr>
              <w:contextualSpacing/>
              <w:jc w:val="center"/>
              <w:rPr>
                <w:sz w:val="26"/>
                <w:szCs w:val="26"/>
              </w:rPr>
            </w:pPr>
            <w:r w:rsidRPr="00F5795D">
              <w:rPr>
                <w:color w:val="000000"/>
                <w:sz w:val="26"/>
                <w:szCs w:val="26"/>
              </w:rPr>
              <w:t>$0.46</w:t>
            </w:r>
          </w:p>
        </w:tc>
        <w:tc>
          <w:tcPr>
            <w:tcW w:w="1440" w:type="dxa"/>
            <w:vAlign w:val="bottom"/>
          </w:tcPr>
          <w:p w14:paraId="06724DD1" w14:textId="49D7E15F" w:rsidR="00EF5132" w:rsidRPr="00F5795D" w:rsidRDefault="00EF5132" w:rsidP="00EF5132">
            <w:pPr>
              <w:contextualSpacing/>
              <w:jc w:val="center"/>
              <w:rPr>
                <w:sz w:val="26"/>
                <w:szCs w:val="26"/>
              </w:rPr>
            </w:pPr>
            <w:r w:rsidRPr="00F5795D">
              <w:rPr>
                <w:color w:val="000000"/>
                <w:sz w:val="26"/>
                <w:szCs w:val="26"/>
              </w:rPr>
              <w:t>$0.49</w:t>
            </w:r>
          </w:p>
        </w:tc>
        <w:tc>
          <w:tcPr>
            <w:tcW w:w="1440" w:type="dxa"/>
            <w:vAlign w:val="bottom"/>
          </w:tcPr>
          <w:p w14:paraId="6A1FFFD3" w14:textId="3461AEE7" w:rsidR="00EF5132" w:rsidRPr="00F5795D" w:rsidRDefault="00EF5132" w:rsidP="00EF5132">
            <w:pPr>
              <w:contextualSpacing/>
              <w:jc w:val="center"/>
              <w:rPr>
                <w:sz w:val="26"/>
                <w:szCs w:val="26"/>
              </w:rPr>
            </w:pPr>
            <w:r w:rsidRPr="00F5795D">
              <w:rPr>
                <w:color w:val="000000"/>
                <w:sz w:val="26"/>
                <w:szCs w:val="26"/>
              </w:rPr>
              <w:t>$0.51</w:t>
            </w:r>
          </w:p>
        </w:tc>
        <w:tc>
          <w:tcPr>
            <w:tcW w:w="1302" w:type="dxa"/>
            <w:vAlign w:val="bottom"/>
          </w:tcPr>
          <w:p w14:paraId="68A624A1" w14:textId="15065680" w:rsidR="00EF5132" w:rsidRPr="00F5795D" w:rsidRDefault="00EF5132" w:rsidP="00EF5132">
            <w:pPr>
              <w:contextualSpacing/>
              <w:jc w:val="center"/>
              <w:rPr>
                <w:sz w:val="26"/>
                <w:szCs w:val="26"/>
              </w:rPr>
            </w:pPr>
            <w:r w:rsidRPr="00F5795D">
              <w:rPr>
                <w:color w:val="000000"/>
                <w:sz w:val="26"/>
                <w:szCs w:val="26"/>
              </w:rPr>
              <w:t>$0.51</w:t>
            </w:r>
          </w:p>
        </w:tc>
      </w:tr>
    </w:tbl>
    <w:p w14:paraId="0947A172" w14:textId="741FA410" w:rsidR="00707966" w:rsidRPr="00626A91" w:rsidRDefault="00DD2449" w:rsidP="008E4A8A">
      <w:pPr>
        <w:spacing w:line="240" w:lineRule="auto"/>
        <w:contextualSpacing/>
        <w:rPr>
          <w:rFonts w:ascii="Times New Roman" w:hAnsi="Times New Roman" w:cs="Times New Roman"/>
          <w:sz w:val="26"/>
          <w:szCs w:val="26"/>
        </w:rPr>
      </w:pPr>
      <w:r w:rsidRPr="00626A91">
        <w:rPr>
          <w:rFonts w:ascii="Times New Roman" w:hAnsi="Times New Roman" w:cs="Times New Roman"/>
          <w:sz w:val="26"/>
          <w:szCs w:val="26"/>
        </w:rPr>
        <w:t>*</w:t>
      </w:r>
      <w:r w:rsidR="000C253F" w:rsidRPr="00626A91">
        <w:rPr>
          <w:rFonts w:ascii="Times New Roman" w:hAnsi="Times New Roman" w:cs="Times New Roman"/>
          <w:sz w:val="26"/>
          <w:szCs w:val="26"/>
        </w:rPr>
        <w:t xml:space="preserve"> </w:t>
      </w:r>
      <w:r w:rsidR="004126C7" w:rsidRPr="00626A91">
        <w:rPr>
          <w:rFonts w:ascii="Times New Roman" w:hAnsi="Times New Roman" w:cs="Times New Roman"/>
          <w:sz w:val="26"/>
          <w:szCs w:val="26"/>
        </w:rPr>
        <w:t xml:space="preserve">PGW </w:t>
      </w:r>
      <w:r w:rsidR="00C83B4A" w:rsidRPr="00626A91">
        <w:rPr>
          <w:rFonts w:ascii="Times New Roman" w:hAnsi="Times New Roman" w:cs="Times New Roman"/>
          <w:sz w:val="26"/>
          <w:szCs w:val="26"/>
        </w:rPr>
        <w:t xml:space="preserve">recovers CAP costs from </w:t>
      </w:r>
      <w:r w:rsidR="001E5D0A" w:rsidRPr="00626A91">
        <w:rPr>
          <w:rFonts w:ascii="Times New Roman" w:hAnsi="Times New Roman" w:cs="Times New Roman"/>
          <w:sz w:val="26"/>
          <w:szCs w:val="26"/>
        </w:rPr>
        <w:t>all customer classes</w:t>
      </w:r>
      <w:r w:rsidR="008459FF" w:rsidRPr="00626A91">
        <w:rPr>
          <w:rFonts w:ascii="Times New Roman" w:hAnsi="Times New Roman" w:cs="Times New Roman"/>
          <w:sz w:val="26"/>
          <w:szCs w:val="26"/>
        </w:rPr>
        <w:t xml:space="preserve">.  </w:t>
      </w:r>
      <w:r w:rsidR="00C82EE3" w:rsidRPr="00626A91">
        <w:rPr>
          <w:rFonts w:ascii="Times New Roman" w:hAnsi="Times New Roman" w:cs="Times New Roman"/>
          <w:sz w:val="26"/>
          <w:szCs w:val="26"/>
        </w:rPr>
        <w:t xml:space="preserve">Allocation amounts change annually, </w:t>
      </w:r>
      <w:r w:rsidR="00205919" w:rsidRPr="00626A91">
        <w:rPr>
          <w:rFonts w:ascii="Times New Roman" w:hAnsi="Times New Roman" w:cs="Times New Roman"/>
          <w:sz w:val="26"/>
          <w:szCs w:val="26"/>
        </w:rPr>
        <w:t xml:space="preserve">but </w:t>
      </w:r>
      <w:r w:rsidR="0078299E" w:rsidRPr="00626A91">
        <w:rPr>
          <w:rFonts w:ascii="Times New Roman" w:hAnsi="Times New Roman" w:cs="Times New Roman"/>
          <w:sz w:val="26"/>
          <w:szCs w:val="26"/>
        </w:rPr>
        <w:t xml:space="preserve">approximately </w:t>
      </w:r>
      <w:r w:rsidR="0076584C" w:rsidRPr="00626A91">
        <w:rPr>
          <w:rFonts w:ascii="Times New Roman" w:hAnsi="Times New Roman" w:cs="Times New Roman"/>
          <w:sz w:val="26"/>
          <w:szCs w:val="26"/>
        </w:rPr>
        <w:t>3/4</w:t>
      </w:r>
      <w:r w:rsidR="008B1554" w:rsidRPr="00626A91">
        <w:rPr>
          <w:rFonts w:ascii="Times New Roman" w:hAnsi="Times New Roman" w:cs="Times New Roman"/>
          <w:sz w:val="26"/>
          <w:szCs w:val="26"/>
        </w:rPr>
        <w:t xml:space="preserve"> of these costs are recovered from </w:t>
      </w:r>
      <w:r w:rsidR="0078299E" w:rsidRPr="00626A91">
        <w:rPr>
          <w:rFonts w:ascii="Times New Roman" w:hAnsi="Times New Roman" w:cs="Times New Roman"/>
          <w:sz w:val="26"/>
          <w:szCs w:val="26"/>
        </w:rPr>
        <w:t>residential customers</w:t>
      </w:r>
      <w:r w:rsidR="008B1554" w:rsidRPr="00626A91">
        <w:rPr>
          <w:rFonts w:ascii="Times New Roman" w:hAnsi="Times New Roman" w:cs="Times New Roman"/>
          <w:sz w:val="26"/>
          <w:szCs w:val="26"/>
        </w:rPr>
        <w:t xml:space="preserve">.  </w:t>
      </w:r>
      <w:r w:rsidR="00592BF5" w:rsidRPr="00626A91">
        <w:rPr>
          <w:rFonts w:ascii="Times New Roman" w:hAnsi="Times New Roman" w:cs="Times New Roman"/>
          <w:sz w:val="26"/>
          <w:szCs w:val="26"/>
        </w:rPr>
        <w:t>We have used a</w:t>
      </w:r>
      <w:r w:rsidR="00BD701A" w:rsidRPr="00626A91">
        <w:rPr>
          <w:rFonts w:ascii="Times New Roman" w:hAnsi="Times New Roman" w:cs="Times New Roman"/>
          <w:sz w:val="26"/>
          <w:szCs w:val="26"/>
        </w:rPr>
        <w:t xml:space="preserve"> recovery </w:t>
      </w:r>
      <w:r w:rsidR="00592BF5" w:rsidRPr="00626A91">
        <w:rPr>
          <w:rFonts w:ascii="Times New Roman" w:hAnsi="Times New Roman" w:cs="Times New Roman"/>
          <w:sz w:val="26"/>
          <w:szCs w:val="26"/>
        </w:rPr>
        <w:t xml:space="preserve">allocation of 75% </w:t>
      </w:r>
      <w:r w:rsidR="00623A77" w:rsidRPr="00626A91">
        <w:rPr>
          <w:rFonts w:ascii="Times New Roman" w:hAnsi="Times New Roman" w:cs="Times New Roman"/>
          <w:sz w:val="26"/>
          <w:szCs w:val="26"/>
        </w:rPr>
        <w:t xml:space="preserve">for </w:t>
      </w:r>
      <w:r w:rsidR="00BD701A" w:rsidRPr="00626A91">
        <w:rPr>
          <w:rFonts w:ascii="Times New Roman" w:hAnsi="Times New Roman" w:cs="Times New Roman"/>
          <w:sz w:val="26"/>
          <w:szCs w:val="26"/>
        </w:rPr>
        <w:t>res</w:t>
      </w:r>
      <w:r w:rsidR="005D425A" w:rsidRPr="00626A91">
        <w:rPr>
          <w:rFonts w:ascii="Times New Roman" w:hAnsi="Times New Roman" w:cs="Times New Roman"/>
          <w:sz w:val="26"/>
          <w:szCs w:val="26"/>
        </w:rPr>
        <w:t xml:space="preserve">idential ratepayers for </w:t>
      </w:r>
      <w:r w:rsidR="008E4A8A" w:rsidRPr="00626A91">
        <w:rPr>
          <w:rFonts w:ascii="Times New Roman" w:hAnsi="Times New Roman" w:cs="Times New Roman"/>
          <w:sz w:val="26"/>
          <w:szCs w:val="26"/>
        </w:rPr>
        <w:t>2016</w:t>
      </w:r>
      <w:r w:rsidR="00600021" w:rsidRPr="00626A91">
        <w:rPr>
          <w:rFonts w:ascii="Times New Roman" w:hAnsi="Times New Roman" w:cs="Times New Roman"/>
          <w:sz w:val="26"/>
          <w:szCs w:val="26"/>
        </w:rPr>
        <w:t xml:space="preserve"> through </w:t>
      </w:r>
      <w:r w:rsidR="008E4A8A" w:rsidRPr="00626A91">
        <w:rPr>
          <w:rFonts w:ascii="Times New Roman" w:hAnsi="Times New Roman" w:cs="Times New Roman"/>
          <w:sz w:val="26"/>
          <w:szCs w:val="26"/>
        </w:rPr>
        <w:t>2021.</w:t>
      </w:r>
    </w:p>
    <w:p w14:paraId="073A47C9" w14:textId="77777777" w:rsidR="008E4A8A" w:rsidRPr="00450A32" w:rsidRDefault="008E4A8A" w:rsidP="00450A32">
      <w:pPr>
        <w:spacing w:line="360" w:lineRule="auto"/>
        <w:contextualSpacing/>
        <w:rPr>
          <w:rFonts w:ascii="Times New Roman" w:hAnsi="Times New Roman" w:cs="Times New Roman"/>
          <w:sz w:val="26"/>
          <w:szCs w:val="26"/>
        </w:rPr>
      </w:pPr>
    </w:p>
    <w:p w14:paraId="4A1E6DCC" w14:textId="28ADA79C" w:rsidR="00450A32" w:rsidRPr="00450A32" w:rsidRDefault="00663248" w:rsidP="00450A32">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PPL</w:t>
      </w:r>
      <w:r w:rsidRPr="00450A32">
        <w:rPr>
          <w:rFonts w:ascii="Times New Roman" w:hAnsi="Times New Roman" w:cs="Times New Roman"/>
          <w:sz w:val="26"/>
          <w:szCs w:val="26"/>
        </w:rPr>
        <w:t xml:space="preserve"> </w:t>
      </w:r>
      <w:r w:rsidR="00450A32" w:rsidRPr="00450A32">
        <w:rPr>
          <w:rFonts w:ascii="Times New Roman" w:hAnsi="Times New Roman" w:cs="Times New Roman"/>
          <w:sz w:val="26"/>
          <w:szCs w:val="26"/>
        </w:rPr>
        <w:t xml:space="preserve">and UGI’s monthly universal service charges on residential </w:t>
      </w:r>
      <w:r w:rsidR="00FC4E88">
        <w:rPr>
          <w:rFonts w:ascii="Times New Roman" w:hAnsi="Times New Roman" w:cs="Times New Roman"/>
          <w:sz w:val="26"/>
          <w:szCs w:val="26"/>
        </w:rPr>
        <w:t>ratepayer</w:t>
      </w:r>
      <w:r w:rsidR="00450A32" w:rsidRPr="00450A32">
        <w:rPr>
          <w:rFonts w:ascii="Times New Roman" w:hAnsi="Times New Roman" w:cs="Times New Roman"/>
          <w:sz w:val="26"/>
          <w:szCs w:val="26"/>
        </w:rPr>
        <w:t xml:space="preserve"> bills would likely increase by approximately $0.50 or less.  PGW estimated that its residential customers could see average monthly increases of approximately $2.</w:t>
      </w:r>
      <w:r w:rsidR="00FB7BEF">
        <w:rPr>
          <w:rFonts w:ascii="Times New Roman" w:hAnsi="Times New Roman" w:cs="Times New Roman"/>
          <w:sz w:val="26"/>
          <w:szCs w:val="26"/>
        </w:rPr>
        <w:t>55</w:t>
      </w:r>
      <w:r w:rsidR="00450A32" w:rsidRPr="00450A32">
        <w:rPr>
          <w:rFonts w:ascii="Times New Roman" w:hAnsi="Times New Roman" w:cs="Times New Roman"/>
          <w:sz w:val="26"/>
          <w:szCs w:val="26"/>
        </w:rPr>
        <w:t>.  PECO estimate</w:t>
      </w:r>
      <w:r w:rsidR="0004444E">
        <w:rPr>
          <w:rFonts w:ascii="Times New Roman" w:hAnsi="Times New Roman" w:cs="Times New Roman"/>
          <w:sz w:val="26"/>
          <w:szCs w:val="26"/>
        </w:rPr>
        <w:t>s</w:t>
      </w:r>
      <w:r w:rsidR="00450A32" w:rsidRPr="00450A32">
        <w:rPr>
          <w:rFonts w:ascii="Times New Roman" w:hAnsi="Times New Roman" w:cs="Times New Roman"/>
          <w:sz w:val="26"/>
          <w:szCs w:val="26"/>
        </w:rPr>
        <w:t xml:space="preserve"> that such a change would require its residential non-CAP customers to pay an average monthly increase of $2.21 for CAP costs.</w:t>
      </w:r>
      <w:r w:rsidR="00450A32" w:rsidRPr="00450A32">
        <w:rPr>
          <w:rFonts w:ascii="Times New Roman" w:hAnsi="Times New Roman" w:cs="Times New Roman"/>
          <w:sz w:val="26"/>
          <w:szCs w:val="26"/>
          <w:vertAlign w:val="superscript"/>
        </w:rPr>
        <w:footnoteReference w:id="48"/>
      </w:r>
      <w:r w:rsidR="00450A32" w:rsidRPr="00450A32">
        <w:rPr>
          <w:rFonts w:ascii="Times New Roman" w:hAnsi="Times New Roman" w:cs="Times New Roman"/>
          <w:sz w:val="26"/>
          <w:szCs w:val="26"/>
        </w:rPr>
        <w:t xml:space="preserve">  PECO Comments at 8.  </w:t>
      </w:r>
    </w:p>
    <w:p w14:paraId="33A2B737" w14:textId="77777777" w:rsidR="00506216" w:rsidRPr="00450A32" w:rsidRDefault="00506216" w:rsidP="00315DBC">
      <w:pPr>
        <w:spacing w:after="0" w:line="360" w:lineRule="auto"/>
        <w:contextualSpacing/>
        <w:rPr>
          <w:rFonts w:ascii="Times New Roman" w:hAnsi="Times New Roman" w:cs="Times New Roman"/>
          <w:sz w:val="26"/>
          <w:szCs w:val="26"/>
        </w:rPr>
      </w:pPr>
    </w:p>
    <w:p w14:paraId="045B8902" w14:textId="42C1DEB6" w:rsidR="00506216" w:rsidRPr="00C80D3A" w:rsidRDefault="004C57E0" w:rsidP="004C57E0">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0285ADD8" w14:textId="415BD70E" w:rsidR="003A4C3F" w:rsidRPr="00C80D3A" w:rsidRDefault="00CD1FDA" w:rsidP="00315DBC">
      <w:pPr>
        <w:spacing w:after="0" w:line="360" w:lineRule="auto"/>
        <w:ind w:firstLine="72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 xml:space="preserve">The Commission </w:t>
      </w:r>
      <w:r w:rsidR="00506216" w:rsidRPr="00C80D3A">
        <w:rPr>
          <w:rFonts w:ascii="Times New Roman" w:hAnsi="Times New Roman" w:cs="Times New Roman"/>
          <w:color w:val="000000"/>
          <w:sz w:val="26"/>
          <w:szCs w:val="26"/>
        </w:rPr>
        <w:t xml:space="preserve">agrees with the Low Income Advocates that the current maximum energy burden ranges </w:t>
      </w:r>
      <w:r w:rsidR="003B050A">
        <w:rPr>
          <w:rFonts w:ascii="Times New Roman" w:hAnsi="Times New Roman" w:cs="Times New Roman"/>
          <w:color w:val="000000"/>
          <w:sz w:val="26"/>
          <w:szCs w:val="26"/>
        </w:rPr>
        <w:t xml:space="preserve">based on the FPIGs </w:t>
      </w:r>
      <w:r w:rsidR="00506216" w:rsidRPr="00C80D3A">
        <w:rPr>
          <w:rFonts w:ascii="Times New Roman" w:hAnsi="Times New Roman" w:cs="Times New Roman"/>
          <w:color w:val="000000"/>
          <w:sz w:val="26"/>
          <w:szCs w:val="26"/>
        </w:rPr>
        <w:t xml:space="preserve">in the CAP Policy Statement do not reflect reasonable or affordable payments for many low-income customers.  </w:t>
      </w:r>
      <w:r w:rsidR="00F52781" w:rsidRPr="00C80D3A">
        <w:rPr>
          <w:rFonts w:ascii="Times New Roman" w:hAnsi="Times New Roman" w:cs="Times New Roman"/>
          <w:color w:val="000000"/>
          <w:sz w:val="26"/>
          <w:szCs w:val="26"/>
        </w:rPr>
        <w:t xml:space="preserve">This would be our conclusion even if the </w:t>
      </w:r>
      <w:r w:rsidR="0093011C" w:rsidRPr="00C80D3A">
        <w:rPr>
          <w:rFonts w:ascii="Times New Roman" w:hAnsi="Times New Roman" w:cs="Times New Roman"/>
          <w:color w:val="000000"/>
          <w:sz w:val="26"/>
          <w:szCs w:val="26"/>
        </w:rPr>
        <w:t xml:space="preserve">currently </w:t>
      </w:r>
      <w:r w:rsidR="009E7A9A" w:rsidRPr="00C80D3A">
        <w:rPr>
          <w:rFonts w:ascii="Times New Roman" w:hAnsi="Times New Roman" w:cs="Times New Roman"/>
          <w:color w:val="000000"/>
          <w:sz w:val="26"/>
          <w:szCs w:val="26"/>
        </w:rPr>
        <w:t>specified</w:t>
      </w:r>
      <w:r w:rsidR="0093011C" w:rsidRPr="00C80D3A">
        <w:rPr>
          <w:rFonts w:ascii="Times New Roman" w:hAnsi="Times New Roman" w:cs="Times New Roman"/>
          <w:color w:val="000000"/>
          <w:sz w:val="26"/>
          <w:szCs w:val="26"/>
        </w:rPr>
        <w:t xml:space="preserve"> </w:t>
      </w:r>
      <w:r w:rsidR="00F52781" w:rsidRPr="00C80D3A">
        <w:rPr>
          <w:rFonts w:ascii="Times New Roman" w:hAnsi="Times New Roman" w:cs="Times New Roman"/>
          <w:color w:val="000000"/>
          <w:sz w:val="26"/>
          <w:szCs w:val="26"/>
        </w:rPr>
        <w:t xml:space="preserve">burdens </w:t>
      </w:r>
      <w:r w:rsidR="0093011C" w:rsidRPr="00C80D3A">
        <w:rPr>
          <w:rFonts w:ascii="Times New Roman" w:hAnsi="Times New Roman" w:cs="Times New Roman"/>
          <w:color w:val="000000"/>
          <w:sz w:val="26"/>
          <w:szCs w:val="26"/>
        </w:rPr>
        <w:t xml:space="preserve">are </w:t>
      </w:r>
      <w:r w:rsidR="00F52781" w:rsidRPr="00C80D3A">
        <w:rPr>
          <w:rFonts w:ascii="Times New Roman" w:hAnsi="Times New Roman" w:cs="Times New Roman"/>
          <w:color w:val="000000"/>
          <w:sz w:val="26"/>
          <w:szCs w:val="26"/>
        </w:rPr>
        <w:t>considered only presumptively rea</w:t>
      </w:r>
      <w:r w:rsidR="0093011C" w:rsidRPr="00C80D3A">
        <w:rPr>
          <w:rFonts w:ascii="Times New Roman" w:hAnsi="Times New Roman" w:cs="Times New Roman"/>
          <w:color w:val="000000"/>
          <w:sz w:val="26"/>
          <w:szCs w:val="26"/>
        </w:rPr>
        <w:t xml:space="preserve">sonable or affordable. </w:t>
      </w:r>
      <w:r w:rsidR="00F52781" w:rsidRPr="00C80D3A">
        <w:rPr>
          <w:rFonts w:ascii="Times New Roman" w:hAnsi="Times New Roman" w:cs="Times New Roman"/>
          <w:color w:val="000000"/>
          <w:sz w:val="26"/>
          <w:szCs w:val="26"/>
        </w:rPr>
        <w:t xml:space="preserve"> </w:t>
      </w:r>
    </w:p>
    <w:p w14:paraId="6ACC8BB0" w14:textId="77777777" w:rsidR="003A4C3F" w:rsidRPr="00C80D3A" w:rsidRDefault="003A4C3F" w:rsidP="00315DBC">
      <w:pPr>
        <w:spacing w:after="0" w:line="360" w:lineRule="auto"/>
        <w:ind w:firstLine="720"/>
        <w:contextualSpacing/>
        <w:rPr>
          <w:rFonts w:ascii="Times New Roman" w:hAnsi="Times New Roman" w:cs="Times New Roman"/>
          <w:color w:val="000000"/>
          <w:sz w:val="26"/>
          <w:szCs w:val="26"/>
        </w:rPr>
      </w:pPr>
    </w:p>
    <w:p w14:paraId="13C5AE15" w14:textId="2E2DB806" w:rsidR="00506216" w:rsidRPr="00C80D3A" w:rsidRDefault="007D5D4C" w:rsidP="00315DBC">
      <w:pPr>
        <w:spacing w:after="0" w:line="360" w:lineRule="auto"/>
        <w:ind w:firstLine="720"/>
        <w:rPr>
          <w:rFonts w:ascii="Times New Roman" w:hAnsi="Times New Roman" w:cs="Times New Roman"/>
          <w:color w:val="000000"/>
          <w:sz w:val="26"/>
          <w:szCs w:val="26"/>
        </w:rPr>
      </w:pPr>
      <w:r w:rsidRPr="002826DF">
        <w:rPr>
          <w:rFonts w:ascii="Times New Roman" w:hAnsi="Times New Roman" w:cs="Times New Roman"/>
          <w:sz w:val="26"/>
          <w:szCs w:val="26"/>
        </w:rPr>
        <w:t xml:space="preserve">The Energy Affordability Report noted that </w:t>
      </w:r>
      <w:r w:rsidR="00492D4F">
        <w:rPr>
          <w:rFonts w:ascii="Times New Roman" w:hAnsi="Times New Roman" w:cs="Times New Roman"/>
          <w:sz w:val="26"/>
          <w:szCs w:val="26"/>
        </w:rPr>
        <w:t xml:space="preserve">many </w:t>
      </w:r>
      <w:r w:rsidRPr="002826DF">
        <w:rPr>
          <w:rFonts w:ascii="Times New Roman" w:hAnsi="Times New Roman" w:cs="Times New Roman"/>
          <w:sz w:val="26"/>
          <w:szCs w:val="26"/>
        </w:rPr>
        <w:t xml:space="preserve">CAP customers – despite receiving discounted payments and/or </w:t>
      </w:r>
      <w:r w:rsidR="0093484F">
        <w:rPr>
          <w:rFonts w:ascii="Times New Roman" w:hAnsi="Times New Roman" w:cs="Times New Roman"/>
          <w:sz w:val="26"/>
          <w:szCs w:val="26"/>
        </w:rPr>
        <w:t xml:space="preserve">PPA </w:t>
      </w:r>
      <w:r w:rsidRPr="002826DF">
        <w:rPr>
          <w:rFonts w:ascii="Times New Roman" w:hAnsi="Times New Roman" w:cs="Times New Roman"/>
          <w:sz w:val="26"/>
          <w:szCs w:val="26"/>
        </w:rPr>
        <w:t xml:space="preserve">forgiveness – had significantly higher energy burdens on average in comparison to non-CAP customers.  While non-CAP customers had an average combined energy burden of 4%, the average combined energy burden for </w:t>
      </w:r>
      <w:r>
        <w:rPr>
          <w:rFonts w:ascii="Times New Roman" w:hAnsi="Times New Roman" w:cs="Times New Roman"/>
          <w:sz w:val="26"/>
          <w:szCs w:val="26"/>
        </w:rPr>
        <w:t xml:space="preserve">gas-heating </w:t>
      </w:r>
      <w:r w:rsidRPr="002826DF">
        <w:rPr>
          <w:rFonts w:ascii="Times New Roman" w:hAnsi="Times New Roman" w:cs="Times New Roman"/>
          <w:sz w:val="26"/>
          <w:szCs w:val="26"/>
        </w:rPr>
        <w:t>CAP customer</w:t>
      </w:r>
      <w:r>
        <w:rPr>
          <w:rFonts w:ascii="Times New Roman" w:hAnsi="Times New Roman" w:cs="Times New Roman"/>
          <w:sz w:val="26"/>
          <w:szCs w:val="26"/>
        </w:rPr>
        <w:t>s</w:t>
      </w:r>
      <w:r w:rsidRPr="002826DF">
        <w:rPr>
          <w:rFonts w:ascii="Times New Roman" w:hAnsi="Times New Roman" w:cs="Times New Roman"/>
          <w:sz w:val="26"/>
          <w:szCs w:val="26"/>
        </w:rPr>
        <w:t xml:space="preserve"> was 12% to 14%.</w:t>
      </w:r>
      <w:r w:rsidR="00EA6CC1">
        <w:rPr>
          <w:rStyle w:val="FootnoteReference"/>
          <w:rFonts w:ascii="Times New Roman" w:hAnsi="Times New Roman" w:cs="Times New Roman"/>
          <w:sz w:val="26"/>
          <w:szCs w:val="26"/>
        </w:rPr>
        <w:footnoteReference w:id="49"/>
      </w:r>
      <w:r w:rsidRPr="002826D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17DDB019" w14:textId="77777777" w:rsidR="007936C0" w:rsidRPr="00C80D3A" w:rsidRDefault="007936C0" w:rsidP="00315DBC">
      <w:pPr>
        <w:spacing w:after="0" w:line="360" w:lineRule="auto"/>
        <w:ind w:firstLine="720"/>
        <w:contextualSpacing/>
        <w:rPr>
          <w:rFonts w:ascii="Times New Roman" w:hAnsi="Times New Roman" w:cs="Times New Roman"/>
          <w:color w:val="000000"/>
          <w:sz w:val="26"/>
          <w:szCs w:val="26"/>
        </w:rPr>
      </w:pPr>
    </w:p>
    <w:p w14:paraId="161B74CF" w14:textId="5E664571" w:rsidR="00506216" w:rsidRPr="00C80D3A" w:rsidRDefault="00506216" w:rsidP="00315DBC">
      <w:pPr>
        <w:spacing w:after="0" w:line="360" w:lineRule="auto"/>
        <w:ind w:firstLine="72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Neighboring states have established low-income energy burden thresholds well below Pennsylvania</w:t>
      </w:r>
      <w:r w:rsidR="001529C6">
        <w:rPr>
          <w:rFonts w:ascii="Times New Roman" w:hAnsi="Times New Roman" w:cs="Times New Roman"/>
          <w:color w:val="000000"/>
          <w:sz w:val="26"/>
          <w:szCs w:val="26"/>
        </w:rPr>
        <w:t>’</w:t>
      </w:r>
      <w:r w:rsidRPr="00C80D3A">
        <w:rPr>
          <w:rFonts w:ascii="Times New Roman" w:hAnsi="Times New Roman" w:cs="Times New Roman"/>
          <w:color w:val="000000"/>
          <w:sz w:val="26"/>
          <w:szCs w:val="26"/>
        </w:rPr>
        <w:t>s ranges.  Ohio limits electric heating customer payments to 10% of income</w:t>
      </w:r>
      <w:r w:rsidR="0029777F" w:rsidRPr="00C80D3A">
        <w:rPr>
          <w:rFonts w:ascii="Times New Roman" w:hAnsi="Times New Roman" w:cs="Times New Roman"/>
          <w:color w:val="000000"/>
          <w:sz w:val="26"/>
          <w:szCs w:val="26"/>
        </w:rPr>
        <w:t>,</w:t>
      </w:r>
      <w:r w:rsidRPr="00C80D3A">
        <w:rPr>
          <w:rFonts w:ascii="Times New Roman" w:hAnsi="Times New Roman" w:cs="Times New Roman"/>
          <w:color w:val="000000"/>
          <w:sz w:val="26"/>
          <w:szCs w:val="26"/>
        </w:rPr>
        <w:t xml:space="preserve"> and natural gas heating customers (combined with electric non-heat) pay no more than 12% of income.  </w:t>
      </w:r>
      <w:bookmarkStart w:id="8" w:name="_Hlk527431179"/>
      <w:r w:rsidRPr="00C80D3A">
        <w:rPr>
          <w:rFonts w:ascii="Times New Roman" w:hAnsi="Times New Roman" w:cs="Times New Roman"/>
          <w:color w:val="000000"/>
          <w:sz w:val="26"/>
          <w:szCs w:val="26"/>
        </w:rPr>
        <w:t>The maximum energy burden for New York</w:t>
      </w:r>
      <w:r w:rsidR="001529C6">
        <w:rPr>
          <w:rFonts w:ascii="Times New Roman" w:hAnsi="Times New Roman" w:cs="Times New Roman"/>
          <w:color w:val="000000"/>
          <w:sz w:val="26"/>
          <w:szCs w:val="26"/>
        </w:rPr>
        <w:t>’</w:t>
      </w:r>
      <w:r w:rsidRPr="00C80D3A">
        <w:rPr>
          <w:rFonts w:ascii="Times New Roman" w:hAnsi="Times New Roman" w:cs="Times New Roman"/>
          <w:color w:val="000000"/>
          <w:sz w:val="26"/>
          <w:szCs w:val="26"/>
        </w:rPr>
        <w:t>s and New</w:t>
      </w:r>
      <w:r w:rsidR="0068240B">
        <w:rPr>
          <w:rFonts w:ascii="Times New Roman" w:hAnsi="Times New Roman" w:cs="Times New Roman"/>
          <w:color w:val="000000"/>
          <w:sz w:val="26"/>
          <w:szCs w:val="26"/>
        </w:rPr>
        <w:t> </w:t>
      </w:r>
      <w:r w:rsidRPr="00C80D3A">
        <w:rPr>
          <w:rFonts w:ascii="Times New Roman" w:hAnsi="Times New Roman" w:cs="Times New Roman"/>
          <w:color w:val="000000"/>
          <w:sz w:val="26"/>
          <w:szCs w:val="26"/>
        </w:rPr>
        <w:t>Jersey</w:t>
      </w:r>
      <w:r w:rsidR="001529C6">
        <w:rPr>
          <w:rFonts w:ascii="Times New Roman" w:hAnsi="Times New Roman" w:cs="Times New Roman"/>
          <w:color w:val="000000"/>
          <w:sz w:val="26"/>
          <w:szCs w:val="26"/>
        </w:rPr>
        <w:t>’</w:t>
      </w:r>
      <w:r w:rsidRPr="00C80D3A">
        <w:rPr>
          <w:rFonts w:ascii="Times New Roman" w:hAnsi="Times New Roman" w:cs="Times New Roman"/>
          <w:color w:val="000000"/>
          <w:sz w:val="26"/>
          <w:szCs w:val="26"/>
        </w:rPr>
        <w:t>s payment assistance programs is 6% for combined natural gas and electric service.</w:t>
      </w:r>
      <w:bookmarkEnd w:id="8"/>
      <w:r w:rsidRPr="00C80D3A">
        <w:rPr>
          <w:rFonts w:ascii="Times New Roman" w:hAnsi="Times New Roman" w:cs="Times New Roman"/>
          <w:color w:val="000000"/>
          <w:sz w:val="26"/>
          <w:szCs w:val="26"/>
          <w:vertAlign w:val="superscript"/>
        </w:rPr>
        <w:footnoteReference w:id="50"/>
      </w:r>
    </w:p>
    <w:p w14:paraId="365CDCAD" w14:textId="77777777" w:rsidR="00506216" w:rsidRPr="00C80D3A" w:rsidRDefault="00506216" w:rsidP="00315DBC">
      <w:pPr>
        <w:spacing w:after="0" w:line="360" w:lineRule="auto"/>
        <w:contextualSpacing/>
        <w:rPr>
          <w:rFonts w:ascii="Times New Roman" w:hAnsi="Times New Roman" w:cs="Times New Roman"/>
          <w:color w:val="000000"/>
          <w:sz w:val="26"/>
          <w:szCs w:val="26"/>
        </w:rPr>
      </w:pPr>
    </w:p>
    <w:p w14:paraId="238AAA86" w14:textId="37F6E8A2" w:rsidR="00506216" w:rsidRPr="00C80D3A" w:rsidRDefault="00580E91" w:rsidP="00315DBC">
      <w:pPr>
        <w:spacing w:after="0" w:line="360" w:lineRule="auto"/>
        <w:ind w:firstLine="72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We ackn</w:t>
      </w:r>
      <w:r w:rsidR="00AE0F50" w:rsidRPr="00C80D3A">
        <w:rPr>
          <w:rFonts w:ascii="Times New Roman" w:hAnsi="Times New Roman" w:cs="Times New Roman"/>
          <w:color w:val="000000"/>
          <w:sz w:val="26"/>
          <w:szCs w:val="26"/>
        </w:rPr>
        <w:t>owledge the points raised by several stakeholders</w:t>
      </w:r>
      <w:r w:rsidR="00506216" w:rsidRPr="00C80D3A">
        <w:rPr>
          <w:rFonts w:ascii="Times New Roman" w:hAnsi="Times New Roman" w:cs="Times New Roman"/>
          <w:color w:val="000000"/>
          <w:sz w:val="26"/>
          <w:szCs w:val="26"/>
        </w:rPr>
        <w:t xml:space="preserve"> that there are significant differences in the low-income programs of other states such as program objectives, limiting participation to LIHEAP recipients, incorporating LIHEAP into program discounts, state government administration, recovering costs from all ratepayers, differing electric/natural gas usage, housing costs, and much lower annual budgets and spending.  EAP Comments at 18</w:t>
      </w:r>
      <w:r w:rsidR="00750A27" w:rsidRPr="00C80D3A">
        <w:rPr>
          <w:rFonts w:ascii="Times New Roman" w:hAnsi="Times New Roman" w:cs="Times New Roman"/>
          <w:sz w:val="26"/>
          <w:szCs w:val="26"/>
        </w:rPr>
        <w:t>–</w:t>
      </w:r>
      <w:r w:rsidR="00506216" w:rsidRPr="00C80D3A">
        <w:rPr>
          <w:rFonts w:ascii="Times New Roman" w:hAnsi="Times New Roman" w:cs="Times New Roman"/>
          <w:color w:val="000000"/>
          <w:sz w:val="26"/>
          <w:szCs w:val="26"/>
        </w:rPr>
        <w:t>20; PGW Comments at 12</w:t>
      </w:r>
      <w:r w:rsidR="00750A27" w:rsidRPr="00C80D3A">
        <w:rPr>
          <w:rFonts w:ascii="Times New Roman" w:hAnsi="Times New Roman" w:cs="Times New Roman"/>
          <w:sz w:val="26"/>
          <w:szCs w:val="26"/>
        </w:rPr>
        <w:t>–</w:t>
      </w:r>
      <w:r w:rsidR="00506216" w:rsidRPr="00C80D3A">
        <w:rPr>
          <w:rFonts w:ascii="Times New Roman" w:hAnsi="Times New Roman" w:cs="Times New Roman"/>
          <w:color w:val="000000"/>
          <w:sz w:val="26"/>
          <w:szCs w:val="26"/>
        </w:rPr>
        <w:t>15, Exhibit B; OCA Comments at 9</w:t>
      </w:r>
      <w:r w:rsidR="00750A27" w:rsidRPr="00C80D3A">
        <w:rPr>
          <w:rFonts w:ascii="Times New Roman" w:hAnsi="Times New Roman" w:cs="Times New Roman"/>
          <w:sz w:val="26"/>
          <w:szCs w:val="26"/>
        </w:rPr>
        <w:t>–</w:t>
      </w:r>
      <w:r w:rsidR="00506216" w:rsidRPr="00C80D3A">
        <w:rPr>
          <w:rFonts w:ascii="Times New Roman" w:hAnsi="Times New Roman" w:cs="Times New Roman"/>
          <w:color w:val="000000"/>
          <w:sz w:val="26"/>
          <w:szCs w:val="26"/>
        </w:rPr>
        <w:t xml:space="preserve">11, </w:t>
      </w:r>
      <w:r w:rsidR="00506216" w:rsidRPr="00C80D3A">
        <w:rPr>
          <w:rFonts w:ascii="Times New Roman" w:hAnsi="Times New Roman" w:cs="Times New Roman"/>
          <w:sz w:val="26"/>
          <w:szCs w:val="26"/>
        </w:rPr>
        <w:t>Appendix A</w:t>
      </w:r>
      <w:r w:rsidR="00506216" w:rsidRPr="00C80D3A">
        <w:rPr>
          <w:rFonts w:ascii="Times New Roman" w:hAnsi="Times New Roman" w:cs="Times New Roman"/>
          <w:color w:val="000000"/>
          <w:sz w:val="26"/>
          <w:szCs w:val="26"/>
        </w:rPr>
        <w:t xml:space="preserve"> at 5</w:t>
      </w:r>
      <w:r w:rsidR="00750A27" w:rsidRPr="00C80D3A">
        <w:rPr>
          <w:rFonts w:ascii="Times New Roman" w:hAnsi="Times New Roman" w:cs="Times New Roman"/>
          <w:sz w:val="26"/>
          <w:szCs w:val="26"/>
        </w:rPr>
        <w:t>–</w:t>
      </w:r>
      <w:r w:rsidR="00506216" w:rsidRPr="00C80D3A">
        <w:rPr>
          <w:rFonts w:ascii="Times New Roman" w:hAnsi="Times New Roman" w:cs="Times New Roman"/>
          <w:color w:val="000000"/>
          <w:sz w:val="26"/>
          <w:szCs w:val="26"/>
        </w:rPr>
        <w:t>7, 49</w:t>
      </w:r>
      <w:r w:rsidR="00750A27" w:rsidRPr="00C80D3A">
        <w:rPr>
          <w:rFonts w:ascii="Times New Roman" w:hAnsi="Times New Roman" w:cs="Times New Roman"/>
          <w:sz w:val="26"/>
          <w:szCs w:val="26"/>
        </w:rPr>
        <w:t>–</w:t>
      </w:r>
      <w:r w:rsidR="00506216" w:rsidRPr="00C80D3A">
        <w:rPr>
          <w:rFonts w:ascii="Times New Roman" w:hAnsi="Times New Roman" w:cs="Times New Roman"/>
          <w:color w:val="000000"/>
          <w:sz w:val="26"/>
          <w:szCs w:val="26"/>
        </w:rPr>
        <w:t>60.  Despite these programmatic and policy differences, it is still worth noting that</w:t>
      </w:r>
      <w:r w:rsidR="000B6CCB" w:rsidRPr="00C80D3A">
        <w:rPr>
          <w:rFonts w:ascii="Times New Roman" w:hAnsi="Times New Roman" w:cs="Times New Roman"/>
          <w:color w:val="000000"/>
          <w:sz w:val="26"/>
          <w:szCs w:val="26"/>
        </w:rPr>
        <w:t>, of the states surveyed,</w:t>
      </w:r>
      <w:r w:rsidR="00506216" w:rsidRPr="00C80D3A">
        <w:rPr>
          <w:rFonts w:ascii="Times New Roman" w:hAnsi="Times New Roman" w:cs="Times New Roman"/>
          <w:color w:val="000000"/>
          <w:sz w:val="26"/>
          <w:szCs w:val="26"/>
        </w:rPr>
        <w:t xml:space="preserve"> no state</w:t>
      </w:r>
      <w:r w:rsidR="00506216" w:rsidRPr="00C80D3A" w:rsidDel="000B6CCB">
        <w:rPr>
          <w:rFonts w:ascii="Times New Roman" w:hAnsi="Times New Roman" w:cs="Times New Roman"/>
          <w:color w:val="000000"/>
          <w:sz w:val="26"/>
          <w:szCs w:val="26"/>
        </w:rPr>
        <w:t xml:space="preserve"> </w:t>
      </w:r>
      <w:r w:rsidR="000B6CCB" w:rsidRPr="00C80D3A">
        <w:rPr>
          <w:rFonts w:ascii="Times New Roman" w:hAnsi="Times New Roman" w:cs="Times New Roman"/>
          <w:color w:val="000000"/>
          <w:sz w:val="26"/>
          <w:szCs w:val="26"/>
        </w:rPr>
        <w:t>except Pennsylvania</w:t>
      </w:r>
      <w:r w:rsidR="00506216" w:rsidRPr="00C80D3A">
        <w:rPr>
          <w:rFonts w:ascii="Times New Roman" w:hAnsi="Times New Roman" w:cs="Times New Roman"/>
          <w:color w:val="000000"/>
          <w:sz w:val="26"/>
          <w:szCs w:val="26"/>
        </w:rPr>
        <w:t xml:space="preserve"> considers energy burdens exceeding 12% to be appropriate for low-income customers. </w:t>
      </w:r>
    </w:p>
    <w:p w14:paraId="19BC89B5" w14:textId="3CE5465D" w:rsidR="00506216" w:rsidRDefault="00506216" w:rsidP="00315DBC">
      <w:pPr>
        <w:spacing w:after="0" w:line="360" w:lineRule="auto"/>
        <w:contextualSpacing/>
        <w:rPr>
          <w:rFonts w:ascii="Times New Roman" w:hAnsi="Times New Roman" w:cs="Times New Roman"/>
          <w:color w:val="000000"/>
          <w:sz w:val="26"/>
          <w:szCs w:val="26"/>
        </w:rPr>
      </w:pPr>
    </w:p>
    <w:p w14:paraId="42C93B12" w14:textId="4CD70AC0" w:rsidR="00CA49C2" w:rsidRPr="00CA49C2" w:rsidRDefault="00CA49C2" w:rsidP="00CA49C2">
      <w:pPr>
        <w:keepNext/>
        <w:spacing w:after="0" w:line="240" w:lineRule="auto"/>
        <w:contextualSpacing/>
        <w:rPr>
          <w:rFonts w:ascii="Times New Roman" w:hAnsi="Times New Roman" w:cs="Times New Roman"/>
          <w:i/>
          <w:sz w:val="26"/>
          <w:szCs w:val="26"/>
        </w:rPr>
      </w:pPr>
      <w:r w:rsidRPr="00F5795D">
        <w:rPr>
          <w:rFonts w:ascii="Times New Roman" w:hAnsi="Times New Roman" w:cs="Times New Roman"/>
          <w:i/>
          <w:sz w:val="26"/>
          <w:szCs w:val="26"/>
        </w:rPr>
        <w:t>Establishing a Recommended Maximum 10% Energy Burden for CAP Participants with Incomes Between 51% and 150% of the FPIG</w:t>
      </w:r>
    </w:p>
    <w:p w14:paraId="44E96078" w14:textId="77777777" w:rsidR="00CA49C2" w:rsidRPr="00C80D3A" w:rsidRDefault="00CA49C2" w:rsidP="00CA49C2">
      <w:pPr>
        <w:keepNext/>
        <w:spacing w:after="0" w:line="360" w:lineRule="auto"/>
        <w:contextualSpacing/>
        <w:rPr>
          <w:rFonts w:ascii="Times New Roman" w:hAnsi="Times New Roman" w:cs="Times New Roman"/>
          <w:color w:val="000000"/>
          <w:sz w:val="26"/>
          <w:szCs w:val="26"/>
        </w:rPr>
      </w:pPr>
    </w:p>
    <w:p w14:paraId="70FBB2FA" w14:textId="3DC86729"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color w:val="000000"/>
          <w:sz w:val="26"/>
          <w:szCs w:val="26"/>
        </w:rPr>
        <w:t xml:space="preserve">As early as 2006, the Commission questioned whether </w:t>
      </w:r>
      <w:r w:rsidRPr="00C80D3A">
        <w:rPr>
          <w:rFonts w:ascii="Times New Roman" w:hAnsi="Times New Roman" w:cs="Times New Roman"/>
          <w:sz w:val="26"/>
          <w:szCs w:val="26"/>
        </w:rPr>
        <w:t xml:space="preserve">the CAP Policy Statement maximum energy burdens may be too high.  In the </w:t>
      </w:r>
      <w:r w:rsidRPr="00C80D3A">
        <w:rPr>
          <w:rFonts w:ascii="Times New Roman" w:hAnsi="Times New Roman" w:cs="Times New Roman"/>
          <w:i/>
          <w:sz w:val="26"/>
          <w:szCs w:val="26"/>
        </w:rPr>
        <w:t>Final CAP Investigatory Order</w:t>
      </w:r>
      <w:r w:rsidRPr="00C80D3A">
        <w:rPr>
          <w:rFonts w:ascii="Times New Roman" w:hAnsi="Times New Roman" w:cs="Times New Roman"/>
          <w:sz w:val="26"/>
          <w:szCs w:val="26"/>
        </w:rPr>
        <w:t>, the Commission stated that “our policy requiring a low-income household to pay 17% of</w:t>
      </w:r>
      <w:r w:rsidR="00E8259B">
        <w:rPr>
          <w:rFonts w:ascii="Times New Roman" w:hAnsi="Times New Roman" w:cs="Times New Roman"/>
          <w:sz w:val="26"/>
          <w:szCs w:val="26"/>
        </w:rPr>
        <w:t xml:space="preserve"> . . . </w:t>
      </w:r>
      <w:r w:rsidRPr="00C80D3A">
        <w:rPr>
          <w:rFonts w:ascii="Times New Roman" w:hAnsi="Times New Roman" w:cs="Times New Roman"/>
          <w:sz w:val="26"/>
          <w:szCs w:val="26"/>
        </w:rPr>
        <w:t xml:space="preserve">household income for home energy services compared with an average household </w:t>
      </w:r>
      <w:r w:rsidR="00FE0A23">
        <w:rPr>
          <w:rFonts w:ascii="Times New Roman" w:hAnsi="Times New Roman" w:cs="Times New Roman"/>
          <w:sz w:val="26"/>
          <w:szCs w:val="26"/>
        </w:rPr>
        <w:t xml:space="preserve">[that] </w:t>
      </w:r>
      <w:r w:rsidRPr="00C80D3A">
        <w:rPr>
          <w:rFonts w:ascii="Times New Roman" w:hAnsi="Times New Roman" w:cs="Times New Roman"/>
          <w:sz w:val="26"/>
          <w:szCs w:val="26"/>
        </w:rPr>
        <w:t xml:space="preserve">pays about 5% of </w:t>
      </w:r>
      <w:r w:rsidR="00FE0A23">
        <w:rPr>
          <w:rFonts w:ascii="Times New Roman" w:hAnsi="Times New Roman" w:cs="Times New Roman"/>
          <w:sz w:val="26"/>
          <w:szCs w:val="26"/>
        </w:rPr>
        <w:t>[household]</w:t>
      </w:r>
      <w:r w:rsidRPr="00C80D3A">
        <w:rPr>
          <w:rFonts w:ascii="Times New Roman" w:hAnsi="Times New Roman" w:cs="Times New Roman"/>
          <w:sz w:val="26"/>
          <w:szCs w:val="26"/>
        </w:rPr>
        <w:t xml:space="preserve"> income may need to be revised.”  </w:t>
      </w:r>
      <w:r w:rsidRPr="00C80D3A">
        <w:rPr>
          <w:rFonts w:ascii="Times New Roman" w:hAnsi="Times New Roman" w:cs="Times New Roman"/>
          <w:i/>
          <w:sz w:val="26"/>
          <w:szCs w:val="26"/>
        </w:rPr>
        <w:t>Final CAP Investigatory Order</w:t>
      </w:r>
      <w:r w:rsidRPr="00C80D3A">
        <w:rPr>
          <w:rFonts w:ascii="Times New Roman" w:hAnsi="Times New Roman" w:cs="Times New Roman"/>
          <w:sz w:val="26"/>
          <w:szCs w:val="26"/>
        </w:rPr>
        <w:t xml:space="preserve"> at 48.</w:t>
      </w:r>
    </w:p>
    <w:p w14:paraId="030E12F1" w14:textId="77777777" w:rsidR="00506216" w:rsidRPr="00C80D3A" w:rsidRDefault="00506216" w:rsidP="00315DBC">
      <w:pPr>
        <w:spacing w:after="0" w:line="360" w:lineRule="auto"/>
        <w:contextualSpacing/>
        <w:rPr>
          <w:rFonts w:ascii="Times New Roman" w:hAnsi="Times New Roman" w:cs="Times New Roman"/>
          <w:sz w:val="26"/>
          <w:szCs w:val="26"/>
        </w:rPr>
      </w:pPr>
    </w:p>
    <w:p w14:paraId="4DF94D3D" w14:textId="0AE64620"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Further, the Commission </w:t>
      </w:r>
      <w:r w:rsidR="00303763" w:rsidRPr="00C80D3A">
        <w:rPr>
          <w:rFonts w:ascii="Times New Roman" w:hAnsi="Times New Roman" w:cs="Times New Roman"/>
          <w:sz w:val="26"/>
          <w:szCs w:val="26"/>
        </w:rPr>
        <w:t xml:space="preserve">has previously </w:t>
      </w:r>
      <w:r w:rsidR="000F248D" w:rsidRPr="00C80D3A">
        <w:rPr>
          <w:rFonts w:ascii="Times New Roman" w:hAnsi="Times New Roman" w:cs="Times New Roman"/>
          <w:sz w:val="26"/>
          <w:szCs w:val="26"/>
        </w:rPr>
        <w:t xml:space="preserve">described </w:t>
      </w:r>
      <w:r w:rsidRPr="00C80D3A">
        <w:rPr>
          <w:rFonts w:ascii="Times New Roman" w:hAnsi="Times New Roman" w:cs="Times New Roman"/>
          <w:sz w:val="26"/>
          <w:szCs w:val="26"/>
        </w:rPr>
        <w:t xml:space="preserve">customer </w:t>
      </w:r>
      <w:r w:rsidR="008B679E" w:rsidRPr="00C80D3A">
        <w:rPr>
          <w:rFonts w:ascii="Times New Roman" w:hAnsi="Times New Roman" w:cs="Times New Roman"/>
          <w:sz w:val="26"/>
          <w:szCs w:val="26"/>
        </w:rPr>
        <w:t xml:space="preserve">energy </w:t>
      </w:r>
      <w:r w:rsidRPr="00C80D3A">
        <w:rPr>
          <w:rFonts w:ascii="Times New Roman" w:hAnsi="Times New Roman" w:cs="Times New Roman"/>
          <w:sz w:val="26"/>
          <w:szCs w:val="26"/>
        </w:rPr>
        <w:t xml:space="preserve">payments </w:t>
      </w:r>
      <w:r w:rsidR="00946AC1" w:rsidRPr="00C80D3A">
        <w:rPr>
          <w:rFonts w:ascii="Times New Roman" w:hAnsi="Times New Roman" w:cs="Times New Roman"/>
          <w:sz w:val="26"/>
          <w:szCs w:val="26"/>
        </w:rPr>
        <w:t xml:space="preserve">greater than </w:t>
      </w:r>
      <w:r w:rsidRPr="00C80D3A">
        <w:rPr>
          <w:rFonts w:ascii="Times New Roman" w:hAnsi="Times New Roman" w:cs="Times New Roman"/>
          <w:sz w:val="26"/>
          <w:szCs w:val="26"/>
        </w:rPr>
        <w:t>10% of household income</w:t>
      </w:r>
      <w:r w:rsidR="00946AC1" w:rsidRPr="00C80D3A">
        <w:rPr>
          <w:rFonts w:ascii="Times New Roman" w:hAnsi="Times New Roman" w:cs="Times New Roman"/>
          <w:sz w:val="26"/>
          <w:szCs w:val="26"/>
        </w:rPr>
        <w:t xml:space="preserve"> as “unreasonable”</w:t>
      </w:r>
      <w:r w:rsidRPr="00C80D3A">
        <w:rPr>
          <w:rFonts w:ascii="Times New Roman" w:hAnsi="Times New Roman" w:cs="Times New Roman"/>
          <w:sz w:val="26"/>
          <w:szCs w:val="26"/>
        </w:rPr>
        <w:t xml:space="preserve">: </w:t>
      </w:r>
    </w:p>
    <w:p w14:paraId="70150503" w14:textId="77777777" w:rsidR="00506216" w:rsidRPr="00C80D3A" w:rsidRDefault="00506216" w:rsidP="00B811C1">
      <w:pPr>
        <w:spacing w:after="0" w:line="240" w:lineRule="auto"/>
        <w:contextualSpacing/>
        <w:rPr>
          <w:rFonts w:ascii="Times New Roman" w:hAnsi="Times New Roman" w:cs="Times New Roman"/>
          <w:sz w:val="26"/>
          <w:szCs w:val="26"/>
        </w:rPr>
      </w:pPr>
    </w:p>
    <w:p w14:paraId="716E2B7D" w14:textId="2B200F5C" w:rsidR="00506216" w:rsidRPr="00C80D3A" w:rsidRDefault="00506216" w:rsidP="00315DBC">
      <w:pPr>
        <w:spacing w:after="0"/>
        <w:ind w:left="720" w:right="720"/>
        <w:contextualSpacing/>
        <w:rPr>
          <w:rFonts w:ascii="Times New Roman" w:hAnsi="Times New Roman" w:cs="Times New Roman"/>
          <w:sz w:val="26"/>
          <w:szCs w:val="26"/>
        </w:rPr>
      </w:pPr>
      <w:r w:rsidRPr="00C80D3A">
        <w:rPr>
          <w:rFonts w:ascii="Times New Roman" w:hAnsi="Times New Roman" w:cs="Times New Roman"/>
          <w:color w:val="000000"/>
          <w:sz w:val="26"/>
          <w:szCs w:val="26"/>
        </w:rPr>
        <w:t xml:space="preserve">The highest minimum payment reflects 10% of a typical public assistance grant for a household of three who receives $403 per month from a Temporary Assistance to Needy Families [TANF] grant.  </w:t>
      </w:r>
      <w:r w:rsidRPr="00C80D3A">
        <w:rPr>
          <w:rFonts w:ascii="Times New Roman" w:hAnsi="Times New Roman" w:cs="Times New Roman"/>
          <w:b/>
          <w:i/>
          <w:color w:val="000000"/>
          <w:sz w:val="26"/>
          <w:szCs w:val="26"/>
        </w:rPr>
        <w:t xml:space="preserve">Considering that an average household in Pennsylvania has an energy burden of 4.8%, it is unreasonable to expect the poorest households to pay more than 10% </w:t>
      </w:r>
      <w:r w:rsidR="00A45138" w:rsidRPr="00C80D3A">
        <w:rPr>
          <w:rFonts w:ascii="Times New Roman" w:hAnsi="Times New Roman" w:cs="Times New Roman"/>
          <w:color w:val="000000"/>
          <w:sz w:val="26"/>
          <w:szCs w:val="26"/>
        </w:rPr>
        <w:t>(</w:t>
      </w:r>
      <w:r w:rsidRPr="00C80D3A">
        <w:rPr>
          <w:rFonts w:ascii="Times New Roman" w:hAnsi="Times New Roman" w:cs="Times New Roman"/>
          <w:color w:val="000000"/>
          <w:sz w:val="26"/>
          <w:szCs w:val="26"/>
        </w:rPr>
        <w:t>emphasis added</w:t>
      </w:r>
      <w:r w:rsidR="00A45138" w:rsidRPr="00C80D3A">
        <w:rPr>
          <w:rFonts w:ascii="Times New Roman" w:hAnsi="Times New Roman" w:cs="Times New Roman"/>
          <w:color w:val="000000"/>
          <w:sz w:val="26"/>
          <w:szCs w:val="26"/>
        </w:rPr>
        <w:t xml:space="preserve">).  </w:t>
      </w:r>
    </w:p>
    <w:p w14:paraId="2A874DBA" w14:textId="77777777" w:rsidR="00506216" w:rsidRPr="00C80D3A" w:rsidRDefault="00506216" w:rsidP="00B811C1">
      <w:pPr>
        <w:spacing w:after="0" w:line="240" w:lineRule="auto"/>
        <w:contextualSpacing/>
        <w:rPr>
          <w:rFonts w:ascii="Times New Roman" w:hAnsi="Times New Roman" w:cs="Times New Roman"/>
          <w:i/>
          <w:sz w:val="26"/>
          <w:szCs w:val="26"/>
        </w:rPr>
      </w:pPr>
    </w:p>
    <w:p w14:paraId="23BDA107" w14:textId="77777777" w:rsidR="00506216" w:rsidRPr="00C80D3A" w:rsidRDefault="00506216" w:rsidP="00BC306B">
      <w:pPr>
        <w:spacing w:after="0" w:line="240" w:lineRule="auto"/>
        <w:contextualSpacing/>
        <w:rPr>
          <w:rFonts w:ascii="Times New Roman" w:hAnsi="Times New Roman" w:cs="Times New Roman"/>
          <w:sz w:val="26"/>
          <w:szCs w:val="26"/>
        </w:rPr>
      </w:pPr>
      <w:r w:rsidRPr="00C80D3A">
        <w:rPr>
          <w:rFonts w:ascii="Times New Roman" w:hAnsi="Times New Roman" w:cs="Times New Roman"/>
          <w:i/>
          <w:sz w:val="26"/>
          <w:szCs w:val="26"/>
        </w:rPr>
        <w:t>Final CAP Investigatory Order</w:t>
      </w:r>
      <w:r w:rsidRPr="00C80D3A">
        <w:rPr>
          <w:rFonts w:ascii="Times New Roman" w:hAnsi="Times New Roman" w:cs="Times New Roman"/>
          <w:sz w:val="26"/>
          <w:szCs w:val="26"/>
        </w:rPr>
        <w:t xml:space="preserve"> at 59.</w:t>
      </w:r>
    </w:p>
    <w:p w14:paraId="3CD755D2" w14:textId="77777777" w:rsidR="00506216" w:rsidRPr="00C80D3A" w:rsidRDefault="00506216" w:rsidP="00AF5019">
      <w:pPr>
        <w:spacing w:after="0" w:line="360" w:lineRule="auto"/>
        <w:contextualSpacing/>
        <w:rPr>
          <w:rFonts w:ascii="Times New Roman" w:hAnsi="Times New Roman" w:cs="Times New Roman"/>
          <w:sz w:val="26"/>
          <w:szCs w:val="26"/>
        </w:rPr>
      </w:pPr>
    </w:p>
    <w:p w14:paraId="2C042FAF" w14:textId="56DF3002" w:rsidR="00506216" w:rsidRDefault="00084DD7"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Commission </w:t>
      </w:r>
      <w:r w:rsidR="00F24265" w:rsidRPr="00C80D3A">
        <w:rPr>
          <w:rFonts w:ascii="Times New Roman" w:hAnsi="Times New Roman" w:cs="Times New Roman"/>
          <w:sz w:val="26"/>
          <w:szCs w:val="26"/>
        </w:rPr>
        <w:t xml:space="preserve">continues to </w:t>
      </w:r>
      <w:r w:rsidR="00506216" w:rsidRPr="00C80D3A">
        <w:rPr>
          <w:rFonts w:ascii="Times New Roman" w:hAnsi="Times New Roman" w:cs="Times New Roman"/>
          <w:sz w:val="26"/>
          <w:szCs w:val="26"/>
        </w:rPr>
        <w:t xml:space="preserve">agree with this assessment – particularly now that </w:t>
      </w:r>
      <w:r w:rsidR="00FA6114">
        <w:rPr>
          <w:rFonts w:ascii="Times New Roman" w:hAnsi="Times New Roman" w:cs="Times New Roman"/>
          <w:sz w:val="26"/>
          <w:szCs w:val="26"/>
        </w:rPr>
        <w:t xml:space="preserve">the </w:t>
      </w:r>
      <w:r w:rsidR="00506216" w:rsidRPr="00C80D3A">
        <w:rPr>
          <w:rFonts w:ascii="Times New Roman" w:hAnsi="Times New Roman" w:cs="Times New Roman"/>
          <w:sz w:val="26"/>
          <w:szCs w:val="26"/>
        </w:rPr>
        <w:t xml:space="preserve">average residential energy burden </w:t>
      </w:r>
      <w:r w:rsidR="00FA6114">
        <w:rPr>
          <w:rFonts w:ascii="Times New Roman" w:hAnsi="Times New Roman" w:cs="Times New Roman"/>
          <w:sz w:val="26"/>
          <w:szCs w:val="26"/>
        </w:rPr>
        <w:t xml:space="preserve">for jurisdictional natural gas and electric service </w:t>
      </w:r>
      <w:r w:rsidR="00506216" w:rsidRPr="00C80D3A">
        <w:rPr>
          <w:rFonts w:ascii="Times New Roman" w:hAnsi="Times New Roman" w:cs="Times New Roman"/>
          <w:sz w:val="26"/>
          <w:szCs w:val="26"/>
        </w:rPr>
        <w:t xml:space="preserve">is closer to 4% – and </w:t>
      </w:r>
      <w:r w:rsidR="00405EB4" w:rsidRPr="00C80D3A">
        <w:rPr>
          <w:rFonts w:ascii="Times New Roman" w:hAnsi="Times New Roman" w:cs="Times New Roman"/>
          <w:sz w:val="26"/>
          <w:szCs w:val="26"/>
        </w:rPr>
        <w:t>finds that a</w:t>
      </w:r>
      <w:r w:rsidR="00506216" w:rsidRPr="00C80D3A">
        <w:rPr>
          <w:rFonts w:ascii="Times New Roman" w:hAnsi="Times New Roman" w:cs="Times New Roman"/>
          <w:sz w:val="26"/>
          <w:szCs w:val="26"/>
        </w:rPr>
        <w:t xml:space="preserve"> maximum 10% energy burden for CAP </w:t>
      </w:r>
      <w:r w:rsidR="0043677B">
        <w:rPr>
          <w:rFonts w:ascii="Times New Roman" w:hAnsi="Times New Roman" w:cs="Times New Roman"/>
          <w:sz w:val="26"/>
          <w:szCs w:val="26"/>
        </w:rPr>
        <w:t>households with incomes between 51% and 1</w:t>
      </w:r>
      <w:r w:rsidR="000F1732">
        <w:rPr>
          <w:rFonts w:ascii="Times New Roman" w:hAnsi="Times New Roman" w:cs="Times New Roman"/>
          <w:sz w:val="26"/>
          <w:szCs w:val="26"/>
        </w:rPr>
        <w:t xml:space="preserve">50% of the FPIG </w:t>
      </w:r>
      <w:r w:rsidR="00405EB4" w:rsidRPr="00C80D3A">
        <w:rPr>
          <w:rFonts w:ascii="Times New Roman" w:hAnsi="Times New Roman" w:cs="Times New Roman"/>
          <w:sz w:val="26"/>
          <w:szCs w:val="26"/>
        </w:rPr>
        <w:t>is reasonable</w:t>
      </w:r>
      <w:r w:rsidR="00506216" w:rsidRPr="00C80D3A">
        <w:rPr>
          <w:rFonts w:ascii="Times New Roman" w:hAnsi="Times New Roman" w:cs="Times New Roman"/>
          <w:sz w:val="26"/>
          <w:szCs w:val="26"/>
        </w:rPr>
        <w:t xml:space="preserve">.  Specifically, </w:t>
      </w:r>
      <w:r w:rsidR="00475115" w:rsidRPr="00C80D3A">
        <w:rPr>
          <w:rFonts w:ascii="Times New Roman" w:hAnsi="Times New Roman" w:cs="Times New Roman"/>
          <w:sz w:val="26"/>
          <w:szCs w:val="26"/>
        </w:rPr>
        <w:t xml:space="preserve">the </w:t>
      </w:r>
      <w:r w:rsidR="00D77542" w:rsidRPr="00C80D3A">
        <w:rPr>
          <w:rFonts w:ascii="Times New Roman" w:hAnsi="Times New Roman" w:cs="Times New Roman"/>
          <w:sz w:val="26"/>
          <w:szCs w:val="26"/>
        </w:rPr>
        <w:t xml:space="preserve">amended </w:t>
      </w:r>
      <w:r w:rsidR="00475115" w:rsidRPr="00C80D3A">
        <w:rPr>
          <w:rFonts w:ascii="Times New Roman" w:hAnsi="Times New Roman" w:cs="Times New Roman"/>
          <w:sz w:val="26"/>
          <w:szCs w:val="26"/>
        </w:rPr>
        <w:t>CAP Policy Statement reflect</w:t>
      </w:r>
      <w:r w:rsidR="006A1C40" w:rsidRPr="00C80D3A">
        <w:rPr>
          <w:rFonts w:ascii="Times New Roman" w:hAnsi="Times New Roman" w:cs="Times New Roman"/>
          <w:sz w:val="26"/>
          <w:szCs w:val="26"/>
        </w:rPr>
        <w:t>s</w:t>
      </w:r>
      <w:r w:rsidR="00475115" w:rsidRPr="00C80D3A">
        <w:rPr>
          <w:rFonts w:ascii="Times New Roman" w:hAnsi="Times New Roman" w:cs="Times New Roman"/>
          <w:sz w:val="26"/>
          <w:szCs w:val="26"/>
        </w:rPr>
        <w:t xml:space="preserve"> </w:t>
      </w:r>
      <w:r w:rsidR="003D3D9F" w:rsidRPr="00C80D3A">
        <w:rPr>
          <w:rFonts w:ascii="Times New Roman" w:hAnsi="Times New Roman" w:cs="Times New Roman"/>
          <w:sz w:val="26"/>
          <w:szCs w:val="26"/>
        </w:rPr>
        <w:t xml:space="preserve">new </w:t>
      </w:r>
      <w:r w:rsidR="00506216" w:rsidRPr="00C80D3A">
        <w:rPr>
          <w:rFonts w:ascii="Times New Roman" w:hAnsi="Times New Roman" w:cs="Times New Roman"/>
          <w:sz w:val="26"/>
          <w:szCs w:val="26"/>
        </w:rPr>
        <w:t xml:space="preserve">maximum CAP energy burdens </w:t>
      </w:r>
      <w:r w:rsidR="003D3D9F" w:rsidRPr="00C80D3A">
        <w:rPr>
          <w:rFonts w:ascii="Times New Roman" w:hAnsi="Times New Roman" w:cs="Times New Roman"/>
          <w:sz w:val="26"/>
          <w:szCs w:val="26"/>
        </w:rPr>
        <w:t>of</w:t>
      </w:r>
      <w:r w:rsidR="00506216" w:rsidRPr="00C80D3A" w:rsidDel="003D3D9F">
        <w:rPr>
          <w:rFonts w:ascii="Times New Roman" w:hAnsi="Times New Roman" w:cs="Times New Roman"/>
          <w:sz w:val="26"/>
          <w:szCs w:val="26"/>
        </w:rPr>
        <w:t xml:space="preserve"> </w:t>
      </w:r>
      <w:r w:rsidR="00506216" w:rsidRPr="00C80D3A">
        <w:rPr>
          <w:rFonts w:ascii="Times New Roman" w:hAnsi="Times New Roman" w:cs="Times New Roman"/>
          <w:sz w:val="26"/>
          <w:szCs w:val="26"/>
        </w:rPr>
        <w:t>6% for natural gas heating, 4% for electric non-heating, and 10% for electric heating</w:t>
      </w:r>
      <w:r w:rsidR="00853344">
        <w:rPr>
          <w:rFonts w:ascii="Times New Roman" w:hAnsi="Times New Roman" w:cs="Times New Roman"/>
          <w:sz w:val="26"/>
          <w:szCs w:val="26"/>
        </w:rPr>
        <w:t xml:space="preserve"> for CAP households with incomes between 51% and 150% of the FPIG</w:t>
      </w:r>
      <w:r w:rsidR="00506216" w:rsidRPr="00C80D3A">
        <w:rPr>
          <w:rFonts w:ascii="Times New Roman" w:hAnsi="Times New Roman" w:cs="Times New Roman"/>
          <w:sz w:val="26"/>
          <w:szCs w:val="26"/>
        </w:rPr>
        <w:t xml:space="preserve">.  These energy burden thresholds </w:t>
      </w:r>
      <w:r w:rsidR="00BA348B" w:rsidRPr="00C80D3A">
        <w:rPr>
          <w:rFonts w:ascii="Times New Roman" w:hAnsi="Times New Roman" w:cs="Times New Roman"/>
          <w:sz w:val="26"/>
          <w:szCs w:val="26"/>
        </w:rPr>
        <w:t>should</w:t>
      </w:r>
      <w:r w:rsidR="00543E19" w:rsidRPr="00C80D3A">
        <w:rPr>
          <w:rFonts w:ascii="Times New Roman" w:hAnsi="Times New Roman" w:cs="Times New Roman"/>
          <w:sz w:val="26"/>
          <w:szCs w:val="26"/>
        </w:rPr>
        <w:t xml:space="preserve"> be considered </w:t>
      </w:r>
      <w:r w:rsidR="00506216" w:rsidRPr="00C80D3A">
        <w:rPr>
          <w:rFonts w:ascii="Times New Roman" w:hAnsi="Times New Roman" w:cs="Times New Roman"/>
          <w:sz w:val="26"/>
          <w:szCs w:val="26"/>
        </w:rPr>
        <w:t>maximum ceiling</w:t>
      </w:r>
      <w:r w:rsidR="00161B96">
        <w:rPr>
          <w:rFonts w:ascii="Times New Roman" w:hAnsi="Times New Roman" w:cs="Times New Roman"/>
          <w:sz w:val="26"/>
          <w:szCs w:val="26"/>
        </w:rPr>
        <w:t>s</w:t>
      </w:r>
      <w:r w:rsidR="00506216" w:rsidRPr="00C80D3A">
        <w:rPr>
          <w:rFonts w:ascii="Times New Roman" w:hAnsi="Times New Roman" w:cs="Times New Roman"/>
          <w:sz w:val="26"/>
          <w:szCs w:val="26"/>
        </w:rPr>
        <w:t xml:space="preserve"> for CAP payments, not required minimum amounts.  </w:t>
      </w:r>
    </w:p>
    <w:p w14:paraId="6CDDF180" w14:textId="19869C76" w:rsidR="00B75CC9" w:rsidRDefault="00B75CC9" w:rsidP="00315DBC">
      <w:pPr>
        <w:spacing w:after="0" w:line="360" w:lineRule="auto"/>
        <w:ind w:firstLine="720"/>
        <w:contextualSpacing/>
        <w:rPr>
          <w:rFonts w:ascii="Times New Roman" w:hAnsi="Times New Roman" w:cs="Times New Roman"/>
          <w:sz w:val="26"/>
          <w:szCs w:val="26"/>
        </w:rPr>
      </w:pPr>
    </w:p>
    <w:p w14:paraId="5C2D1024" w14:textId="1EBFEDA9" w:rsidR="00B75CC9" w:rsidRPr="003D4835" w:rsidRDefault="00B75CC9" w:rsidP="00315DBC">
      <w:pPr>
        <w:spacing w:after="0" w:line="360" w:lineRule="auto"/>
        <w:ind w:firstLine="720"/>
        <w:contextualSpacing/>
        <w:rPr>
          <w:rFonts w:ascii="Times New Roman" w:hAnsi="Times New Roman" w:cs="Times New Roman"/>
          <w:sz w:val="26"/>
          <w:szCs w:val="26"/>
        </w:rPr>
      </w:pPr>
      <w:r w:rsidRPr="00F5795D">
        <w:rPr>
          <w:rFonts w:ascii="Times New Roman" w:hAnsi="Times New Roman" w:cs="Times New Roman"/>
          <w:sz w:val="26"/>
          <w:szCs w:val="26"/>
        </w:rPr>
        <w:t xml:space="preserve">The </w:t>
      </w:r>
      <w:r w:rsidR="009E26EC" w:rsidRPr="00F5795D">
        <w:rPr>
          <w:rFonts w:ascii="Times New Roman" w:hAnsi="Times New Roman" w:cs="Times New Roman"/>
          <w:sz w:val="26"/>
          <w:szCs w:val="26"/>
        </w:rPr>
        <w:t xml:space="preserve">cost </w:t>
      </w:r>
      <w:r w:rsidRPr="00F5795D">
        <w:rPr>
          <w:rFonts w:ascii="Times New Roman" w:hAnsi="Times New Roman" w:cs="Times New Roman"/>
          <w:sz w:val="26"/>
          <w:szCs w:val="26"/>
        </w:rPr>
        <w:t xml:space="preserve">projections provided by EDCs and NGDCs, based on a hypothetical in which each utility would adopt a PIP CAP, suggests that </w:t>
      </w:r>
      <w:r w:rsidR="007E0FED" w:rsidRPr="00F5795D">
        <w:rPr>
          <w:rFonts w:ascii="Times New Roman" w:hAnsi="Times New Roman" w:cs="Times New Roman"/>
          <w:sz w:val="26"/>
          <w:szCs w:val="26"/>
        </w:rPr>
        <w:t>establishing a 10% maximum energy burden for CAP customers with incomes between 51% and 150% of the FPIG will not significantly increase CAP costs for most utilities.</w:t>
      </w:r>
    </w:p>
    <w:p w14:paraId="37A6109C" w14:textId="6821F674" w:rsidR="00506216" w:rsidRPr="003D4835" w:rsidRDefault="00506216" w:rsidP="00315DBC">
      <w:pPr>
        <w:spacing w:after="0" w:line="360" w:lineRule="auto"/>
        <w:contextualSpacing/>
        <w:rPr>
          <w:rFonts w:ascii="Times New Roman" w:hAnsi="Times New Roman" w:cs="Times New Roman"/>
          <w:sz w:val="26"/>
          <w:szCs w:val="26"/>
        </w:rPr>
      </w:pPr>
    </w:p>
    <w:p w14:paraId="24778495" w14:textId="4B41B0A4" w:rsidR="00E846B6" w:rsidRPr="00A42673" w:rsidRDefault="00E846B6" w:rsidP="00CA49C2">
      <w:pPr>
        <w:keepNext/>
        <w:spacing w:after="0" w:line="240" w:lineRule="auto"/>
        <w:contextualSpacing/>
        <w:rPr>
          <w:rFonts w:ascii="Times New Roman" w:hAnsi="Times New Roman" w:cs="Times New Roman"/>
          <w:i/>
          <w:sz w:val="26"/>
          <w:szCs w:val="26"/>
        </w:rPr>
      </w:pPr>
      <w:r w:rsidRPr="00F5795D">
        <w:rPr>
          <w:rFonts w:ascii="Times New Roman" w:hAnsi="Times New Roman" w:cs="Times New Roman"/>
          <w:i/>
          <w:sz w:val="26"/>
          <w:szCs w:val="26"/>
        </w:rPr>
        <w:t xml:space="preserve">Establishing a Recommended Maximum 6% Energy Burden for CAP Participants with Incomes </w:t>
      </w:r>
      <w:r w:rsidR="00443D8B" w:rsidRPr="00F5795D">
        <w:rPr>
          <w:rFonts w:ascii="Times New Roman" w:hAnsi="Times New Roman" w:cs="Times New Roman"/>
          <w:i/>
          <w:sz w:val="26"/>
          <w:szCs w:val="26"/>
        </w:rPr>
        <w:t>at</w:t>
      </w:r>
      <w:r w:rsidRPr="00F5795D">
        <w:rPr>
          <w:rFonts w:ascii="Times New Roman" w:hAnsi="Times New Roman" w:cs="Times New Roman"/>
          <w:i/>
          <w:sz w:val="26"/>
          <w:szCs w:val="26"/>
        </w:rPr>
        <w:t xml:space="preserve"> or Below 50% of the FPIG</w:t>
      </w:r>
    </w:p>
    <w:p w14:paraId="6C3E134E" w14:textId="77777777" w:rsidR="00E846B6" w:rsidRPr="00C80D3A" w:rsidRDefault="00E846B6" w:rsidP="0037736B">
      <w:pPr>
        <w:keepNext/>
        <w:spacing w:after="0" w:line="360" w:lineRule="auto"/>
        <w:contextualSpacing/>
        <w:rPr>
          <w:rFonts w:ascii="Times New Roman" w:hAnsi="Times New Roman" w:cs="Times New Roman"/>
          <w:sz w:val="26"/>
          <w:szCs w:val="26"/>
        </w:rPr>
      </w:pPr>
    </w:p>
    <w:p w14:paraId="0A437642" w14:textId="77777777" w:rsidR="00C43923" w:rsidRPr="00873F4D" w:rsidRDefault="00C43923" w:rsidP="00C43923">
      <w:pPr>
        <w:spacing w:after="0" w:line="360" w:lineRule="auto"/>
        <w:ind w:firstLine="720"/>
        <w:contextualSpacing/>
        <w:rPr>
          <w:rFonts w:ascii="Times New Roman" w:hAnsi="Times New Roman" w:cs="Times New Roman"/>
          <w:sz w:val="26"/>
          <w:szCs w:val="26"/>
        </w:rPr>
      </w:pPr>
      <w:r w:rsidRPr="00873F4D">
        <w:rPr>
          <w:rFonts w:ascii="Times New Roman" w:hAnsi="Times New Roman" w:cs="Times New Roman"/>
          <w:sz w:val="26"/>
          <w:szCs w:val="26"/>
        </w:rPr>
        <w:t>The Energy Affordability Report also illuminated that CAP households with an income at or below 50% of the FPIG, regardless of heating or non-heating status and energy type, often had energy burdens well above the limits established in the CAP Policy Statement – for some utilities, as high as 20%.</w:t>
      </w:r>
      <w:r w:rsidRPr="00873F4D">
        <w:rPr>
          <w:rStyle w:val="FootnoteReference"/>
          <w:rFonts w:ascii="Times New Roman" w:hAnsi="Times New Roman" w:cs="Times New Roman"/>
          <w:sz w:val="26"/>
          <w:szCs w:val="26"/>
        </w:rPr>
        <w:footnoteReference w:id="51"/>
      </w:r>
      <w:r w:rsidRPr="00873F4D">
        <w:rPr>
          <w:rFonts w:ascii="Times New Roman" w:hAnsi="Times New Roman" w:cs="Times New Roman"/>
          <w:sz w:val="26"/>
          <w:szCs w:val="26"/>
        </w:rPr>
        <w:t xml:space="preserve">  To put this into perspective, under existing policies, a customer with an annual household income of $10,000 can spend anywhere from $1,200 to $2,000 a year on electric and gas service combined.</w:t>
      </w:r>
      <w:r w:rsidRPr="00873F4D">
        <w:rPr>
          <w:rStyle w:val="FootnoteReference"/>
          <w:rFonts w:ascii="Times New Roman" w:hAnsi="Times New Roman" w:cs="Times New Roman"/>
          <w:sz w:val="26"/>
          <w:szCs w:val="26"/>
        </w:rPr>
        <w:footnoteReference w:id="52"/>
      </w:r>
    </w:p>
    <w:p w14:paraId="591C8350" w14:textId="77777777" w:rsidR="00C43923" w:rsidRPr="00873F4D" w:rsidRDefault="00C43923" w:rsidP="00C43923">
      <w:pPr>
        <w:spacing w:after="0" w:line="360" w:lineRule="auto"/>
        <w:ind w:firstLine="720"/>
        <w:contextualSpacing/>
        <w:rPr>
          <w:rFonts w:ascii="Times New Roman" w:hAnsi="Times New Roman" w:cs="Times New Roman"/>
          <w:sz w:val="26"/>
          <w:szCs w:val="26"/>
        </w:rPr>
      </w:pPr>
    </w:p>
    <w:p w14:paraId="5A9CE635" w14:textId="5B33FFE6" w:rsidR="004E0B2C" w:rsidRPr="00873F4D" w:rsidRDefault="004E0B2C" w:rsidP="004E0B2C">
      <w:pPr>
        <w:spacing w:after="0" w:line="360" w:lineRule="auto"/>
        <w:ind w:firstLine="720"/>
        <w:rPr>
          <w:rFonts w:ascii="Times New Roman" w:hAnsi="Times New Roman" w:cs="Times New Roman"/>
          <w:sz w:val="26"/>
          <w:szCs w:val="26"/>
        </w:rPr>
      </w:pPr>
      <w:r w:rsidRPr="00873F4D">
        <w:rPr>
          <w:rFonts w:ascii="Times New Roman" w:hAnsi="Times New Roman" w:cs="Times New Roman"/>
          <w:sz w:val="26"/>
          <w:szCs w:val="26"/>
        </w:rPr>
        <w:t>This vulnerable subset of customers is at greater risk of defaulting from utility customer assistance programs and faces higher rates of service termination due to late or missed payments, particularly for electric utility service.</w:t>
      </w:r>
      <w:r w:rsidRPr="00873F4D">
        <w:rPr>
          <w:rStyle w:val="FootnoteReference"/>
          <w:rFonts w:ascii="Times New Roman" w:hAnsi="Times New Roman" w:cs="Times New Roman"/>
          <w:sz w:val="26"/>
          <w:szCs w:val="26"/>
        </w:rPr>
        <w:footnoteReference w:id="53"/>
      </w:r>
      <w:r w:rsidRPr="00873F4D">
        <w:rPr>
          <w:rFonts w:ascii="Times New Roman" w:hAnsi="Times New Roman" w:cs="Times New Roman"/>
          <w:sz w:val="26"/>
          <w:szCs w:val="26"/>
        </w:rPr>
        <w:t xml:space="preserve">  In recent years, the Commission has noted this trend in various </w:t>
      </w:r>
      <w:r w:rsidR="004143F4" w:rsidRPr="00873F4D">
        <w:rPr>
          <w:rFonts w:ascii="Times New Roman" w:hAnsi="Times New Roman" w:cs="Times New Roman"/>
          <w:sz w:val="26"/>
          <w:szCs w:val="26"/>
        </w:rPr>
        <w:t xml:space="preserve">utility-specific </w:t>
      </w:r>
      <w:r w:rsidRPr="00873F4D">
        <w:rPr>
          <w:rFonts w:ascii="Times New Roman" w:hAnsi="Times New Roman" w:cs="Times New Roman"/>
          <w:sz w:val="26"/>
          <w:szCs w:val="26"/>
        </w:rPr>
        <w:t xml:space="preserve">USECP proceedings and subsequently directed utilities to work with interested parties to restructure </w:t>
      </w:r>
      <w:r w:rsidR="004143F4" w:rsidRPr="00873F4D">
        <w:rPr>
          <w:rFonts w:ascii="Times New Roman" w:hAnsi="Times New Roman" w:cs="Times New Roman"/>
          <w:sz w:val="26"/>
          <w:szCs w:val="26"/>
        </w:rPr>
        <w:t xml:space="preserve">particular </w:t>
      </w:r>
      <w:r w:rsidRPr="00873F4D">
        <w:rPr>
          <w:rFonts w:ascii="Times New Roman" w:hAnsi="Times New Roman" w:cs="Times New Roman"/>
          <w:sz w:val="26"/>
          <w:szCs w:val="26"/>
        </w:rPr>
        <w:t>CAPs in order to provide more affordable energy bills, particularly targeting customers in the greatest need of assistance.</w:t>
      </w:r>
      <w:r w:rsidRPr="00873F4D">
        <w:rPr>
          <w:rStyle w:val="FootnoteReference"/>
          <w:rFonts w:ascii="Times New Roman" w:hAnsi="Times New Roman" w:cs="Times New Roman"/>
          <w:sz w:val="26"/>
          <w:szCs w:val="26"/>
        </w:rPr>
        <w:footnoteReference w:id="54"/>
      </w:r>
      <w:r w:rsidRPr="00873F4D">
        <w:rPr>
          <w:rFonts w:ascii="Times New Roman" w:hAnsi="Times New Roman" w:cs="Times New Roman"/>
          <w:sz w:val="26"/>
          <w:szCs w:val="26"/>
        </w:rPr>
        <w:t xml:space="preserve"> </w:t>
      </w:r>
    </w:p>
    <w:p w14:paraId="50386468" w14:textId="4555318E" w:rsidR="004E0B2C" w:rsidRDefault="004E0B2C" w:rsidP="004E0B2C">
      <w:pPr>
        <w:spacing w:after="0" w:line="360" w:lineRule="auto"/>
        <w:ind w:firstLine="720"/>
        <w:rPr>
          <w:rFonts w:ascii="Times New Roman" w:hAnsi="Times New Roman" w:cs="Times New Roman"/>
          <w:sz w:val="26"/>
          <w:szCs w:val="26"/>
        </w:rPr>
      </w:pPr>
    </w:p>
    <w:p w14:paraId="705B00DB" w14:textId="038145DF" w:rsidR="00BE3FE3" w:rsidRDefault="00BE3FE3" w:rsidP="004E0B2C">
      <w:pPr>
        <w:spacing w:after="0" w:line="360" w:lineRule="auto"/>
        <w:ind w:firstLine="720"/>
        <w:rPr>
          <w:rFonts w:ascii="Times New Roman" w:hAnsi="Times New Roman" w:cs="Times New Roman"/>
          <w:sz w:val="26"/>
          <w:szCs w:val="26"/>
        </w:rPr>
      </w:pPr>
      <w:r w:rsidRPr="00F5795D">
        <w:rPr>
          <w:rFonts w:ascii="Times New Roman" w:hAnsi="Times New Roman" w:cs="Times New Roman"/>
          <w:sz w:val="26"/>
          <w:szCs w:val="26"/>
        </w:rPr>
        <w:t xml:space="preserve">Although the Energy Affordability Report and the Commission’s January 2019 Order did not analyze or address the potential cost impact of establishing a maximum </w:t>
      </w:r>
      <w:r w:rsidRPr="008C21C5">
        <w:rPr>
          <w:rFonts w:ascii="Times New Roman" w:hAnsi="Times New Roman" w:cs="Times New Roman"/>
          <w:sz w:val="26"/>
          <w:szCs w:val="26"/>
        </w:rPr>
        <w:t xml:space="preserve">6% CAP energy burden for customers at or below </w:t>
      </w:r>
      <w:r w:rsidR="007B2181" w:rsidRPr="008C21C5">
        <w:rPr>
          <w:rFonts w:ascii="Times New Roman" w:hAnsi="Times New Roman" w:cs="Times New Roman"/>
          <w:sz w:val="26"/>
          <w:szCs w:val="26"/>
        </w:rPr>
        <w:t>5</w:t>
      </w:r>
      <w:r w:rsidRPr="008C21C5">
        <w:rPr>
          <w:rFonts w:ascii="Times New Roman" w:hAnsi="Times New Roman" w:cs="Times New Roman"/>
          <w:sz w:val="26"/>
          <w:szCs w:val="26"/>
        </w:rPr>
        <w:t>0% of the F</w:t>
      </w:r>
      <w:r w:rsidR="007B2181" w:rsidRPr="008C21C5">
        <w:rPr>
          <w:rFonts w:ascii="Times New Roman" w:hAnsi="Times New Roman" w:cs="Times New Roman"/>
          <w:sz w:val="26"/>
          <w:szCs w:val="26"/>
        </w:rPr>
        <w:t>P</w:t>
      </w:r>
      <w:r w:rsidRPr="008C21C5">
        <w:rPr>
          <w:rFonts w:ascii="Times New Roman" w:hAnsi="Times New Roman" w:cs="Times New Roman"/>
          <w:sz w:val="26"/>
          <w:szCs w:val="26"/>
        </w:rPr>
        <w:t xml:space="preserve">IG, many parties in the </w:t>
      </w:r>
      <w:r w:rsidRPr="008C21C5">
        <w:rPr>
          <w:rFonts w:ascii="Times New Roman" w:hAnsi="Times New Roman" w:cs="Times New Roman"/>
          <w:i/>
          <w:iCs/>
          <w:sz w:val="26"/>
          <w:szCs w:val="26"/>
        </w:rPr>
        <w:t>Review</w:t>
      </w:r>
      <w:r w:rsidRPr="008C21C5">
        <w:rPr>
          <w:rFonts w:ascii="Times New Roman" w:hAnsi="Times New Roman" w:cs="Times New Roman"/>
          <w:sz w:val="26"/>
          <w:szCs w:val="26"/>
        </w:rPr>
        <w:t xml:space="preserve"> proceeding noted this energy burden threshold is used in low-income utility programs of neighboring states and recommended that Pennsylvania follow suit.</w:t>
      </w:r>
    </w:p>
    <w:p w14:paraId="2B3CFA90" w14:textId="77777777" w:rsidR="00BE3FE3" w:rsidRPr="00873F4D" w:rsidRDefault="00BE3FE3" w:rsidP="004E0B2C">
      <w:pPr>
        <w:spacing w:after="0" w:line="360" w:lineRule="auto"/>
        <w:ind w:firstLine="720"/>
        <w:rPr>
          <w:rFonts w:ascii="Times New Roman" w:hAnsi="Times New Roman" w:cs="Times New Roman"/>
          <w:sz w:val="26"/>
          <w:szCs w:val="26"/>
        </w:rPr>
      </w:pPr>
    </w:p>
    <w:p w14:paraId="60A7D1D3" w14:textId="1295C05E" w:rsidR="003918C2" w:rsidRPr="00873F4D" w:rsidRDefault="003918C2" w:rsidP="003918C2">
      <w:pPr>
        <w:spacing w:after="0" w:line="360" w:lineRule="auto"/>
        <w:ind w:firstLine="720"/>
        <w:rPr>
          <w:rFonts w:ascii="Times New Roman" w:hAnsi="Times New Roman" w:cs="Times New Roman"/>
          <w:sz w:val="26"/>
          <w:szCs w:val="26"/>
        </w:rPr>
      </w:pPr>
      <w:r w:rsidRPr="00873F4D">
        <w:rPr>
          <w:rFonts w:ascii="Times New Roman" w:hAnsi="Times New Roman" w:cs="Times New Roman"/>
          <w:sz w:val="26"/>
          <w:szCs w:val="26"/>
        </w:rPr>
        <w:t xml:space="preserve">For the aforementioned reasons, we </w:t>
      </w:r>
      <w:r w:rsidR="00FA0450" w:rsidRPr="00873F4D">
        <w:rPr>
          <w:rFonts w:ascii="Times New Roman" w:hAnsi="Times New Roman" w:cs="Times New Roman"/>
          <w:sz w:val="26"/>
          <w:szCs w:val="26"/>
        </w:rPr>
        <w:t xml:space="preserve">are of the opinion </w:t>
      </w:r>
      <w:r w:rsidRPr="00873F4D">
        <w:rPr>
          <w:rFonts w:ascii="Times New Roman" w:hAnsi="Times New Roman" w:cs="Times New Roman"/>
          <w:sz w:val="26"/>
          <w:szCs w:val="26"/>
        </w:rPr>
        <w:t xml:space="preserve">that a maximum energy burden threshold of 6% for customers at or below 50% of the FPIG is warranted and agree with the comments of the Low Income Advocates that “[c]ustomers at the lowest tiers of the </w:t>
      </w:r>
      <w:r w:rsidR="00FA0450" w:rsidRPr="00873F4D">
        <w:rPr>
          <w:rFonts w:ascii="Times New Roman" w:hAnsi="Times New Roman" w:cs="Times New Roman"/>
          <w:sz w:val="26"/>
          <w:szCs w:val="26"/>
        </w:rPr>
        <w:t>[FPIG]</w:t>
      </w:r>
      <w:r w:rsidRPr="00873F4D">
        <w:rPr>
          <w:rFonts w:ascii="Times New Roman" w:hAnsi="Times New Roman" w:cs="Times New Roman"/>
          <w:sz w:val="26"/>
          <w:szCs w:val="26"/>
        </w:rPr>
        <w:t xml:space="preserve"> cannot afford to pay 10</w:t>
      </w:r>
      <w:r w:rsidR="00FA0450" w:rsidRPr="00873F4D">
        <w:rPr>
          <w:rFonts w:ascii="Times New Roman" w:hAnsi="Times New Roman" w:cs="Times New Roman"/>
          <w:sz w:val="26"/>
          <w:szCs w:val="26"/>
        </w:rPr>
        <w:t xml:space="preserve">[%] </w:t>
      </w:r>
      <w:r w:rsidRPr="00873F4D">
        <w:rPr>
          <w:rFonts w:ascii="Times New Roman" w:hAnsi="Times New Roman" w:cs="Times New Roman"/>
          <w:sz w:val="26"/>
          <w:szCs w:val="26"/>
        </w:rPr>
        <w:t>of monthly income for their home energy bills.  Such a high energy burden for the lowest income customers will fail to satisfy the statutory objectives of universal service and continue to lead to disproportionate termination numbers.”</w:t>
      </w:r>
      <w:r w:rsidRPr="00873F4D">
        <w:rPr>
          <w:rStyle w:val="FootnoteReference"/>
          <w:rFonts w:ascii="Times New Roman" w:hAnsi="Times New Roman" w:cs="Times New Roman"/>
          <w:sz w:val="26"/>
          <w:szCs w:val="26"/>
        </w:rPr>
        <w:footnoteReference w:id="55"/>
      </w:r>
      <w:r w:rsidRPr="00873F4D">
        <w:rPr>
          <w:rFonts w:ascii="Times New Roman" w:hAnsi="Times New Roman" w:cs="Times New Roman"/>
          <w:sz w:val="26"/>
          <w:szCs w:val="26"/>
        </w:rPr>
        <w:t xml:space="preserve"> </w:t>
      </w:r>
    </w:p>
    <w:p w14:paraId="212975E7" w14:textId="77777777" w:rsidR="003918C2" w:rsidRPr="002826DF" w:rsidRDefault="003918C2" w:rsidP="003918C2">
      <w:pPr>
        <w:spacing w:after="0" w:line="360" w:lineRule="auto"/>
        <w:ind w:firstLine="720"/>
        <w:rPr>
          <w:rFonts w:ascii="Times New Roman" w:hAnsi="Times New Roman" w:cs="Times New Roman"/>
          <w:sz w:val="26"/>
          <w:szCs w:val="26"/>
        </w:rPr>
      </w:pPr>
    </w:p>
    <w:p w14:paraId="4B009162" w14:textId="7E611B63" w:rsidR="00550CF3" w:rsidRPr="002826DF" w:rsidRDefault="00550CF3" w:rsidP="00550CF3">
      <w:pPr>
        <w:spacing w:after="0" w:line="360" w:lineRule="auto"/>
        <w:ind w:firstLine="720"/>
        <w:rPr>
          <w:rFonts w:ascii="Times New Roman" w:hAnsi="Times New Roman" w:cs="Times New Roman"/>
          <w:sz w:val="26"/>
          <w:szCs w:val="26"/>
        </w:rPr>
      </w:pPr>
      <w:r w:rsidRPr="002826DF">
        <w:rPr>
          <w:rFonts w:ascii="Times New Roman" w:hAnsi="Times New Roman" w:cs="Times New Roman"/>
          <w:sz w:val="26"/>
          <w:szCs w:val="26"/>
        </w:rPr>
        <w:t xml:space="preserve">Under a 6% maximum energy burden, a household with an annual income of $10,000 could potentially save an average of $1,000 annually on </w:t>
      </w:r>
      <w:r>
        <w:rPr>
          <w:rFonts w:ascii="Times New Roman" w:hAnsi="Times New Roman" w:cs="Times New Roman"/>
          <w:sz w:val="26"/>
          <w:szCs w:val="26"/>
        </w:rPr>
        <w:t xml:space="preserve">combined </w:t>
      </w:r>
      <w:r w:rsidRPr="002826DF">
        <w:rPr>
          <w:rFonts w:ascii="Times New Roman" w:hAnsi="Times New Roman" w:cs="Times New Roman"/>
          <w:sz w:val="26"/>
          <w:szCs w:val="26"/>
        </w:rPr>
        <w:t xml:space="preserve">electric and </w:t>
      </w:r>
      <w:r>
        <w:rPr>
          <w:rFonts w:ascii="Times New Roman" w:hAnsi="Times New Roman" w:cs="Times New Roman"/>
          <w:sz w:val="26"/>
          <w:szCs w:val="26"/>
        </w:rPr>
        <w:t xml:space="preserve">natural </w:t>
      </w:r>
      <w:r w:rsidRPr="002826DF">
        <w:rPr>
          <w:rFonts w:ascii="Times New Roman" w:hAnsi="Times New Roman" w:cs="Times New Roman"/>
          <w:sz w:val="26"/>
          <w:szCs w:val="26"/>
        </w:rPr>
        <w:t>gas service</w:t>
      </w:r>
      <w:r w:rsidRPr="00873F4D">
        <w:rPr>
          <w:rFonts w:ascii="Times New Roman" w:hAnsi="Times New Roman" w:cs="Times New Roman"/>
          <w:sz w:val="26"/>
          <w:szCs w:val="26"/>
        </w:rPr>
        <w:t>.</w:t>
      </w:r>
      <w:r w:rsidR="00C77E85">
        <w:rPr>
          <w:rStyle w:val="FootnoteReference"/>
          <w:rFonts w:ascii="Times New Roman" w:hAnsi="Times New Roman" w:cs="Times New Roman"/>
          <w:sz w:val="26"/>
          <w:szCs w:val="26"/>
        </w:rPr>
        <w:footnoteReference w:id="56"/>
      </w:r>
      <w:r w:rsidRPr="00873F4D">
        <w:rPr>
          <w:rFonts w:ascii="Times New Roman" w:hAnsi="Times New Roman" w:cs="Times New Roman"/>
          <w:sz w:val="26"/>
          <w:szCs w:val="26"/>
        </w:rPr>
        <w:t xml:space="preserve"> </w:t>
      </w:r>
      <w:r w:rsidRPr="002826DF">
        <w:rPr>
          <w:rFonts w:ascii="Times New Roman" w:hAnsi="Times New Roman" w:cs="Times New Roman"/>
          <w:sz w:val="26"/>
          <w:szCs w:val="26"/>
        </w:rPr>
        <w:t xml:space="preserve"> </w:t>
      </w:r>
      <w:r w:rsidRPr="002826DF">
        <w:rPr>
          <w:rFonts w:ascii="Times New Roman" w:hAnsi="Times New Roman" w:cs="Times New Roman"/>
          <w:sz w:val="26"/>
          <w:szCs w:val="26"/>
          <w:shd w:val="clear" w:color="auto" w:fill="FFFFFF" w:themeFill="background1"/>
        </w:rPr>
        <w:t>This action w</w:t>
      </w:r>
      <w:r>
        <w:rPr>
          <w:rFonts w:ascii="Times New Roman" w:hAnsi="Times New Roman" w:cs="Times New Roman"/>
          <w:sz w:val="26"/>
          <w:szCs w:val="26"/>
          <w:shd w:val="clear" w:color="auto" w:fill="FFFFFF" w:themeFill="background1"/>
        </w:rPr>
        <w:t xml:space="preserve">ould </w:t>
      </w:r>
      <w:r w:rsidRPr="002826DF">
        <w:rPr>
          <w:rFonts w:ascii="Times New Roman" w:hAnsi="Times New Roman" w:cs="Times New Roman"/>
          <w:sz w:val="26"/>
          <w:szCs w:val="26"/>
          <w:shd w:val="clear" w:color="auto" w:fill="FFFFFF" w:themeFill="background1"/>
        </w:rPr>
        <w:t>have a meaningful impact for the approximately 95,000 households with income from 0</w:t>
      </w:r>
      <w:r w:rsidR="00284A2B">
        <w:rPr>
          <w:rFonts w:ascii="Times New Roman" w:hAnsi="Times New Roman" w:cs="Times New Roman"/>
          <w:sz w:val="26"/>
          <w:szCs w:val="26"/>
          <w:shd w:val="clear" w:color="auto" w:fill="FFFFFF" w:themeFill="background1"/>
        </w:rPr>
        <w:t xml:space="preserve">% to </w:t>
      </w:r>
      <w:r w:rsidRPr="002826DF">
        <w:rPr>
          <w:rFonts w:ascii="Times New Roman" w:hAnsi="Times New Roman" w:cs="Times New Roman"/>
          <w:sz w:val="26"/>
          <w:szCs w:val="26"/>
          <w:shd w:val="clear" w:color="auto" w:fill="FFFFFF" w:themeFill="background1"/>
        </w:rPr>
        <w:t xml:space="preserve">50% of </w:t>
      </w:r>
      <w:r w:rsidR="00284A2B">
        <w:rPr>
          <w:rFonts w:ascii="Times New Roman" w:hAnsi="Times New Roman" w:cs="Times New Roman"/>
          <w:sz w:val="26"/>
          <w:szCs w:val="26"/>
          <w:shd w:val="clear" w:color="auto" w:fill="FFFFFF" w:themeFill="background1"/>
        </w:rPr>
        <w:t xml:space="preserve">the FPIG </w:t>
      </w:r>
      <w:r w:rsidRPr="002826DF">
        <w:rPr>
          <w:rFonts w:ascii="Times New Roman" w:hAnsi="Times New Roman" w:cs="Times New Roman"/>
          <w:sz w:val="26"/>
          <w:szCs w:val="26"/>
          <w:shd w:val="clear" w:color="auto" w:fill="FFFFFF" w:themeFill="background1"/>
        </w:rPr>
        <w:t>enrolled in Pennsylvania utility CAPs,</w:t>
      </w:r>
      <w:r w:rsidRPr="007B5FE5">
        <w:rPr>
          <w:rStyle w:val="FootnoteReference"/>
          <w:rFonts w:ascii="Times New Roman" w:hAnsi="Times New Roman" w:cs="Times New Roman"/>
          <w:sz w:val="26"/>
          <w:szCs w:val="26"/>
          <w:shd w:val="clear" w:color="auto" w:fill="FFFFFF" w:themeFill="background1"/>
        </w:rPr>
        <w:footnoteReference w:id="57"/>
      </w:r>
      <w:r w:rsidRPr="002826DF">
        <w:rPr>
          <w:rFonts w:ascii="Times New Roman" w:hAnsi="Times New Roman" w:cs="Times New Roman"/>
          <w:sz w:val="26"/>
          <w:szCs w:val="26"/>
          <w:shd w:val="clear" w:color="auto" w:fill="FFFFFF" w:themeFill="background1"/>
        </w:rPr>
        <w:t xml:space="preserve"> and </w:t>
      </w:r>
      <w:r w:rsidR="00B63C4E">
        <w:rPr>
          <w:rFonts w:ascii="Times New Roman" w:hAnsi="Times New Roman" w:cs="Times New Roman"/>
          <w:sz w:val="26"/>
          <w:szCs w:val="26"/>
          <w:shd w:val="clear" w:color="auto" w:fill="FFFFFF" w:themeFill="background1"/>
        </w:rPr>
        <w:t xml:space="preserve">on </w:t>
      </w:r>
      <w:r w:rsidRPr="002826DF">
        <w:rPr>
          <w:rFonts w:ascii="Times New Roman" w:hAnsi="Times New Roman" w:cs="Times New Roman"/>
          <w:sz w:val="26"/>
          <w:szCs w:val="26"/>
          <w:shd w:val="clear" w:color="auto" w:fill="FFFFFF" w:themeFill="background1"/>
        </w:rPr>
        <w:t>all hou</w:t>
      </w:r>
      <w:r w:rsidRPr="002826DF">
        <w:rPr>
          <w:rFonts w:ascii="Times New Roman" w:hAnsi="Times New Roman" w:cs="Times New Roman"/>
          <w:sz w:val="26"/>
          <w:szCs w:val="26"/>
        </w:rPr>
        <w:t>seholds that would be income-eligible and in need of energy assistance</w:t>
      </w:r>
      <w:r w:rsidR="00B63C4E">
        <w:rPr>
          <w:rFonts w:ascii="Times New Roman" w:hAnsi="Times New Roman" w:cs="Times New Roman"/>
          <w:sz w:val="26"/>
          <w:szCs w:val="26"/>
        </w:rPr>
        <w:t xml:space="preserve"> in the future</w:t>
      </w:r>
      <w:r w:rsidRPr="002826DF">
        <w:rPr>
          <w:rFonts w:ascii="Times New Roman" w:hAnsi="Times New Roman" w:cs="Times New Roman"/>
          <w:sz w:val="26"/>
          <w:szCs w:val="26"/>
        </w:rPr>
        <w:t xml:space="preserve">. </w:t>
      </w:r>
    </w:p>
    <w:p w14:paraId="6FD63B62" w14:textId="1A918377" w:rsidR="00550CF3" w:rsidRDefault="00550CF3" w:rsidP="00641A00">
      <w:pPr>
        <w:spacing w:after="0" w:line="360" w:lineRule="auto"/>
        <w:ind w:firstLine="720"/>
        <w:rPr>
          <w:rFonts w:ascii="Times New Roman" w:hAnsi="Times New Roman" w:cs="Times New Roman"/>
          <w:sz w:val="26"/>
          <w:szCs w:val="26"/>
        </w:rPr>
      </w:pPr>
    </w:p>
    <w:p w14:paraId="5B6D1AC2" w14:textId="4F298061" w:rsidR="00BA3817" w:rsidRDefault="00BA3817" w:rsidP="00BA3817">
      <w:pPr>
        <w:keepNext/>
        <w:spacing w:after="0" w:line="240" w:lineRule="auto"/>
        <w:contextualSpacing/>
        <w:rPr>
          <w:rFonts w:ascii="Times New Roman" w:hAnsi="Times New Roman" w:cs="Times New Roman"/>
          <w:i/>
          <w:sz w:val="26"/>
          <w:szCs w:val="26"/>
        </w:rPr>
      </w:pPr>
      <w:r w:rsidRPr="000C5E3E">
        <w:rPr>
          <w:rFonts w:ascii="Times New Roman" w:hAnsi="Times New Roman" w:cs="Times New Roman"/>
          <w:i/>
          <w:sz w:val="26"/>
          <w:szCs w:val="26"/>
        </w:rPr>
        <w:t>CAP Payment Structures</w:t>
      </w:r>
    </w:p>
    <w:p w14:paraId="71CEC633" w14:textId="77777777" w:rsidR="00BA3817" w:rsidRPr="002826DF" w:rsidRDefault="00BA3817" w:rsidP="00B83F30">
      <w:pPr>
        <w:keepNext/>
        <w:spacing w:after="0" w:line="360" w:lineRule="auto"/>
        <w:ind w:firstLine="720"/>
        <w:rPr>
          <w:rFonts w:ascii="Times New Roman" w:hAnsi="Times New Roman" w:cs="Times New Roman"/>
          <w:sz w:val="26"/>
          <w:szCs w:val="26"/>
        </w:rPr>
      </w:pPr>
    </w:p>
    <w:p w14:paraId="1C0DA0D1" w14:textId="05D0499C" w:rsidR="00506216" w:rsidRPr="00C80D3A" w:rsidRDefault="002042B1"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We</w:t>
      </w:r>
      <w:r w:rsidR="00506216" w:rsidRPr="00C80D3A">
        <w:rPr>
          <w:rFonts w:ascii="Times New Roman" w:hAnsi="Times New Roman" w:cs="Times New Roman"/>
          <w:sz w:val="26"/>
          <w:szCs w:val="26"/>
        </w:rPr>
        <w:t xml:space="preserve"> agree with OCA, Columbia, and NFG that utilities should be permitted to maintain CAP payment structures that best meet the needs of </w:t>
      </w:r>
      <w:r w:rsidR="00D15284" w:rsidRPr="00C80D3A">
        <w:rPr>
          <w:rFonts w:ascii="Times New Roman" w:hAnsi="Times New Roman" w:cs="Times New Roman"/>
          <w:sz w:val="26"/>
          <w:szCs w:val="26"/>
        </w:rPr>
        <w:t>t</w:t>
      </w:r>
      <w:r w:rsidR="00DA33C9">
        <w:rPr>
          <w:rFonts w:ascii="Times New Roman" w:hAnsi="Times New Roman" w:cs="Times New Roman"/>
          <w:sz w:val="26"/>
          <w:szCs w:val="26"/>
        </w:rPr>
        <w:t>heir</w:t>
      </w:r>
      <w:r w:rsidR="00D15284" w:rsidRPr="00C80D3A">
        <w:rPr>
          <w:rFonts w:ascii="Times New Roman" w:hAnsi="Times New Roman" w:cs="Times New Roman"/>
          <w:sz w:val="26"/>
          <w:szCs w:val="26"/>
        </w:rPr>
        <w:t xml:space="preserve"> </w:t>
      </w:r>
      <w:r w:rsidR="00506216" w:rsidRPr="00C80D3A">
        <w:rPr>
          <w:rFonts w:ascii="Times New Roman" w:hAnsi="Times New Roman" w:cs="Times New Roman"/>
          <w:sz w:val="26"/>
          <w:szCs w:val="26"/>
        </w:rPr>
        <w:t xml:space="preserve">service territories.  Therefore, we </w:t>
      </w:r>
      <w:r w:rsidR="007800DA" w:rsidRPr="00C80D3A">
        <w:rPr>
          <w:rFonts w:ascii="Times New Roman" w:hAnsi="Times New Roman" w:cs="Times New Roman"/>
          <w:sz w:val="26"/>
          <w:szCs w:val="26"/>
        </w:rPr>
        <w:t xml:space="preserve">are not </w:t>
      </w:r>
      <w:r w:rsidR="00506216" w:rsidRPr="00C80D3A">
        <w:rPr>
          <w:rFonts w:ascii="Times New Roman" w:hAnsi="Times New Roman" w:cs="Times New Roman"/>
          <w:sz w:val="26"/>
          <w:szCs w:val="26"/>
        </w:rPr>
        <w:t>requiring that EDCs and NGDCs adopt PIP</w:t>
      </w:r>
      <w:r w:rsidR="00DA33C9">
        <w:rPr>
          <w:rFonts w:ascii="Times New Roman" w:hAnsi="Times New Roman" w:cs="Times New Roman"/>
          <w:sz w:val="26"/>
          <w:szCs w:val="26"/>
        </w:rPr>
        <w:t>s</w:t>
      </w:r>
      <w:r w:rsidR="00506216" w:rsidRPr="00C80D3A">
        <w:rPr>
          <w:rFonts w:ascii="Times New Roman" w:hAnsi="Times New Roman" w:cs="Times New Roman"/>
          <w:sz w:val="26"/>
          <w:szCs w:val="26"/>
        </w:rPr>
        <w:t xml:space="preserve">.  However, each utility CAP payment plan </w:t>
      </w:r>
      <w:r w:rsidR="000D2681" w:rsidRPr="00C80D3A">
        <w:rPr>
          <w:rFonts w:ascii="Times New Roman" w:hAnsi="Times New Roman" w:cs="Times New Roman"/>
          <w:sz w:val="26"/>
          <w:szCs w:val="26"/>
        </w:rPr>
        <w:t>should</w:t>
      </w:r>
      <w:r w:rsidR="00506216" w:rsidRPr="00C80D3A">
        <w:rPr>
          <w:rFonts w:ascii="Times New Roman" w:hAnsi="Times New Roman" w:cs="Times New Roman"/>
          <w:sz w:val="26"/>
          <w:szCs w:val="26"/>
        </w:rPr>
        <w:t xml:space="preserve"> be designed to ensure a household</w:t>
      </w:r>
      <w:r w:rsidR="001529C6">
        <w:rPr>
          <w:rFonts w:ascii="Times New Roman" w:hAnsi="Times New Roman" w:cs="Times New Roman"/>
          <w:sz w:val="26"/>
          <w:szCs w:val="26"/>
        </w:rPr>
        <w:t>’</w:t>
      </w:r>
      <w:r w:rsidR="00506216" w:rsidRPr="00C80D3A">
        <w:rPr>
          <w:rFonts w:ascii="Times New Roman" w:hAnsi="Times New Roman" w:cs="Times New Roman"/>
          <w:sz w:val="26"/>
          <w:szCs w:val="26"/>
        </w:rPr>
        <w:t>s total CAP bill – including any add-ons such as PPA co-payments or CAP Plus charges – will not exceed the Commission</w:t>
      </w:r>
      <w:r w:rsidR="001529C6">
        <w:rPr>
          <w:rFonts w:ascii="Times New Roman" w:hAnsi="Times New Roman" w:cs="Times New Roman"/>
          <w:sz w:val="26"/>
          <w:szCs w:val="26"/>
        </w:rPr>
        <w:t>’</w:t>
      </w:r>
      <w:r w:rsidR="00506216" w:rsidRPr="00C80D3A">
        <w:rPr>
          <w:rFonts w:ascii="Times New Roman" w:hAnsi="Times New Roman" w:cs="Times New Roman"/>
          <w:sz w:val="26"/>
          <w:szCs w:val="26"/>
        </w:rPr>
        <w:t>s energy burden threshold.</w:t>
      </w:r>
      <w:r w:rsidR="00B07CE6" w:rsidRPr="00C80D3A">
        <w:rPr>
          <w:rStyle w:val="FootnoteReference"/>
          <w:rFonts w:ascii="Times New Roman" w:hAnsi="Times New Roman" w:cs="Times New Roman"/>
          <w:sz w:val="26"/>
          <w:szCs w:val="26"/>
        </w:rPr>
        <w:footnoteReference w:id="58"/>
      </w:r>
      <w:r w:rsidR="00506216" w:rsidRPr="00C80D3A">
        <w:rPr>
          <w:rFonts w:ascii="Times New Roman" w:hAnsi="Times New Roman" w:cs="Times New Roman"/>
          <w:sz w:val="26"/>
          <w:szCs w:val="26"/>
        </w:rPr>
        <w:t xml:space="preserve">  However, if the minimum CAP payment is higher than the energy burden threshold, the household may be charged the higher minimum CAP payment.</w:t>
      </w:r>
      <w:r w:rsidR="00EA1368" w:rsidRPr="00C80D3A">
        <w:rPr>
          <w:rStyle w:val="FootnoteReference"/>
          <w:rFonts w:ascii="Times New Roman" w:hAnsi="Times New Roman" w:cs="Times New Roman"/>
          <w:sz w:val="26"/>
          <w:szCs w:val="26"/>
        </w:rPr>
        <w:footnoteReference w:id="59"/>
      </w:r>
    </w:p>
    <w:p w14:paraId="73B77A5B" w14:textId="3C50604B" w:rsidR="00BA348B" w:rsidRDefault="00B769AE" w:rsidP="0092002D">
      <w:pPr>
        <w:keepNext/>
        <w:spacing w:after="0" w:line="24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 xml:space="preserve">Resolution: </w:t>
      </w:r>
      <w:r w:rsidR="00BA348B" w:rsidRPr="00C80D3A">
        <w:rPr>
          <w:rFonts w:ascii="Times New Roman" w:hAnsi="Times New Roman" w:cs="Times New Roman"/>
          <w:b/>
          <w:bCs/>
          <w:sz w:val="26"/>
          <w:szCs w:val="26"/>
        </w:rPr>
        <w:t xml:space="preserve">Amend Section 69.265(2) </w:t>
      </w:r>
      <w:r w:rsidR="00BA348B" w:rsidRPr="00C80D3A">
        <w:rPr>
          <w:rFonts w:ascii="Times New Roman" w:hAnsi="Times New Roman" w:cs="Times New Roman"/>
          <w:b/>
          <w:bCs/>
          <w:iCs/>
          <w:sz w:val="26"/>
          <w:szCs w:val="26"/>
        </w:rPr>
        <w:t xml:space="preserve">– </w:t>
      </w:r>
      <w:r w:rsidR="00BA348B" w:rsidRPr="00C80D3A">
        <w:rPr>
          <w:rFonts w:ascii="Times New Roman" w:hAnsi="Times New Roman" w:cs="Times New Roman"/>
          <w:b/>
          <w:bCs/>
          <w:sz w:val="26"/>
          <w:szCs w:val="26"/>
        </w:rPr>
        <w:t>Payment Plan</w:t>
      </w:r>
      <w:r w:rsidR="00CB3B5C">
        <w:rPr>
          <w:rFonts w:ascii="Times New Roman" w:hAnsi="Times New Roman" w:cs="Times New Roman"/>
          <w:b/>
          <w:bCs/>
          <w:sz w:val="26"/>
          <w:szCs w:val="26"/>
        </w:rPr>
        <w:t xml:space="preserve">; Section 69.262 </w:t>
      </w:r>
      <w:r w:rsidR="00CB3B5C" w:rsidRPr="00C80D3A">
        <w:rPr>
          <w:rFonts w:ascii="Times New Roman" w:hAnsi="Times New Roman" w:cs="Times New Roman"/>
          <w:b/>
          <w:bCs/>
          <w:iCs/>
          <w:sz w:val="26"/>
          <w:szCs w:val="26"/>
        </w:rPr>
        <w:t xml:space="preserve">– </w:t>
      </w:r>
      <w:r w:rsidR="00CB3B5C">
        <w:rPr>
          <w:rFonts w:ascii="Times New Roman" w:hAnsi="Times New Roman" w:cs="Times New Roman"/>
          <w:b/>
          <w:bCs/>
          <w:sz w:val="26"/>
          <w:szCs w:val="26"/>
        </w:rPr>
        <w:t>Definitions</w:t>
      </w:r>
      <w:r w:rsidR="00C12A5D">
        <w:rPr>
          <w:rFonts w:ascii="Times New Roman" w:hAnsi="Times New Roman" w:cs="Times New Roman"/>
          <w:b/>
          <w:bCs/>
          <w:sz w:val="26"/>
          <w:szCs w:val="26"/>
        </w:rPr>
        <w:t>.</w:t>
      </w:r>
    </w:p>
    <w:p w14:paraId="677DD9C7" w14:textId="77777777" w:rsidR="0092002D" w:rsidRPr="00C80D3A" w:rsidRDefault="0092002D" w:rsidP="00F04703">
      <w:pPr>
        <w:keepNext/>
        <w:spacing w:after="0" w:line="240" w:lineRule="auto"/>
        <w:contextualSpacing/>
        <w:rPr>
          <w:rFonts w:ascii="Times New Roman" w:hAnsi="Times New Roman" w:cs="Times New Roman"/>
          <w:b/>
          <w:bCs/>
          <w:sz w:val="26"/>
          <w:szCs w:val="26"/>
        </w:rPr>
      </w:pPr>
    </w:p>
    <w:p w14:paraId="06F6C34F" w14:textId="6E0C3E30" w:rsidR="00EF6F22" w:rsidRDefault="00BA348B"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B769AE" w:rsidRPr="00C80D3A">
        <w:rPr>
          <w:rFonts w:ascii="Times New Roman" w:hAnsi="Times New Roman" w:cs="Times New Roman"/>
          <w:sz w:val="26"/>
          <w:szCs w:val="26"/>
        </w:rPr>
        <w:t>Consistent with the discussion above, this Order amend</w:t>
      </w:r>
      <w:r w:rsidRPr="00C80D3A">
        <w:rPr>
          <w:rFonts w:ascii="Times New Roman" w:hAnsi="Times New Roman" w:cs="Times New Roman"/>
          <w:sz w:val="26"/>
          <w:szCs w:val="26"/>
        </w:rPr>
        <w:t>s Section 69.265(2) of</w:t>
      </w:r>
      <w:r w:rsidR="00B769AE" w:rsidRPr="00C80D3A">
        <w:rPr>
          <w:rFonts w:ascii="Times New Roman" w:hAnsi="Times New Roman" w:cs="Times New Roman"/>
          <w:sz w:val="26"/>
          <w:szCs w:val="26"/>
        </w:rPr>
        <w:t xml:space="preserve"> the CAP Policy Statement as indicated in Annex</w:t>
      </w:r>
      <w:r w:rsidR="005704DB" w:rsidRPr="00C80D3A">
        <w:rPr>
          <w:rFonts w:ascii="Times New Roman" w:hAnsi="Times New Roman" w:cs="Times New Roman"/>
          <w:sz w:val="26"/>
          <w:szCs w:val="26"/>
        </w:rPr>
        <w:t xml:space="preserve"> A</w:t>
      </w:r>
      <w:r w:rsidR="00B769AE" w:rsidRPr="00C80D3A">
        <w:rPr>
          <w:rFonts w:ascii="Times New Roman" w:hAnsi="Times New Roman" w:cs="Times New Roman"/>
          <w:sz w:val="26"/>
          <w:szCs w:val="26"/>
        </w:rPr>
        <w:t xml:space="preserve">.  </w:t>
      </w:r>
      <w:r w:rsidR="00E7550C" w:rsidRPr="00C80D3A">
        <w:rPr>
          <w:rFonts w:ascii="Times New Roman" w:hAnsi="Times New Roman" w:cs="Times New Roman"/>
          <w:sz w:val="26"/>
          <w:szCs w:val="26"/>
        </w:rPr>
        <w:t xml:space="preserve">The new </w:t>
      </w:r>
      <w:r w:rsidR="00AE2825" w:rsidRPr="00C80D3A">
        <w:rPr>
          <w:rFonts w:ascii="Times New Roman" w:hAnsi="Times New Roman" w:cs="Times New Roman"/>
          <w:sz w:val="26"/>
          <w:szCs w:val="26"/>
        </w:rPr>
        <w:t xml:space="preserve">maximum CAP </w:t>
      </w:r>
      <w:r w:rsidR="00E7550C" w:rsidRPr="00C80D3A">
        <w:rPr>
          <w:rFonts w:ascii="Times New Roman" w:hAnsi="Times New Roman" w:cs="Times New Roman"/>
          <w:sz w:val="26"/>
          <w:szCs w:val="26"/>
        </w:rPr>
        <w:t xml:space="preserve">energy burdens </w:t>
      </w:r>
      <w:r w:rsidR="00552568">
        <w:rPr>
          <w:rFonts w:ascii="Times New Roman" w:hAnsi="Times New Roman" w:cs="Times New Roman"/>
          <w:sz w:val="26"/>
          <w:szCs w:val="26"/>
        </w:rPr>
        <w:t>are</w:t>
      </w:r>
      <w:r w:rsidR="003B67D7">
        <w:rPr>
          <w:rFonts w:ascii="Times New Roman" w:hAnsi="Times New Roman" w:cs="Times New Roman"/>
          <w:sz w:val="26"/>
          <w:szCs w:val="26"/>
        </w:rPr>
        <w:t>:</w:t>
      </w:r>
      <w:r w:rsidR="00AE2825" w:rsidRPr="00C80D3A">
        <w:rPr>
          <w:rFonts w:ascii="Times New Roman" w:hAnsi="Times New Roman" w:cs="Times New Roman"/>
          <w:sz w:val="26"/>
          <w:szCs w:val="26"/>
        </w:rPr>
        <w:t xml:space="preserve"> </w:t>
      </w:r>
    </w:p>
    <w:p w14:paraId="71E91E35" w14:textId="1A664026" w:rsidR="00CC1541" w:rsidRDefault="00CC1541" w:rsidP="00315DBC">
      <w:pPr>
        <w:spacing w:after="0" w:line="360" w:lineRule="auto"/>
        <w:contextualSpacing/>
        <w:rPr>
          <w:rFonts w:ascii="Times New Roman" w:hAnsi="Times New Roman" w:cs="Times New Roman"/>
          <w:sz w:val="26"/>
          <w:szCs w:val="26"/>
        </w:rPr>
      </w:pPr>
    </w:p>
    <w:p w14:paraId="6403CD8B" w14:textId="0E4602B2" w:rsidR="00447CED" w:rsidRPr="003D379F" w:rsidRDefault="00BF4C37" w:rsidP="00BF4C37">
      <w:pPr>
        <w:spacing w:after="0" w:line="240" w:lineRule="auto"/>
        <w:contextualSpacing/>
        <w:jc w:val="center"/>
        <w:rPr>
          <w:rFonts w:ascii="Times New Roman" w:hAnsi="Times New Roman" w:cs="Times New Roman"/>
          <w:b/>
          <w:sz w:val="26"/>
          <w:szCs w:val="26"/>
        </w:rPr>
      </w:pPr>
      <w:r w:rsidRPr="003D379F">
        <w:rPr>
          <w:rFonts w:ascii="Times New Roman" w:hAnsi="Times New Roman" w:cs="Times New Roman"/>
          <w:b/>
          <w:sz w:val="26"/>
          <w:szCs w:val="26"/>
        </w:rPr>
        <w:t xml:space="preserve">Table </w:t>
      </w:r>
      <w:r w:rsidR="00EF6F22" w:rsidRPr="003D379F">
        <w:rPr>
          <w:rFonts w:ascii="Times New Roman" w:hAnsi="Times New Roman" w:cs="Times New Roman"/>
          <w:b/>
          <w:sz w:val="26"/>
          <w:szCs w:val="26"/>
        </w:rPr>
        <w:t>2</w:t>
      </w:r>
    </w:p>
    <w:p w14:paraId="2EE217F8" w14:textId="01F69C1B" w:rsidR="00EF6F22" w:rsidRPr="003D379F" w:rsidRDefault="00EF6F22" w:rsidP="003D379F">
      <w:pPr>
        <w:spacing w:after="0" w:line="240" w:lineRule="auto"/>
        <w:contextualSpacing/>
        <w:jc w:val="center"/>
        <w:rPr>
          <w:rFonts w:ascii="Times New Roman" w:hAnsi="Times New Roman" w:cs="Times New Roman"/>
          <w:b/>
          <w:sz w:val="26"/>
          <w:szCs w:val="26"/>
        </w:rPr>
      </w:pPr>
      <w:r w:rsidRPr="003D379F">
        <w:rPr>
          <w:rFonts w:ascii="Times New Roman" w:hAnsi="Times New Roman" w:cs="Times New Roman"/>
          <w:b/>
          <w:sz w:val="26"/>
          <w:szCs w:val="26"/>
        </w:rPr>
        <w:t>New Maximum Energy Burden Thresholds</w:t>
      </w:r>
    </w:p>
    <w:tbl>
      <w:tblPr>
        <w:tblStyle w:val="TableGrid"/>
        <w:tblW w:w="9445" w:type="dxa"/>
        <w:tblLook w:val="04A0" w:firstRow="1" w:lastRow="0" w:firstColumn="1" w:lastColumn="0" w:noHBand="0" w:noVBand="1"/>
      </w:tblPr>
      <w:tblGrid>
        <w:gridCol w:w="2695"/>
        <w:gridCol w:w="1980"/>
        <w:gridCol w:w="2430"/>
        <w:gridCol w:w="2340"/>
      </w:tblGrid>
      <w:tr w:rsidR="00BF2952" w14:paraId="613E6D9E" w14:textId="77777777" w:rsidTr="003D379F">
        <w:tc>
          <w:tcPr>
            <w:tcW w:w="2695" w:type="dxa"/>
          </w:tcPr>
          <w:p w14:paraId="0C3A9457" w14:textId="4559DA3F" w:rsidR="00BF2952" w:rsidRDefault="00BF2952" w:rsidP="003D379F">
            <w:pPr>
              <w:contextualSpacing/>
              <w:rPr>
                <w:sz w:val="26"/>
                <w:szCs w:val="26"/>
              </w:rPr>
            </w:pPr>
            <w:r w:rsidRPr="002826DF">
              <w:rPr>
                <w:sz w:val="26"/>
                <w:szCs w:val="26"/>
              </w:rPr>
              <w:t>Utility Service Type</w:t>
            </w:r>
          </w:p>
        </w:tc>
        <w:tc>
          <w:tcPr>
            <w:tcW w:w="1980" w:type="dxa"/>
          </w:tcPr>
          <w:p w14:paraId="3E598D38" w14:textId="231689D7" w:rsidR="00BF2952" w:rsidRDefault="00BF2952" w:rsidP="003D379F">
            <w:pPr>
              <w:contextualSpacing/>
              <w:jc w:val="center"/>
              <w:rPr>
                <w:sz w:val="26"/>
                <w:szCs w:val="26"/>
              </w:rPr>
            </w:pPr>
            <w:r w:rsidRPr="002826DF">
              <w:rPr>
                <w:sz w:val="26"/>
                <w:szCs w:val="26"/>
              </w:rPr>
              <w:t xml:space="preserve">0-50% </w:t>
            </w:r>
            <w:r>
              <w:rPr>
                <w:sz w:val="26"/>
                <w:szCs w:val="26"/>
              </w:rPr>
              <w:t>FPIG</w:t>
            </w:r>
          </w:p>
        </w:tc>
        <w:tc>
          <w:tcPr>
            <w:tcW w:w="2430" w:type="dxa"/>
          </w:tcPr>
          <w:p w14:paraId="0C8B7F5A" w14:textId="32B2C69C" w:rsidR="00BF2952" w:rsidRDefault="00BF2952" w:rsidP="003D379F">
            <w:pPr>
              <w:contextualSpacing/>
              <w:jc w:val="center"/>
              <w:rPr>
                <w:sz w:val="26"/>
                <w:szCs w:val="26"/>
              </w:rPr>
            </w:pPr>
            <w:r w:rsidRPr="002826DF">
              <w:rPr>
                <w:sz w:val="26"/>
                <w:szCs w:val="26"/>
              </w:rPr>
              <w:t xml:space="preserve">51-100% </w:t>
            </w:r>
            <w:r>
              <w:rPr>
                <w:sz w:val="26"/>
                <w:szCs w:val="26"/>
              </w:rPr>
              <w:t>FPIG</w:t>
            </w:r>
          </w:p>
        </w:tc>
        <w:tc>
          <w:tcPr>
            <w:tcW w:w="2340" w:type="dxa"/>
          </w:tcPr>
          <w:p w14:paraId="5EA169A6" w14:textId="0F7A2FC8" w:rsidR="00BF2952" w:rsidRDefault="00BF2952" w:rsidP="003D379F">
            <w:pPr>
              <w:contextualSpacing/>
              <w:jc w:val="center"/>
              <w:rPr>
                <w:sz w:val="26"/>
                <w:szCs w:val="26"/>
              </w:rPr>
            </w:pPr>
            <w:r w:rsidRPr="002826DF">
              <w:rPr>
                <w:sz w:val="26"/>
                <w:szCs w:val="26"/>
              </w:rPr>
              <w:t xml:space="preserve">101-150% </w:t>
            </w:r>
            <w:r>
              <w:rPr>
                <w:sz w:val="26"/>
                <w:szCs w:val="26"/>
              </w:rPr>
              <w:t>FPIG</w:t>
            </w:r>
          </w:p>
        </w:tc>
      </w:tr>
      <w:tr w:rsidR="00BF2952" w14:paraId="23428119" w14:textId="77777777" w:rsidTr="003D379F">
        <w:tc>
          <w:tcPr>
            <w:tcW w:w="2695" w:type="dxa"/>
          </w:tcPr>
          <w:p w14:paraId="3300385E" w14:textId="5D87CEB7" w:rsidR="00BF2952" w:rsidRDefault="00BF2952" w:rsidP="003D379F">
            <w:pPr>
              <w:contextualSpacing/>
              <w:rPr>
                <w:sz w:val="26"/>
                <w:szCs w:val="26"/>
              </w:rPr>
            </w:pPr>
            <w:r>
              <w:rPr>
                <w:sz w:val="26"/>
                <w:szCs w:val="26"/>
              </w:rPr>
              <w:t>Elect</w:t>
            </w:r>
            <w:r w:rsidRPr="002826DF">
              <w:rPr>
                <w:sz w:val="26"/>
                <w:szCs w:val="26"/>
              </w:rPr>
              <w:t>ric</w:t>
            </w:r>
            <w:r>
              <w:rPr>
                <w:sz w:val="26"/>
                <w:szCs w:val="26"/>
              </w:rPr>
              <w:t xml:space="preserve"> Non-Heat</w:t>
            </w:r>
          </w:p>
        </w:tc>
        <w:tc>
          <w:tcPr>
            <w:tcW w:w="1980" w:type="dxa"/>
          </w:tcPr>
          <w:p w14:paraId="2A7F2C31" w14:textId="3E123220" w:rsidR="00BF2952" w:rsidRDefault="00BF2952" w:rsidP="003D379F">
            <w:pPr>
              <w:contextualSpacing/>
              <w:jc w:val="center"/>
              <w:rPr>
                <w:sz w:val="26"/>
                <w:szCs w:val="26"/>
              </w:rPr>
            </w:pPr>
            <w:r w:rsidRPr="002826DF">
              <w:rPr>
                <w:sz w:val="26"/>
                <w:szCs w:val="26"/>
              </w:rPr>
              <w:t>2%</w:t>
            </w:r>
          </w:p>
        </w:tc>
        <w:tc>
          <w:tcPr>
            <w:tcW w:w="2430" w:type="dxa"/>
          </w:tcPr>
          <w:p w14:paraId="6BCF168F" w14:textId="5B19C1D3" w:rsidR="00BF2952" w:rsidRDefault="00BF2952" w:rsidP="003D379F">
            <w:pPr>
              <w:contextualSpacing/>
              <w:jc w:val="center"/>
              <w:rPr>
                <w:sz w:val="26"/>
                <w:szCs w:val="26"/>
              </w:rPr>
            </w:pPr>
            <w:r w:rsidRPr="002826DF">
              <w:rPr>
                <w:sz w:val="26"/>
                <w:szCs w:val="26"/>
              </w:rPr>
              <w:t>4%</w:t>
            </w:r>
          </w:p>
        </w:tc>
        <w:tc>
          <w:tcPr>
            <w:tcW w:w="2340" w:type="dxa"/>
          </w:tcPr>
          <w:p w14:paraId="02A16616" w14:textId="062DB172" w:rsidR="00BF2952" w:rsidRDefault="00BF2952" w:rsidP="003D379F">
            <w:pPr>
              <w:contextualSpacing/>
              <w:jc w:val="center"/>
              <w:rPr>
                <w:sz w:val="26"/>
                <w:szCs w:val="26"/>
              </w:rPr>
            </w:pPr>
            <w:r w:rsidRPr="002826DF">
              <w:rPr>
                <w:sz w:val="26"/>
                <w:szCs w:val="26"/>
              </w:rPr>
              <w:t>4%</w:t>
            </w:r>
          </w:p>
        </w:tc>
      </w:tr>
      <w:tr w:rsidR="00BF2952" w14:paraId="44DDBBE8" w14:textId="77777777" w:rsidTr="003D379F">
        <w:tc>
          <w:tcPr>
            <w:tcW w:w="2695" w:type="dxa"/>
          </w:tcPr>
          <w:p w14:paraId="495F5AB6" w14:textId="21FD0435" w:rsidR="00BF2952" w:rsidRDefault="00BF2952" w:rsidP="003D379F">
            <w:pPr>
              <w:contextualSpacing/>
              <w:rPr>
                <w:sz w:val="26"/>
                <w:szCs w:val="26"/>
              </w:rPr>
            </w:pPr>
            <w:r w:rsidRPr="002826DF">
              <w:rPr>
                <w:sz w:val="26"/>
                <w:szCs w:val="26"/>
              </w:rPr>
              <w:t>Gas Heat</w:t>
            </w:r>
          </w:p>
        </w:tc>
        <w:tc>
          <w:tcPr>
            <w:tcW w:w="1980" w:type="dxa"/>
          </w:tcPr>
          <w:p w14:paraId="6A27E360" w14:textId="02973C06" w:rsidR="00BF2952" w:rsidRDefault="00BF2952" w:rsidP="003D379F">
            <w:pPr>
              <w:contextualSpacing/>
              <w:jc w:val="center"/>
              <w:rPr>
                <w:sz w:val="26"/>
                <w:szCs w:val="26"/>
              </w:rPr>
            </w:pPr>
            <w:r w:rsidRPr="002826DF">
              <w:rPr>
                <w:sz w:val="26"/>
                <w:szCs w:val="26"/>
              </w:rPr>
              <w:t>4%</w:t>
            </w:r>
          </w:p>
        </w:tc>
        <w:tc>
          <w:tcPr>
            <w:tcW w:w="2430" w:type="dxa"/>
          </w:tcPr>
          <w:p w14:paraId="174AC793" w14:textId="7EE672B0" w:rsidR="00BF2952" w:rsidRDefault="00BF2952" w:rsidP="003D379F">
            <w:pPr>
              <w:contextualSpacing/>
              <w:jc w:val="center"/>
              <w:rPr>
                <w:sz w:val="26"/>
                <w:szCs w:val="26"/>
              </w:rPr>
            </w:pPr>
            <w:r w:rsidRPr="002826DF">
              <w:rPr>
                <w:sz w:val="26"/>
                <w:szCs w:val="26"/>
              </w:rPr>
              <w:t>6%</w:t>
            </w:r>
          </w:p>
        </w:tc>
        <w:tc>
          <w:tcPr>
            <w:tcW w:w="2340" w:type="dxa"/>
          </w:tcPr>
          <w:p w14:paraId="2AD702E2" w14:textId="69CAD933" w:rsidR="00BF2952" w:rsidRDefault="00BF2952" w:rsidP="003D379F">
            <w:pPr>
              <w:contextualSpacing/>
              <w:jc w:val="center"/>
              <w:rPr>
                <w:sz w:val="26"/>
                <w:szCs w:val="26"/>
              </w:rPr>
            </w:pPr>
            <w:r w:rsidRPr="002826DF">
              <w:rPr>
                <w:sz w:val="26"/>
                <w:szCs w:val="26"/>
              </w:rPr>
              <w:t>6%</w:t>
            </w:r>
          </w:p>
        </w:tc>
      </w:tr>
      <w:tr w:rsidR="00BF2952" w14:paraId="47F06704" w14:textId="77777777" w:rsidTr="003D379F">
        <w:tc>
          <w:tcPr>
            <w:tcW w:w="2695" w:type="dxa"/>
          </w:tcPr>
          <w:p w14:paraId="097E98E3" w14:textId="25FB75D6" w:rsidR="00BF2952" w:rsidRDefault="00BF2952" w:rsidP="003D379F">
            <w:pPr>
              <w:contextualSpacing/>
              <w:rPr>
                <w:sz w:val="26"/>
                <w:szCs w:val="26"/>
              </w:rPr>
            </w:pPr>
            <w:r w:rsidRPr="002826DF">
              <w:rPr>
                <w:sz w:val="26"/>
                <w:szCs w:val="26"/>
              </w:rPr>
              <w:t>Electric Heat</w:t>
            </w:r>
          </w:p>
        </w:tc>
        <w:tc>
          <w:tcPr>
            <w:tcW w:w="1980" w:type="dxa"/>
          </w:tcPr>
          <w:p w14:paraId="58BBFBA1" w14:textId="3AE45355" w:rsidR="00BF2952" w:rsidRDefault="00BF2952" w:rsidP="003D379F">
            <w:pPr>
              <w:contextualSpacing/>
              <w:jc w:val="center"/>
              <w:rPr>
                <w:sz w:val="26"/>
                <w:szCs w:val="26"/>
              </w:rPr>
            </w:pPr>
            <w:r w:rsidRPr="002826DF">
              <w:rPr>
                <w:sz w:val="26"/>
                <w:szCs w:val="26"/>
              </w:rPr>
              <w:t>6%</w:t>
            </w:r>
          </w:p>
        </w:tc>
        <w:tc>
          <w:tcPr>
            <w:tcW w:w="2430" w:type="dxa"/>
          </w:tcPr>
          <w:p w14:paraId="3EB12E0C" w14:textId="645DAD62" w:rsidR="00BF2952" w:rsidRDefault="00BF2952" w:rsidP="003D379F">
            <w:pPr>
              <w:contextualSpacing/>
              <w:jc w:val="center"/>
              <w:rPr>
                <w:sz w:val="26"/>
                <w:szCs w:val="26"/>
              </w:rPr>
            </w:pPr>
            <w:r w:rsidRPr="002826DF">
              <w:rPr>
                <w:sz w:val="26"/>
                <w:szCs w:val="26"/>
              </w:rPr>
              <w:t>10%</w:t>
            </w:r>
          </w:p>
        </w:tc>
        <w:tc>
          <w:tcPr>
            <w:tcW w:w="2340" w:type="dxa"/>
          </w:tcPr>
          <w:p w14:paraId="2E40650B" w14:textId="78D169B5" w:rsidR="00BF2952" w:rsidRDefault="00BF2952" w:rsidP="003D379F">
            <w:pPr>
              <w:contextualSpacing/>
              <w:jc w:val="center"/>
              <w:rPr>
                <w:sz w:val="26"/>
                <w:szCs w:val="26"/>
              </w:rPr>
            </w:pPr>
            <w:r w:rsidRPr="002826DF">
              <w:rPr>
                <w:sz w:val="26"/>
                <w:szCs w:val="26"/>
              </w:rPr>
              <w:t>10%</w:t>
            </w:r>
          </w:p>
        </w:tc>
      </w:tr>
    </w:tbl>
    <w:p w14:paraId="6428AAE5" w14:textId="77777777" w:rsidR="006454D0" w:rsidRDefault="006454D0" w:rsidP="00315DBC">
      <w:pPr>
        <w:spacing w:after="0" w:line="360" w:lineRule="auto"/>
        <w:contextualSpacing/>
        <w:rPr>
          <w:rFonts w:ascii="Times New Roman" w:hAnsi="Times New Roman" w:cs="Times New Roman"/>
          <w:sz w:val="26"/>
          <w:szCs w:val="26"/>
        </w:rPr>
      </w:pPr>
    </w:p>
    <w:p w14:paraId="3CE37404" w14:textId="68CB8D97" w:rsidR="00506216" w:rsidRPr="00C80D3A" w:rsidRDefault="00D92124" w:rsidP="00315DBC">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06216" w:rsidRPr="00C80D3A">
        <w:rPr>
          <w:rFonts w:ascii="Times New Roman" w:hAnsi="Times New Roman" w:cs="Times New Roman"/>
          <w:sz w:val="26"/>
          <w:szCs w:val="26"/>
        </w:rPr>
        <w:t xml:space="preserve">Each CAP payment plan </w:t>
      </w:r>
      <w:r w:rsidR="007B6037" w:rsidRPr="00C80D3A">
        <w:rPr>
          <w:rFonts w:ascii="Times New Roman" w:hAnsi="Times New Roman" w:cs="Times New Roman"/>
          <w:sz w:val="26"/>
          <w:szCs w:val="26"/>
        </w:rPr>
        <w:t>sh</w:t>
      </w:r>
      <w:r w:rsidR="00A22063" w:rsidRPr="00C80D3A">
        <w:rPr>
          <w:rFonts w:ascii="Times New Roman" w:hAnsi="Times New Roman" w:cs="Times New Roman"/>
          <w:sz w:val="26"/>
          <w:szCs w:val="26"/>
        </w:rPr>
        <w:t>ould</w:t>
      </w:r>
      <w:r w:rsidR="00506216" w:rsidRPr="00C80D3A">
        <w:rPr>
          <w:rFonts w:ascii="Times New Roman" w:hAnsi="Times New Roman" w:cs="Times New Roman"/>
          <w:sz w:val="26"/>
          <w:szCs w:val="26"/>
        </w:rPr>
        <w:t xml:space="preserve"> be designed to ensure the household</w:t>
      </w:r>
      <w:r w:rsidR="001529C6">
        <w:rPr>
          <w:rFonts w:ascii="Times New Roman" w:hAnsi="Times New Roman" w:cs="Times New Roman"/>
          <w:sz w:val="26"/>
          <w:szCs w:val="26"/>
        </w:rPr>
        <w:t>’</w:t>
      </w:r>
      <w:r w:rsidR="00506216" w:rsidRPr="00C80D3A">
        <w:rPr>
          <w:rFonts w:ascii="Times New Roman" w:hAnsi="Times New Roman" w:cs="Times New Roman"/>
          <w:sz w:val="26"/>
          <w:szCs w:val="26"/>
        </w:rPr>
        <w:t xml:space="preserve">s monthly payment – including </w:t>
      </w:r>
      <w:r w:rsidR="00495F4F">
        <w:rPr>
          <w:rFonts w:ascii="Times New Roman" w:hAnsi="Times New Roman" w:cs="Times New Roman"/>
          <w:sz w:val="26"/>
          <w:szCs w:val="26"/>
        </w:rPr>
        <w:t>PPA</w:t>
      </w:r>
      <w:r w:rsidR="00506216" w:rsidRPr="00C80D3A">
        <w:rPr>
          <w:rFonts w:ascii="Times New Roman" w:hAnsi="Times New Roman" w:cs="Times New Roman"/>
          <w:sz w:val="26"/>
          <w:szCs w:val="26"/>
        </w:rPr>
        <w:t xml:space="preserve"> co-payments and CAP Plus charges – will not exceed this energy burden threshold, except in circumstances in which the household is charged the minimum CAP payment</w:t>
      </w:r>
      <w:r w:rsidR="00C66D65" w:rsidRPr="00C80D3A">
        <w:rPr>
          <w:rFonts w:ascii="Times New Roman" w:hAnsi="Times New Roman" w:cs="Times New Roman"/>
          <w:sz w:val="26"/>
          <w:szCs w:val="26"/>
        </w:rPr>
        <w:t xml:space="preserve"> or the household has exceeded the utility</w:t>
      </w:r>
      <w:r w:rsidR="001529C6">
        <w:rPr>
          <w:rFonts w:ascii="Times New Roman" w:hAnsi="Times New Roman" w:cs="Times New Roman"/>
          <w:sz w:val="26"/>
          <w:szCs w:val="26"/>
        </w:rPr>
        <w:t>’</w:t>
      </w:r>
      <w:r w:rsidR="00C66D65" w:rsidRPr="00C80D3A">
        <w:rPr>
          <w:rFonts w:ascii="Times New Roman" w:hAnsi="Times New Roman" w:cs="Times New Roman"/>
          <w:sz w:val="26"/>
          <w:szCs w:val="26"/>
        </w:rPr>
        <w:t xml:space="preserve">s </w:t>
      </w:r>
      <w:r w:rsidR="00A97B96" w:rsidRPr="00C80D3A">
        <w:rPr>
          <w:rFonts w:ascii="Times New Roman" w:hAnsi="Times New Roman" w:cs="Times New Roman"/>
          <w:sz w:val="26"/>
          <w:szCs w:val="26"/>
        </w:rPr>
        <w:t xml:space="preserve">approved </w:t>
      </w:r>
      <w:r w:rsidR="00C66D65" w:rsidRPr="00C80D3A">
        <w:rPr>
          <w:rFonts w:ascii="Times New Roman" w:hAnsi="Times New Roman" w:cs="Times New Roman"/>
          <w:sz w:val="26"/>
          <w:szCs w:val="26"/>
        </w:rPr>
        <w:t>CAP credit limits</w:t>
      </w:r>
      <w:r w:rsidR="00506216" w:rsidRPr="00C80D3A">
        <w:rPr>
          <w:rFonts w:ascii="Times New Roman" w:hAnsi="Times New Roman" w:cs="Times New Roman"/>
          <w:sz w:val="26"/>
          <w:szCs w:val="26"/>
        </w:rPr>
        <w:t>.</w:t>
      </w:r>
      <w:r w:rsidR="006C7F3B" w:rsidRPr="00C80D3A">
        <w:rPr>
          <w:rFonts w:ascii="Times New Roman" w:hAnsi="Times New Roman" w:cs="Times New Roman"/>
          <w:sz w:val="26"/>
          <w:szCs w:val="26"/>
        </w:rPr>
        <w:t xml:space="preserve">  </w:t>
      </w:r>
    </w:p>
    <w:p w14:paraId="7CE69291" w14:textId="77777777" w:rsidR="00506216" w:rsidRPr="00C80D3A" w:rsidRDefault="00506216" w:rsidP="00315DBC">
      <w:pPr>
        <w:spacing w:after="0" w:line="360" w:lineRule="auto"/>
        <w:contextualSpacing/>
        <w:rPr>
          <w:rFonts w:ascii="Times New Roman" w:hAnsi="Times New Roman" w:cs="Times New Roman"/>
          <w:sz w:val="26"/>
          <w:szCs w:val="26"/>
        </w:rPr>
      </w:pPr>
    </w:p>
    <w:p w14:paraId="3EA0F0D4" w14:textId="66D9A200" w:rsidR="00380284" w:rsidRDefault="00CB3B5C" w:rsidP="00315DBC">
      <w:pPr>
        <w:spacing w:after="0"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Additionally, </w:t>
      </w:r>
      <w:r w:rsidRPr="00C80D3A">
        <w:rPr>
          <w:rFonts w:ascii="Times New Roman" w:hAnsi="Times New Roman" w:cs="Times New Roman"/>
          <w:sz w:val="26"/>
          <w:szCs w:val="26"/>
        </w:rPr>
        <w:t>this Order amends Section 69.26</w:t>
      </w:r>
      <w:r>
        <w:rPr>
          <w:rFonts w:ascii="Times New Roman" w:hAnsi="Times New Roman" w:cs="Times New Roman"/>
          <w:sz w:val="26"/>
          <w:szCs w:val="26"/>
        </w:rPr>
        <w:t>2</w:t>
      </w:r>
      <w:r w:rsidRPr="00C80D3A">
        <w:rPr>
          <w:rFonts w:ascii="Times New Roman" w:hAnsi="Times New Roman" w:cs="Times New Roman"/>
          <w:sz w:val="26"/>
          <w:szCs w:val="26"/>
        </w:rPr>
        <w:t xml:space="preserve"> of the CAP Policy Statement as indicated in Annex A</w:t>
      </w:r>
      <w:r>
        <w:rPr>
          <w:rFonts w:ascii="Times New Roman" w:hAnsi="Times New Roman" w:cs="Times New Roman"/>
          <w:sz w:val="26"/>
          <w:szCs w:val="26"/>
        </w:rPr>
        <w:t xml:space="preserve"> by </w:t>
      </w:r>
      <w:r w:rsidR="00380284">
        <w:rPr>
          <w:rFonts w:ascii="Times New Roman" w:hAnsi="Times New Roman" w:cs="Times New Roman"/>
          <w:sz w:val="26"/>
          <w:szCs w:val="26"/>
        </w:rPr>
        <w:t>adding the definition of</w:t>
      </w:r>
      <w:r>
        <w:rPr>
          <w:rFonts w:ascii="Times New Roman" w:hAnsi="Times New Roman" w:cs="Times New Roman"/>
          <w:sz w:val="26"/>
          <w:szCs w:val="26"/>
        </w:rPr>
        <w:t xml:space="preserve"> </w:t>
      </w:r>
      <w:r w:rsidR="00D91D8B">
        <w:rPr>
          <w:rFonts w:ascii="Times New Roman" w:hAnsi="Times New Roman" w:cs="Times New Roman"/>
          <w:sz w:val="26"/>
          <w:szCs w:val="26"/>
        </w:rPr>
        <w:t>“</w:t>
      </w:r>
      <w:r>
        <w:rPr>
          <w:rFonts w:ascii="Times New Roman" w:hAnsi="Times New Roman" w:cs="Times New Roman"/>
          <w:sz w:val="26"/>
          <w:szCs w:val="26"/>
        </w:rPr>
        <w:t>Federal Poverty Income Guidelines (FPIG).</w:t>
      </w:r>
      <w:r w:rsidR="00D91D8B">
        <w:rPr>
          <w:rFonts w:ascii="Times New Roman" w:hAnsi="Times New Roman" w:cs="Times New Roman"/>
          <w:sz w:val="26"/>
          <w:szCs w:val="26"/>
        </w:rPr>
        <w:t>”</w:t>
      </w:r>
      <w:r w:rsidRPr="00C80D3A">
        <w:rPr>
          <w:rFonts w:ascii="Times New Roman" w:hAnsi="Times New Roman" w:cs="Times New Roman"/>
          <w:sz w:val="26"/>
          <w:szCs w:val="26"/>
        </w:rPr>
        <w:t xml:space="preserve">  </w:t>
      </w:r>
    </w:p>
    <w:p w14:paraId="7643B1B3" w14:textId="77777777" w:rsidR="00380284" w:rsidRDefault="00380284" w:rsidP="00315DBC">
      <w:pPr>
        <w:spacing w:after="0" w:line="360" w:lineRule="auto"/>
        <w:ind w:firstLine="720"/>
        <w:contextualSpacing/>
        <w:rPr>
          <w:rFonts w:ascii="Times New Roman" w:hAnsi="Times New Roman" w:cs="Times New Roman"/>
          <w:sz w:val="26"/>
          <w:szCs w:val="26"/>
        </w:rPr>
      </w:pPr>
    </w:p>
    <w:p w14:paraId="0263B7D9" w14:textId="276EE036" w:rsidR="00951ABA" w:rsidRPr="00C80D3A" w:rsidRDefault="00951ABA" w:rsidP="00BC306B">
      <w:pPr>
        <w:pStyle w:val="Heading3"/>
        <w:contextualSpacing/>
        <w:rPr>
          <w:bCs/>
          <w:sz w:val="26"/>
          <w:szCs w:val="26"/>
        </w:rPr>
      </w:pPr>
      <w:r w:rsidRPr="00C80D3A">
        <w:rPr>
          <w:sz w:val="26"/>
          <w:szCs w:val="26"/>
        </w:rPr>
        <w:t>1.</w:t>
      </w:r>
      <w:r w:rsidR="00BC306B" w:rsidRPr="00C80D3A">
        <w:rPr>
          <w:sz w:val="26"/>
          <w:szCs w:val="26"/>
        </w:rPr>
        <w:t>b</w:t>
      </w:r>
      <w:r w:rsidRPr="00C80D3A">
        <w:rPr>
          <w:sz w:val="26"/>
          <w:szCs w:val="26"/>
        </w:rPr>
        <w:t>.  M</w:t>
      </w:r>
      <w:r w:rsidRPr="00C80D3A">
        <w:rPr>
          <w:bCs/>
          <w:sz w:val="26"/>
          <w:szCs w:val="26"/>
        </w:rPr>
        <w:t>inimum CAP payment requirements should be set in USECP proceedings rather than in the CAP Policy Statement.  Utilities may propose alternatives to a flat minimum payment for each account type, such as basing them on the household</w:t>
      </w:r>
      <w:r w:rsidR="001529C6">
        <w:rPr>
          <w:bCs/>
          <w:sz w:val="26"/>
          <w:szCs w:val="26"/>
        </w:rPr>
        <w:t>’</w:t>
      </w:r>
      <w:r w:rsidRPr="00C80D3A">
        <w:rPr>
          <w:bCs/>
          <w:sz w:val="26"/>
          <w:szCs w:val="26"/>
        </w:rPr>
        <w:t>s FPIG level.</w:t>
      </w:r>
    </w:p>
    <w:p w14:paraId="4690A0A7" w14:textId="77777777" w:rsidR="00951ABA" w:rsidRPr="00C80D3A" w:rsidRDefault="00951ABA" w:rsidP="00BC306B">
      <w:pPr>
        <w:keepNext/>
        <w:spacing w:after="0" w:line="240" w:lineRule="auto"/>
        <w:contextualSpacing/>
        <w:rPr>
          <w:rFonts w:ascii="Times New Roman" w:hAnsi="Times New Roman" w:cs="Times New Roman"/>
          <w:sz w:val="26"/>
          <w:szCs w:val="26"/>
        </w:rPr>
      </w:pPr>
    </w:p>
    <w:p w14:paraId="356FEF94" w14:textId="3A9F7961" w:rsidR="00951ABA" w:rsidRPr="00C80D3A" w:rsidRDefault="00951ABA" w:rsidP="00951AB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The CAP Policy Statement recommends establishing minimum monthly payment requirements of at least $18-$25 for gas heating accounts, $12-$15 for electric non-heating, and $30-$40 for electric heating accounts.  Most utilities have minimum CAP payments within these ranges.  However, FirstEnergy charge a minimum of $45 monthly for electric heating accounts, and NFG charges a minimum of $12 monthly for gas heating.  Most NGDCs restrict CAP to residential heating customers only.  Table </w:t>
      </w:r>
      <w:r w:rsidR="00BE6EB3">
        <w:rPr>
          <w:rFonts w:ascii="Times New Roman" w:hAnsi="Times New Roman" w:cs="Times New Roman"/>
          <w:sz w:val="26"/>
          <w:szCs w:val="26"/>
        </w:rPr>
        <w:t>3 below</w:t>
      </w:r>
      <w:r w:rsidRPr="00C80D3A">
        <w:rPr>
          <w:rFonts w:ascii="Times New Roman" w:hAnsi="Times New Roman" w:cs="Times New Roman"/>
          <w:sz w:val="26"/>
          <w:szCs w:val="26"/>
        </w:rPr>
        <w:t xml:space="preserve"> shows the current minimum payment requirements for each EDC and NGDC.</w:t>
      </w:r>
    </w:p>
    <w:p w14:paraId="2246C122" w14:textId="77777777" w:rsidR="00951ABA" w:rsidRPr="00C80D3A" w:rsidRDefault="00951ABA" w:rsidP="00951ABA">
      <w:pPr>
        <w:spacing w:after="0" w:line="360" w:lineRule="auto"/>
        <w:contextualSpacing/>
        <w:rPr>
          <w:rFonts w:ascii="Times New Roman" w:hAnsi="Times New Roman" w:cs="Times New Roman"/>
          <w:sz w:val="26"/>
          <w:szCs w:val="26"/>
        </w:rPr>
      </w:pPr>
    </w:p>
    <w:p w14:paraId="0F6BE9F4" w14:textId="4A213639" w:rsidR="00951ABA" w:rsidRPr="00C80D3A" w:rsidRDefault="00951ABA" w:rsidP="00951ABA">
      <w:pPr>
        <w:keepNext/>
        <w:spacing w:after="0" w:line="240" w:lineRule="auto"/>
        <w:contextualSpacing/>
        <w:jc w:val="center"/>
        <w:rPr>
          <w:rFonts w:ascii="Times New Roman" w:hAnsi="Times New Roman" w:cs="Times New Roman"/>
          <w:b/>
          <w:bCs/>
          <w:sz w:val="26"/>
          <w:szCs w:val="26"/>
        </w:rPr>
      </w:pPr>
      <w:r w:rsidRPr="00C80D3A">
        <w:rPr>
          <w:rFonts w:ascii="Times New Roman" w:hAnsi="Times New Roman" w:cs="Times New Roman"/>
          <w:b/>
          <w:bCs/>
          <w:sz w:val="26"/>
          <w:szCs w:val="26"/>
        </w:rPr>
        <w:t xml:space="preserve">Table </w:t>
      </w:r>
      <w:r w:rsidR="00BE6EB3">
        <w:rPr>
          <w:rFonts w:ascii="Times New Roman" w:hAnsi="Times New Roman" w:cs="Times New Roman"/>
          <w:b/>
          <w:bCs/>
          <w:sz w:val="26"/>
          <w:szCs w:val="26"/>
        </w:rPr>
        <w:t>3</w:t>
      </w:r>
    </w:p>
    <w:p w14:paraId="39FAFCC0" w14:textId="2E5E6C62" w:rsidR="00951ABA" w:rsidRPr="00C80D3A" w:rsidRDefault="00D05CFA" w:rsidP="00951ABA">
      <w:pPr>
        <w:keepNext/>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Current </w:t>
      </w:r>
      <w:r w:rsidR="00951ABA" w:rsidRPr="00C80D3A">
        <w:rPr>
          <w:rFonts w:ascii="Times New Roman" w:hAnsi="Times New Roman" w:cs="Times New Roman"/>
          <w:b/>
          <w:sz w:val="26"/>
          <w:szCs w:val="26"/>
        </w:rPr>
        <w:t>CAP Minimum Payment Requirements</w:t>
      </w:r>
    </w:p>
    <w:tbl>
      <w:tblPr>
        <w:tblStyle w:val="TableGrid"/>
        <w:tblW w:w="0" w:type="auto"/>
        <w:tblLook w:val="04A0" w:firstRow="1" w:lastRow="0" w:firstColumn="1" w:lastColumn="0" w:noHBand="0" w:noVBand="1"/>
      </w:tblPr>
      <w:tblGrid>
        <w:gridCol w:w="3116"/>
        <w:gridCol w:w="3117"/>
        <w:gridCol w:w="3117"/>
      </w:tblGrid>
      <w:tr w:rsidR="00951ABA" w:rsidRPr="00C80D3A" w14:paraId="3556FCD0" w14:textId="77777777" w:rsidTr="00F04703">
        <w:tc>
          <w:tcPr>
            <w:tcW w:w="3116" w:type="dxa"/>
            <w:tcBorders>
              <w:bottom w:val="single" w:sz="12" w:space="0" w:color="auto"/>
            </w:tcBorders>
          </w:tcPr>
          <w:p w14:paraId="6CBF13AF" w14:textId="31FCAD6A" w:rsidR="00951ABA" w:rsidRPr="00F04703" w:rsidRDefault="0077058C" w:rsidP="00F04703">
            <w:pPr>
              <w:keepNext/>
              <w:contextualSpacing/>
              <w:jc w:val="center"/>
              <w:rPr>
                <w:b/>
                <w:bCs/>
                <w:sz w:val="26"/>
                <w:szCs w:val="26"/>
              </w:rPr>
            </w:pPr>
            <w:r w:rsidRPr="00F04703">
              <w:rPr>
                <w:b/>
                <w:bCs/>
                <w:sz w:val="26"/>
                <w:szCs w:val="26"/>
              </w:rPr>
              <w:t>Utility</w:t>
            </w:r>
          </w:p>
        </w:tc>
        <w:tc>
          <w:tcPr>
            <w:tcW w:w="3117" w:type="dxa"/>
            <w:tcBorders>
              <w:bottom w:val="single" w:sz="12" w:space="0" w:color="auto"/>
            </w:tcBorders>
          </w:tcPr>
          <w:p w14:paraId="79631AC7" w14:textId="77777777" w:rsidR="00951ABA" w:rsidRPr="00C80D3A" w:rsidRDefault="00951ABA" w:rsidP="007936C0">
            <w:pPr>
              <w:keepNext/>
              <w:contextualSpacing/>
              <w:jc w:val="center"/>
              <w:rPr>
                <w:b/>
                <w:bCs/>
                <w:sz w:val="26"/>
                <w:szCs w:val="26"/>
              </w:rPr>
            </w:pPr>
            <w:r w:rsidRPr="00C80D3A">
              <w:rPr>
                <w:b/>
                <w:bCs/>
                <w:sz w:val="26"/>
                <w:szCs w:val="26"/>
              </w:rPr>
              <w:t>Non-Heating</w:t>
            </w:r>
          </w:p>
        </w:tc>
        <w:tc>
          <w:tcPr>
            <w:tcW w:w="3117" w:type="dxa"/>
            <w:tcBorders>
              <w:bottom w:val="single" w:sz="12" w:space="0" w:color="auto"/>
            </w:tcBorders>
          </w:tcPr>
          <w:p w14:paraId="6A074E62" w14:textId="77777777" w:rsidR="00951ABA" w:rsidRPr="00C80D3A" w:rsidRDefault="00951ABA" w:rsidP="007936C0">
            <w:pPr>
              <w:keepNext/>
              <w:contextualSpacing/>
              <w:jc w:val="center"/>
              <w:rPr>
                <w:b/>
                <w:bCs/>
                <w:sz w:val="26"/>
                <w:szCs w:val="26"/>
              </w:rPr>
            </w:pPr>
            <w:r w:rsidRPr="00C80D3A">
              <w:rPr>
                <w:b/>
                <w:bCs/>
                <w:sz w:val="26"/>
                <w:szCs w:val="26"/>
              </w:rPr>
              <w:t>Heating</w:t>
            </w:r>
          </w:p>
        </w:tc>
      </w:tr>
      <w:tr w:rsidR="00951ABA" w:rsidRPr="00C80D3A" w14:paraId="0510F99A" w14:textId="77777777" w:rsidTr="00F04703">
        <w:tc>
          <w:tcPr>
            <w:tcW w:w="3116" w:type="dxa"/>
            <w:tcBorders>
              <w:top w:val="single" w:sz="12" w:space="0" w:color="auto"/>
            </w:tcBorders>
          </w:tcPr>
          <w:p w14:paraId="652D9106" w14:textId="77777777" w:rsidR="00951ABA" w:rsidRPr="00C80D3A" w:rsidRDefault="00951ABA" w:rsidP="007936C0">
            <w:pPr>
              <w:keepNext/>
              <w:contextualSpacing/>
              <w:rPr>
                <w:sz w:val="26"/>
                <w:szCs w:val="26"/>
              </w:rPr>
            </w:pPr>
            <w:r w:rsidRPr="00C80D3A">
              <w:rPr>
                <w:b/>
                <w:sz w:val="26"/>
                <w:szCs w:val="26"/>
              </w:rPr>
              <w:t>Duquesne</w:t>
            </w:r>
            <w:r w:rsidRPr="00C80D3A">
              <w:rPr>
                <w:b/>
                <w:sz w:val="26"/>
                <w:szCs w:val="26"/>
                <w:vertAlign w:val="superscript"/>
              </w:rPr>
              <w:footnoteReference w:id="60"/>
            </w:r>
          </w:p>
        </w:tc>
        <w:tc>
          <w:tcPr>
            <w:tcW w:w="3117" w:type="dxa"/>
            <w:tcBorders>
              <w:top w:val="single" w:sz="12" w:space="0" w:color="auto"/>
            </w:tcBorders>
          </w:tcPr>
          <w:p w14:paraId="20218EBD" w14:textId="77777777" w:rsidR="00951ABA" w:rsidRPr="00C80D3A" w:rsidRDefault="00951ABA" w:rsidP="007936C0">
            <w:pPr>
              <w:keepNext/>
              <w:contextualSpacing/>
              <w:jc w:val="center"/>
              <w:rPr>
                <w:sz w:val="26"/>
                <w:szCs w:val="26"/>
              </w:rPr>
            </w:pPr>
            <w:r w:rsidRPr="00C80D3A">
              <w:rPr>
                <w:sz w:val="26"/>
                <w:szCs w:val="26"/>
              </w:rPr>
              <w:t>$15</w:t>
            </w:r>
          </w:p>
        </w:tc>
        <w:tc>
          <w:tcPr>
            <w:tcW w:w="3117" w:type="dxa"/>
            <w:tcBorders>
              <w:top w:val="single" w:sz="12" w:space="0" w:color="auto"/>
            </w:tcBorders>
          </w:tcPr>
          <w:p w14:paraId="426DB04B" w14:textId="77777777" w:rsidR="00951ABA" w:rsidRPr="00C80D3A" w:rsidRDefault="00951ABA" w:rsidP="007936C0">
            <w:pPr>
              <w:keepNext/>
              <w:contextualSpacing/>
              <w:jc w:val="center"/>
              <w:rPr>
                <w:sz w:val="26"/>
                <w:szCs w:val="26"/>
              </w:rPr>
            </w:pPr>
            <w:r w:rsidRPr="00C80D3A">
              <w:rPr>
                <w:sz w:val="26"/>
                <w:szCs w:val="26"/>
              </w:rPr>
              <w:t>$40</w:t>
            </w:r>
          </w:p>
        </w:tc>
      </w:tr>
      <w:tr w:rsidR="00951ABA" w:rsidRPr="00C80D3A" w14:paraId="71C0631C" w14:textId="77777777" w:rsidTr="007936C0">
        <w:tc>
          <w:tcPr>
            <w:tcW w:w="3116" w:type="dxa"/>
          </w:tcPr>
          <w:p w14:paraId="77443FF1" w14:textId="17557781" w:rsidR="00951ABA" w:rsidRPr="00C80D3A" w:rsidRDefault="00951ABA" w:rsidP="007936C0">
            <w:pPr>
              <w:keepNext/>
              <w:contextualSpacing/>
              <w:rPr>
                <w:sz w:val="26"/>
                <w:szCs w:val="26"/>
              </w:rPr>
            </w:pPr>
            <w:r w:rsidRPr="00C80D3A">
              <w:rPr>
                <w:b/>
                <w:sz w:val="26"/>
                <w:szCs w:val="26"/>
              </w:rPr>
              <w:t>FirstEnergy</w:t>
            </w:r>
            <w:r w:rsidRPr="00C80D3A">
              <w:rPr>
                <w:b/>
                <w:sz w:val="26"/>
                <w:szCs w:val="26"/>
                <w:vertAlign w:val="superscript"/>
              </w:rPr>
              <w:footnoteReference w:id="61"/>
            </w:r>
          </w:p>
        </w:tc>
        <w:tc>
          <w:tcPr>
            <w:tcW w:w="3117" w:type="dxa"/>
          </w:tcPr>
          <w:p w14:paraId="1055E6D5" w14:textId="77777777" w:rsidR="00951ABA" w:rsidRPr="00C80D3A" w:rsidRDefault="00951ABA" w:rsidP="007936C0">
            <w:pPr>
              <w:keepNext/>
              <w:contextualSpacing/>
              <w:jc w:val="center"/>
              <w:rPr>
                <w:sz w:val="26"/>
                <w:szCs w:val="26"/>
              </w:rPr>
            </w:pPr>
            <w:r w:rsidRPr="00C80D3A">
              <w:rPr>
                <w:sz w:val="26"/>
                <w:szCs w:val="26"/>
              </w:rPr>
              <w:t>$12</w:t>
            </w:r>
          </w:p>
        </w:tc>
        <w:tc>
          <w:tcPr>
            <w:tcW w:w="3117" w:type="dxa"/>
          </w:tcPr>
          <w:p w14:paraId="4A852A9B" w14:textId="77777777" w:rsidR="00951ABA" w:rsidRPr="00C80D3A" w:rsidRDefault="00951ABA" w:rsidP="007936C0">
            <w:pPr>
              <w:keepNext/>
              <w:contextualSpacing/>
              <w:jc w:val="center"/>
              <w:rPr>
                <w:sz w:val="26"/>
                <w:szCs w:val="26"/>
              </w:rPr>
            </w:pPr>
            <w:r w:rsidRPr="00C80D3A">
              <w:rPr>
                <w:sz w:val="26"/>
                <w:szCs w:val="26"/>
              </w:rPr>
              <w:t>$45</w:t>
            </w:r>
          </w:p>
        </w:tc>
      </w:tr>
      <w:tr w:rsidR="00951ABA" w:rsidRPr="00C80D3A" w14:paraId="31BEC252" w14:textId="77777777" w:rsidTr="007936C0">
        <w:tc>
          <w:tcPr>
            <w:tcW w:w="3116" w:type="dxa"/>
          </w:tcPr>
          <w:p w14:paraId="7CA70B1A" w14:textId="77777777" w:rsidR="00951ABA" w:rsidRPr="00C80D3A" w:rsidRDefault="00951ABA" w:rsidP="007936C0">
            <w:pPr>
              <w:keepNext/>
              <w:contextualSpacing/>
              <w:rPr>
                <w:sz w:val="26"/>
                <w:szCs w:val="26"/>
              </w:rPr>
            </w:pPr>
            <w:r w:rsidRPr="00C80D3A">
              <w:rPr>
                <w:b/>
                <w:sz w:val="26"/>
                <w:szCs w:val="26"/>
              </w:rPr>
              <w:t>PECO Electric</w:t>
            </w:r>
            <w:r w:rsidRPr="00C80D3A">
              <w:rPr>
                <w:b/>
                <w:sz w:val="26"/>
                <w:szCs w:val="26"/>
                <w:vertAlign w:val="superscript"/>
              </w:rPr>
              <w:footnoteReference w:id="62"/>
            </w:r>
          </w:p>
        </w:tc>
        <w:tc>
          <w:tcPr>
            <w:tcW w:w="3117" w:type="dxa"/>
          </w:tcPr>
          <w:p w14:paraId="2F61CDDF" w14:textId="77777777" w:rsidR="00951ABA" w:rsidRPr="00C80D3A" w:rsidRDefault="00951ABA" w:rsidP="007936C0">
            <w:pPr>
              <w:keepNext/>
              <w:contextualSpacing/>
              <w:jc w:val="center"/>
              <w:rPr>
                <w:sz w:val="26"/>
                <w:szCs w:val="26"/>
              </w:rPr>
            </w:pPr>
            <w:r w:rsidRPr="00C80D3A">
              <w:rPr>
                <w:sz w:val="26"/>
                <w:szCs w:val="26"/>
              </w:rPr>
              <w:t>$12</w:t>
            </w:r>
          </w:p>
        </w:tc>
        <w:tc>
          <w:tcPr>
            <w:tcW w:w="3117" w:type="dxa"/>
          </w:tcPr>
          <w:p w14:paraId="5623AD5E" w14:textId="77777777" w:rsidR="00951ABA" w:rsidRPr="00C80D3A" w:rsidRDefault="00951ABA" w:rsidP="007936C0">
            <w:pPr>
              <w:keepNext/>
              <w:contextualSpacing/>
              <w:jc w:val="center"/>
              <w:rPr>
                <w:sz w:val="26"/>
                <w:szCs w:val="26"/>
              </w:rPr>
            </w:pPr>
            <w:r w:rsidRPr="00C80D3A">
              <w:rPr>
                <w:sz w:val="26"/>
                <w:szCs w:val="26"/>
              </w:rPr>
              <w:t>$30</w:t>
            </w:r>
          </w:p>
        </w:tc>
      </w:tr>
      <w:tr w:rsidR="00951ABA" w:rsidRPr="00C80D3A" w14:paraId="08295069" w14:textId="77777777" w:rsidTr="007936C0">
        <w:tc>
          <w:tcPr>
            <w:tcW w:w="3116" w:type="dxa"/>
          </w:tcPr>
          <w:p w14:paraId="7E318F17" w14:textId="77777777" w:rsidR="00951ABA" w:rsidRPr="00C80D3A" w:rsidRDefault="00951ABA" w:rsidP="007936C0">
            <w:pPr>
              <w:keepNext/>
              <w:contextualSpacing/>
              <w:rPr>
                <w:sz w:val="26"/>
                <w:szCs w:val="26"/>
              </w:rPr>
            </w:pPr>
            <w:r w:rsidRPr="00C80D3A">
              <w:rPr>
                <w:b/>
                <w:sz w:val="26"/>
                <w:szCs w:val="26"/>
              </w:rPr>
              <w:t>PPL</w:t>
            </w:r>
            <w:r w:rsidRPr="00C80D3A">
              <w:rPr>
                <w:b/>
                <w:sz w:val="26"/>
                <w:szCs w:val="26"/>
                <w:vertAlign w:val="superscript"/>
              </w:rPr>
              <w:footnoteReference w:id="63"/>
            </w:r>
          </w:p>
        </w:tc>
        <w:tc>
          <w:tcPr>
            <w:tcW w:w="3117" w:type="dxa"/>
          </w:tcPr>
          <w:p w14:paraId="4E4B5440" w14:textId="77777777" w:rsidR="00951ABA" w:rsidRPr="00C80D3A" w:rsidRDefault="00951ABA" w:rsidP="007936C0">
            <w:pPr>
              <w:keepNext/>
              <w:contextualSpacing/>
              <w:jc w:val="center"/>
              <w:rPr>
                <w:sz w:val="26"/>
                <w:szCs w:val="26"/>
              </w:rPr>
            </w:pPr>
            <w:r w:rsidRPr="00C80D3A">
              <w:rPr>
                <w:sz w:val="26"/>
                <w:szCs w:val="26"/>
              </w:rPr>
              <w:t>$12</w:t>
            </w:r>
          </w:p>
        </w:tc>
        <w:tc>
          <w:tcPr>
            <w:tcW w:w="3117" w:type="dxa"/>
          </w:tcPr>
          <w:p w14:paraId="3AEBEE7F" w14:textId="77777777" w:rsidR="00951ABA" w:rsidRPr="00C80D3A" w:rsidRDefault="00951ABA" w:rsidP="007936C0">
            <w:pPr>
              <w:keepNext/>
              <w:contextualSpacing/>
              <w:jc w:val="center"/>
              <w:rPr>
                <w:sz w:val="26"/>
                <w:szCs w:val="26"/>
              </w:rPr>
            </w:pPr>
            <w:r w:rsidRPr="00C80D3A">
              <w:rPr>
                <w:sz w:val="26"/>
                <w:szCs w:val="26"/>
              </w:rPr>
              <w:t>$30</w:t>
            </w:r>
          </w:p>
        </w:tc>
      </w:tr>
      <w:tr w:rsidR="00951ABA" w:rsidRPr="00C80D3A" w14:paraId="3B45BF88" w14:textId="77777777" w:rsidTr="007936C0">
        <w:tc>
          <w:tcPr>
            <w:tcW w:w="3116" w:type="dxa"/>
          </w:tcPr>
          <w:p w14:paraId="33FE908E" w14:textId="77777777" w:rsidR="00951ABA" w:rsidRPr="00C80D3A" w:rsidRDefault="00951ABA" w:rsidP="007936C0">
            <w:pPr>
              <w:keepNext/>
              <w:contextualSpacing/>
              <w:rPr>
                <w:sz w:val="26"/>
                <w:szCs w:val="26"/>
              </w:rPr>
            </w:pPr>
            <w:r w:rsidRPr="00C80D3A">
              <w:rPr>
                <w:b/>
                <w:sz w:val="26"/>
                <w:szCs w:val="26"/>
              </w:rPr>
              <w:t>Columbia</w:t>
            </w:r>
            <w:r w:rsidRPr="00C80D3A">
              <w:rPr>
                <w:b/>
                <w:sz w:val="26"/>
                <w:szCs w:val="26"/>
                <w:vertAlign w:val="superscript"/>
              </w:rPr>
              <w:footnoteReference w:id="64"/>
            </w:r>
          </w:p>
        </w:tc>
        <w:tc>
          <w:tcPr>
            <w:tcW w:w="3117" w:type="dxa"/>
          </w:tcPr>
          <w:p w14:paraId="47FC6B35" w14:textId="77777777" w:rsidR="00951ABA" w:rsidRPr="00C80D3A" w:rsidRDefault="00951ABA" w:rsidP="007936C0">
            <w:pPr>
              <w:keepNext/>
              <w:contextualSpacing/>
              <w:jc w:val="center"/>
              <w:rPr>
                <w:sz w:val="26"/>
                <w:szCs w:val="26"/>
              </w:rPr>
            </w:pPr>
            <w:r w:rsidRPr="00C80D3A">
              <w:rPr>
                <w:sz w:val="26"/>
                <w:szCs w:val="26"/>
              </w:rPr>
              <w:t>N/A</w:t>
            </w:r>
          </w:p>
        </w:tc>
        <w:tc>
          <w:tcPr>
            <w:tcW w:w="3117" w:type="dxa"/>
          </w:tcPr>
          <w:p w14:paraId="39A99F01" w14:textId="77777777" w:rsidR="00951ABA" w:rsidRPr="00C80D3A" w:rsidRDefault="00951ABA" w:rsidP="007936C0">
            <w:pPr>
              <w:keepNext/>
              <w:contextualSpacing/>
              <w:jc w:val="center"/>
              <w:rPr>
                <w:sz w:val="26"/>
                <w:szCs w:val="26"/>
              </w:rPr>
            </w:pPr>
            <w:r w:rsidRPr="00C80D3A">
              <w:rPr>
                <w:sz w:val="26"/>
                <w:szCs w:val="26"/>
              </w:rPr>
              <w:t>$25</w:t>
            </w:r>
          </w:p>
        </w:tc>
      </w:tr>
      <w:tr w:rsidR="00951ABA" w:rsidRPr="00C80D3A" w14:paraId="31895F25" w14:textId="77777777" w:rsidTr="007936C0">
        <w:tc>
          <w:tcPr>
            <w:tcW w:w="3116" w:type="dxa"/>
          </w:tcPr>
          <w:p w14:paraId="7DD199E5" w14:textId="77777777" w:rsidR="00951ABA" w:rsidRPr="00C80D3A" w:rsidRDefault="00951ABA" w:rsidP="007936C0">
            <w:pPr>
              <w:keepNext/>
              <w:contextualSpacing/>
              <w:rPr>
                <w:b/>
                <w:sz w:val="26"/>
                <w:szCs w:val="26"/>
              </w:rPr>
            </w:pPr>
            <w:r w:rsidRPr="00C80D3A">
              <w:rPr>
                <w:b/>
                <w:sz w:val="26"/>
                <w:szCs w:val="26"/>
              </w:rPr>
              <w:t>PECO Gas</w:t>
            </w:r>
            <w:r w:rsidRPr="00C80D3A">
              <w:rPr>
                <w:b/>
                <w:sz w:val="26"/>
                <w:szCs w:val="26"/>
                <w:vertAlign w:val="superscript"/>
              </w:rPr>
              <w:footnoteReference w:id="65"/>
            </w:r>
          </w:p>
        </w:tc>
        <w:tc>
          <w:tcPr>
            <w:tcW w:w="3117" w:type="dxa"/>
          </w:tcPr>
          <w:p w14:paraId="6D09F00F" w14:textId="77777777" w:rsidR="00951ABA" w:rsidRPr="00C80D3A" w:rsidRDefault="00951ABA" w:rsidP="007936C0">
            <w:pPr>
              <w:keepNext/>
              <w:contextualSpacing/>
              <w:jc w:val="center"/>
              <w:rPr>
                <w:sz w:val="26"/>
                <w:szCs w:val="26"/>
              </w:rPr>
            </w:pPr>
            <w:r w:rsidRPr="00C80D3A">
              <w:rPr>
                <w:sz w:val="26"/>
                <w:szCs w:val="26"/>
              </w:rPr>
              <w:t>N/A</w:t>
            </w:r>
          </w:p>
        </w:tc>
        <w:tc>
          <w:tcPr>
            <w:tcW w:w="3117" w:type="dxa"/>
          </w:tcPr>
          <w:p w14:paraId="314B51AE" w14:textId="77777777" w:rsidR="00951ABA" w:rsidRPr="00C80D3A" w:rsidRDefault="00951ABA" w:rsidP="007936C0">
            <w:pPr>
              <w:keepNext/>
              <w:contextualSpacing/>
              <w:jc w:val="center"/>
              <w:rPr>
                <w:sz w:val="26"/>
                <w:szCs w:val="26"/>
              </w:rPr>
            </w:pPr>
            <w:r w:rsidRPr="00C80D3A">
              <w:rPr>
                <w:sz w:val="26"/>
                <w:szCs w:val="26"/>
              </w:rPr>
              <w:t>$25</w:t>
            </w:r>
          </w:p>
        </w:tc>
      </w:tr>
      <w:tr w:rsidR="00951ABA" w:rsidRPr="00C80D3A" w14:paraId="178E2347" w14:textId="77777777" w:rsidTr="007936C0">
        <w:tc>
          <w:tcPr>
            <w:tcW w:w="3116" w:type="dxa"/>
          </w:tcPr>
          <w:p w14:paraId="7E13ED99" w14:textId="77777777" w:rsidR="00951ABA" w:rsidRPr="00C80D3A" w:rsidRDefault="00951ABA" w:rsidP="007936C0">
            <w:pPr>
              <w:keepNext/>
              <w:contextualSpacing/>
              <w:rPr>
                <w:sz w:val="26"/>
                <w:szCs w:val="26"/>
              </w:rPr>
            </w:pPr>
            <w:r w:rsidRPr="00C80D3A">
              <w:rPr>
                <w:b/>
                <w:sz w:val="26"/>
                <w:szCs w:val="26"/>
              </w:rPr>
              <w:t>NFG</w:t>
            </w:r>
            <w:r w:rsidRPr="00C80D3A">
              <w:rPr>
                <w:b/>
                <w:sz w:val="26"/>
                <w:szCs w:val="26"/>
                <w:vertAlign w:val="superscript"/>
              </w:rPr>
              <w:footnoteReference w:id="66"/>
            </w:r>
          </w:p>
        </w:tc>
        <w:tc>
          <w:tcPr>
            <w:tcW w:w="3117" w:type="dxa"/>
          </w:tcPr>
          <w:p w14:paraId="5D8EFAA5" w14:textId="77777777" w:rsidR="00951ABA" w:rsidRPr="00C80D3A" w:rsidRDefault="00951ABA" w:rsidP="007936C0">
            <w:pPr>
              <w:keepNext/>
              <w:contextualSpacing/>
              <w:jc w:val="center"/>
              <w:rPr>
                <w:sz w:val="26"/>
                <w:szCs w:val="26"/>
              </w:rPr>
            </w:pPr>
            <w:r w:rsidRPr="00C80D3A">
              <w:rPr>
                <w:sz w:val="26"/>
                <w:szCs w:val="26"/>
              </w:rPr>
              <w:t>N/A</w:t>
            </w:r>
          </w:p>
        </w:tc>
        <w:tc>
          <w:tcPr>
            <w:tcW w:w="3117" w:type="dxa"/>
          </w:tcPr>
          <w:p w14:paraId="513273B7" w14:textId="77777777" w:rsidR="00951ABA" w:rsidRPr="00C80D3A" w:rsidRDefault="00951ABA" w:rsidP="007936C0">
            <w:pPr>
              <w:keepNext/>
              <w:contextualSpacing/>
              <w:jc w:val="center"/>
              <w:rPr>
                <w:sz w:val="26"/>
                <w:szCs w:val="26"/>
              </w:rPr>
            </w:pPr>
            <w:r w:rsidRPr="00C80D3A">
              <w:rPr>
                <w:sz w:val="26"/>
                <w:szCs w:val="26"/>
              </w:rPr>
              <w:t>$12</w:t>
            </w:r>
          </w:p>
        </w:tc>
      </w:tr>
      <w:tr w:rsidR="00951ABA" w:rsidRPr="00C80D3A" w14:paraId="1BFFABD6" w14:textId="77777777" w:rsidTr="007936C0">
        <w:tc>
          <w:tcPr>
            <w:tcW w:w="3116" w:type="dxa"/>
          </w:tcPr>
          <w:p w14:paraId="42EC0E92" w14:textId="2249E741" w:rsidR="00951ABA" w:rsidRPr="00C80D3A" w:rsidRDefault="00951ABA" w:rsidP="007936C0">
            <w:pPr>
              <w:keepNext/>
              <w:contextualSpacing/>
              <w:rPr>
                <w:sz w:val="26"/>
                <w:szCs w:val="26"/>
              </w:rPr>
            </w:pPr>
            <w:r w:rsidRPr="00C80D3A">
              <w:rPr>
                <w:b/>
                <w:sz w:val="26"/>
                <w:szCs w:val="26"/>
              </w:rPr>
              <w:t>Peoples</w:t>
            </w:r>
            <w:r w:rsidRPr="00C80D3A">
              <w:rPr>
                <w:b/>
                <w:sz w:val="26"/>
                <w:szCs w:val="26"/>
                <w:vertAlign w:val="superscript"/>
              </w:rPr>
              <w:footnoteReference w:id="67"/>
            </w:r>
          </w:p>
        </w:tc>
        <w:tc>
          <w:tcPr>
            <w:tcW w:w="3117" w:type="dxa"/>
          </w:tcPr>
          <w:p w14:paraId="74F7BE38" w14:textId="77777777" w:rsidR="00951ABA" w:rsidRPr="00C80D3A" w:rsidRDefault="00951ABA" w:rsidP="007936C0">
            <w:pPr>
              <w:keepNext/>
              <w:contextualSpacing/>
              <w:jc w:val="center"/>
              <w:rPr>
                <w:sz w:val="26"/>
                <w:szCs w:val="26"/>
              </w:rPr>
            </w:pPr>
            <w:r w:rsidRPr="00C80D3A">
              <w:rPr>
                <w:sz w:val="26"/>
                <w:szCs w:val="26"/>
              </w:rPr>
              <w:t>N/A</w:t>
            </w:r>
          </w:p>
        </w:tc>
        <w:tc>
          <w:tcPr>
            <w:tcW w:w="3117" w:type="dxa"/>
          </w:tcPr>
          <w:p w14:paraId="5F49599C" w14:textId="77777777" w:rsidR="00951ABA" w:rsidRPr="00C80D3A" w:rsidRDefault="00951ABA" w:rsidP="007936C0">
            <w:pPr>
              <w:keepNext/>
              <w:contextualSpacing/>
              <w:jc w:val="center"/>
              <w:rPr>
                <w:sz w:val="26"/>
                <w:szCs w:val="26"/>
              </w:rPr>
            </w:pPr>
            <w:r w:rsidRPr="00C80D3A">
              <w:rPr>
                <w:sz w:val="26"/>
                <w:szCs w:val="26"/>
              </w:rPr>
              <w:t>$25</w:t>
            </w:r>
          </w:p>
        </w:tc>
      </w:tr>
      <w:tr w:rsidR="00951ABA" w:rsidRPr="00C80D3A" w14:paraId="12142F48" w14:textId="77777777" w:rsidTr="007936C0">
        <w:tc>
          <w:tcPr>
            <w:tcW w:w="3116" w:type="dxa"/>
          </w:tcPr>
          <w:p w14:paraId="3A6FF561" w14:textId="77777777" w:rsidR="00951ABA" w:rsidRPr="00C80D3A" w:rsidRDefault="00951ABA" w:rsidP="007936C0">
            <w:pPr>
              <w:keepNext/>
              <w:contextualSpacing/>
              <w:rPr>
                <w:sz w:val="26"/>
                <w:szCs w:val="26"/>
              </w:rPr>
            </w:pPr>
            <w:r w:rsidRPr="00C80D3A">
              <w:rPr>
                <w:b/>
                <w:sz w:val="26"/>
                <w:szCs w:val="26"/>
              </w:rPr>
              <w:t>PGW</w:t>
            </w:r>
            <w:r w:rsidRPr="00C80D3A">
              <w:rPr>
                <w:b/>
                <w:sz w:val="26"/>
                <w:szCs w:val="26"/>
                <w:vertAlign w:val="superscript"/>
              </w:rPr>
              <w:footnoteReference w:id="68"/>
            </w:r>
          </w:p>
        </w:tc>
        <w:tc>
          <w:tcPr>
            <w:tcW w:w="3117" w:type="dxa"/>
          </w:tcPr>
          <w:p w14:paraId="74254C66" w14:textId="77777777" w:rsidR="00951ABA" w:rsidRPr="00C80D3A" w:rsidRDefault="00951ABA" w:rsidP="007936C0">
            <w:pPr>
              <w:keepNext/>
              <w:contextualSpacing/>
              <w:jc w:val="center"/>
              <w:rPr>
                <w:sz w:val="26"/>
                <w:szCs w:val="26"/>
              </w:rPr>
            </w:pPr>
            <w:r w:rsidRPr="00C80D3A">
              <w:rPr>
                <w:sz w:val="26"/>
                <w:szCs w:val="26"/>
              </w:rPr>
              <w:t>N/A</w:t>
            </w:r>
          </w:p>
        </w:tc>
        <w:tc>
          <w:tcPr>
            <w:tcW w:w="3117" w:type="dxa"/>
          </w:tcPr>
          <w:p w14:paraId="55F0CDCE" w14:textId="77777777" w:rsidR="00951ABA" w:rsidRPr="00C80D3A" w:rsidRDefault="00951ABA" w:rsidP="007936C0">
            <w:pPr>
              <w:keepNext/>
              <w:contextualSpacing/>
              <w:jc w:val="center"/>
              <w:rPr>
                <w:sz w:val="26"/>
                <w:szCs w:val="26"/>
              </w:rPr>
            </w:pPr>
            <w:r w:rsidRPr="00C80D3A">
              <w:rPr>
                <w:sz w:val="26"/>
                <w:szCs w:val="26"/>
              </w:rPr>
              <w:t>$25</w:t>
            </w:r>
          </w:p>
        </w:tc>
      </w:tr>
      <w:tr w:rsidR="00951ABA" w:rsidRPr="00C80D3A" w14:paraId="72D28C20" w14:textId="77777777" w:rsidTr="007936C0">
        <w:tc>
          <w:tcPr>
            <w:tcW w:w="3116" w:type="dxa"/>
          </w:tcPr>
          <w:p w14:paraId="2B668FA9" w14:textId="08397173" w:rsidR="00951ABA" w:rsidRPr="00C80D3A" w:rsidRDefault="00951ABA" w:rsidP="007936C0">
            <w:pPr>
              <w:contextualSpacing/>
              <w:rPr>
                <w:sz w:val="26"/>
                <w:szCs w:val="26"/>
              </w:rPr>
            </w:pPr>
            <w:r w:rsidRPr="00C80D3A">
              <w:rPr>
                <w:b/>
                <w:sz w:val="26"/>
                <w:szCs w:val="26"/>
              </w:rPr>
              <w:t>UGI</w:t>
            </w:r>
            <w:r w:rsidRPr="00C80D3A">
              <w:rPr>
                <w:b/>
                <w:sz w:val="26"/>
                <w:szCs w:val="26"/>
                <w:vertAlign w:val="superscript"/>
              </w:rPr>
              <w:footnoteReference w:id="69"/>
            </w:r>
          </w:p>
        </w:tc>
        <w:tc>
          <w:tcPr>
            <w:tcW w:w="3117" w:type="dxa"/>
          </w:tcPr>
          <w:p w14:paraId="18A20A35" w14:textId="77777777" w:rsidR="00951ABA" w:rsidRPr="00C80D3A" w:rsidRDefault="00951ABA" w:rsidP="007936C0">
            <w:pPr>
              <w:contextualSpacing/>
              <w:jc w:val="center"/>
              <w:rPr>
                <w:sz w:val="26"/>
                <w:szCs w:val="26"/>
              </w:rPr>
            </w:pPr>
            <w:r w:rsidRPr="00C80D3A">
              <w:rPr>
                <w:sz w:val="26"/>
                <w:szCs w:val="26"/>
              </w:rPr>
              <w:t>$15</w:t>
            </w:r>
          </w:p>
        </w:tc>
        <w:tc>
          <w:tcPr>
            <w:tcW w:w="3117" w:type="dxa"/>
          </w:tcPr>
          <w:p w14:paraId="1B6E557E" w14:textId="77777777" w:rsidR="00951ABA" w:rsidRPr="00C80D3A" w:rsidRDefault="00951ABA" w:rsidP="007936C0">
            <w:pPr>
              <w:contextualSpacing/>
              <w:jc w:val="center"/>
              <w:rPr>
                <w:sz w:val="26"/>
                <w:szCs w:val="26"/>
              </w:rPr>
            </w:pPr>
            <w:r w:rsidRPr="00C80D3A">
              <w:rPr>
                <w:sz w:val="26"/>
                <w:szCs w:val="26"/>
              </w:rPr>
              <w:t>$25</w:t>
            </w:r>
          </w:p>
        </w:tc>
      </w:tr>
    </w:tbl>
    <w:p w14:paraId="07F5FC31" w14:textId="77777777" w:rsidR="00377F7C" w:rsidRPr="00C80D3A" w:rsidRDefault="00377F7C" w:rsidP="00951ABA">
      <w:pPr>
        <w:spacing w:after="0" w:line="360" w:lineRule="auto"/>
        <w:contextualSpacing/>
        <w:rPr>
          <w:rFonts w:ascii="Times New Roman" w:hAnsi="Times New Roman" w:cs="Times New Roman"/>
          <w:sz w:val="26"/>
          <w:szCs w:val="26"/>
        </w:rPr>
      </w:pPr>
    </w:p>
    <w:p w14:paraId="20716D59" w14:textId="0334498B" w:rsidR="00951ABA" w:rsidRPr="00C80D3A" w:rsidRDefault="00951ABA" w:rsidP="00951AB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During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and </w:t>
      </w:r>
      <w:r w:rsidRPr="00C80D3A">
        <w:rPr>
          <w:rFonts w:ascii="Times New Roman" w:hAnsi="Times New Roman" w:cs="Times New Roman"/>
          <w:i/>
          <w:sz w:val="26"/>
          <w:szCs w:val="26"/>
        </w:rPr>
        <w:t>Energy Affordability</w:t>
      </w:r>
      <w:r w:rsidRPr="00C80D3A">
        <w:rPr>
          <w:rFonts w:ascii="Times New Roman" w:hAnsi="Times New Roman" w:cs="Times New Roman"/>
          <w:sz w:val="26"/>
          <w:szCs w:val="26"/>
        </w:rPr>
        <w:t xml:space="preserve"> proceedings, stakeholders proposed making changes to the CAP minimum payment requirements, including developing a methodology to calculate minimum payments for each utility or eliminating them entirely.</w:t>
      </w:r>
    </w:p>
    <w:p w14:paraId="3A7CC5CD" w14:textId="77777777" w:rsidR="00951ABA" w:rsidRPr="00C80D3A" w:rsidRDefault="00951ABA" w:rsidP="00951ABA">
      <w:pPr>
        <w:pStyle w:val="Heading3"/>
        <w:keepNext w:val="0"/>
        <w:spacing w:line="360" w:lineRule="auto"/>
        <w:contextualSpacing/>
        <w:rPr>
          <w:b w:val="0"/>
          <w:bCs/>
          <w:sz w:val="26"/>
          <w:szCs w:val="26"/>
        </w:rPr>
      </w:pPr>
    </w:p>
    <w:p w14:paraId="5FBD1479" w14:textId="77777777" w:rsidR="00951ABA" w:rsidRPr="00C80D3A" w:rsidRDefault="00951ABA" w:rsidP="004C57E0">
      <w:pPr>
        <w:keepNext/>
        <w:spacing w:after="0" w:line="240" w:lineRule="auto"/>
        <w:contextualSpacing/>
        <w:rPr>
          <w:rFonts w:ascii="Times New Roman" w:hAnsi="Times New Roman" w:cs="Times New Roman"/>
          <w:i/>
          <w:sz w:val="26"/>
          <w:szCs w:val="26"/>
        </w:rPr>
      </w:pPr>
      <w:r w:rsidRPr="00C80D3A">
        <w:rPr>
          <w:rFonts w:ascii="Times New Roman" w:hAnsi="Times New Roman" w:cs="Times New Roman"/>
          <w:i/>
          <w:sz w:val="26"/>
          <w:szCs w:val="26"/>
        </w:rPr>
        <w:t>Review of Universal Service and Energy Conservation Programs, Docket No. M</w:t>
      </w:r>
      <w:r w:rsidRPr="00C80D3A">
        <w:rPr>
          <w:rFonts w:ascii="Times New Roman" w:hAnsi="Times New Roman" w:cs="Times New Roman"/>
          <w:i/>
          <w:sz w:val="26"/>
          <w:szCs w:val="26"/>
        </w:rPr>
        <w:noBreakHyphen/>
        <w:t>2017</w:t>
      </w:r>
      <w:r w:rsidRPr="00C80D3A">
        <w:rPr>
          <w:rFonts w:ascii="Times New Roman" w:hAnsi="Times New Roman" w:cs="Times New Roman"/>
          <w:i/>
          <w:sz w:val="26"/>
          <w:szCs w:val="26"/>
        </w:rPr>
        <w:noBreakHyphen/>
        <w:t>2596907</w:t>
      </w:r>
    </w:p>
    <w:p w14:paraId="00B40A82" w14:textId="77777777" w:rsidR="004C57E0" w:rsidRPr="00C80D3A" w:rsidRDefault="004C57E0" w:rsidP="004C57E0">
      <w:pPr>
        <w:keepNext/>
        <w:spacing w:after="0" w:line="240" w:lineRule="auto"/>
        <w:contextualSpacing/>
        <w:rPr>
          <w:rFonts w:ascii="Times New Roman" w:hAnsi="Times New Roman" w:cs="Times New Roman"/>
          <w:color w:val="000000"/>
          <w:sz w:val="26"/>
          <w:szCs w:val="26"/>
        </w:rPr>
      </w:pPr>
    </w:p>
    <w:p w14:paraId="73C75F57" w14:textId="77777777" w:rsidR="00951ABA" w:rsidRPr="00C80D3A" w:rsidRDefault="00951ABA" w:rsidP="004C57E0">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from Parties</w:t>
      </w:r>
    </w:p>
    <w:p w14:paraId="465F6417" w14:textId="77777777" w:rsidR="00951ABA" w:rsidRPr="00C80D3A" w:rsidRDefault="00951ABA" w:rsidP="00951AB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Duquesne opined that the minimum charge provision in the CAP Policy Statement is outdated as it can be less than the basic service charge; if the utilities could charge both (minimum payment and the basic service charge), it would cover at least a part of the fixed system costs and some percent of energy costs.  DLC Comments at 12.  Duquesne supports continuation of minimum CAP payments.  DLC Reply Comments at 19.</w:t>
      </w:r>
    </w:p>
    <w:p w14:paraId="548F9FD2" w14:textId="77777777" w:rsidR="00951ABA" w:rsidRPr="00C80D3A" w:rsidRDefault="00951ABA" w:rsidP="00951ABA">
      <w:pPr>
        <w:spacing w:after="0" w:line="360" w:lineRule="auto"/>
        <w:contextualSpacing/>
        <w:rPr>
          <w:rFonts w:ascii="Times New Roman" w:hAnsi="Times New Roman" w:cs="Times New Roman"/>
          <w:sz w:val="26"/>
          <w:szCs w:val="26"/>
        </w:rPr>
      </w:pPr>
    </w:p>
    <w:p w14:paraId="24F3107C" w14:textId="230F8DF7" w:rsidR="00951ABA" w:rsidRPr="00C80D3A" w:rsidRDefault="00951ABA" w:rsidP="00951AB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OCA proposed that minimum payments should balance affordability and payment responsibility and be based on an objective set of factors.  OCA submits it is very important to maintain a customer payment mindset as minimum payments help to control the costs of CAPs.  OCA Comments at 13</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15.  OCA supports the continued use of minimum payments in CAP design.  OCA has concerns with the proposal to specifically tie the minimum payment to a particular cost component, such as distribution costs or customer charge.  A minimum payment should be tied to CAP customer affordability and to establishing routine payments.  OCA Reply Comments at 17.  OCA submits that the following principles should help determine a minimum payment:</w:t>
      </w:r>
    </w:p>
    <w:p w14:paraId="1BCC2CAE" w14:textId="77777777" w:rsidR="00951ABA" w:rsidRPr="00C80D3A" w:rsidRDefault="00951ABA" w:rsidP="004C57E0">
      <w:pPr>
        <w:spacing w:after="0" w:line="240" w:lineRule="auto"/>
        <w:contextualSpacing/>
        <w:rPr>
          <w:rFonts w:ascii="Times New Roman" w:hAnsi="Times New Roman" w:cs="Times New Roman"/>
          <w:sz w:val="26"/>
          <w:szCs w:val="26"/>
        </w:rPr>
      </w:pPr>
    </w:p>
    <w:p w14:paraId="3ADDD002" w14:textId="77777777" w:rsidR="004C57E0" w:rsidRPr="00C80D3A" w:rsidRDefault="00951ABA" w:rsidP="0086394F">
      <w:pPr>
        <w:pStyle w:val="ListParagraph"/>
        <w:numPr>
          <w:ilvl w:val="0"/>
          <w:numId w:val="28"/>
        </w:numPr>
        <w:spacing w:line="360" w:lineRule="auto"/>
        <w:ind w:left="1080" w:right="990"/>
        <w:rPr>
          <w:sz w:val="26"/>
          <w:szCs w:val="26"/>
        </w:rPr>
      </w:pPr>
      <w:r w:rsidRPr="00C80D3A">
        <w:rPr>
          <w:sz w:val="26"/>
          <w:szCs w:val="26"/>
        </w:rPr>
        <w:t xml:space="preserve">It should impose an obligation to make some payment toward utility bills; </w:t>
      </w:r>
    </w:p>
    <w:p w14:paraId="212600AD" w14:textId="77777777" w:rsidR="00951ABA" w:rsidRPr="00C80D3A" w:rsidRDefault="00951ABA" w:rsidP="0086394F">
      <w:pPr>
        <w:pStyle w:val="ListParagraph"/>
        <w:numPr>
          <w:ilvl w:val="0"/>
          <w:numId w:val="28"/>
        </w:numPr>
        <w:spacing w:line="360" w:lineRule="auto"/>
        <w:ind w:left="1080" w:right="990"/>
        <w:rPr>
          <w:sz w:val="26"/>
          <w:szCs w:val="26"/>
        </w:rPr>
      </w:pPr>
      <w:r w:rsidRPr="00C80D3A">
        <w:rPr>
          <w:sz w:val="26"/>
          <w:szCs w:val="26"/>
        </w:rPr>
        <w:t xml:space="preserve">It should not be so high as to materially impede achieving the affordability objectives of CAP; </w:t>
      </w:r>
    </w:p>
    <w:p w14:paraId="49F4ACC3" w14:textId="7F252CAE" w:rsidR="00951ABA" w:rsidRPr="00C80D3A" w:rsidRDefault="00951ABA" w:rsidP="0086394F">
      <w:pPr>
        <w:pStyle w:val="ListParagraph"/>
        <w:numPr>
          <w:ilvl w:val="0"/>
          <w:numId w:val="28"/>
        </w:numPr>
        <w:spacing w:line="360" w:lineRule="auto"/>
        <w:ind w:left="1080" w:right="990"/>
        <w:rPr>
          <w:sz w:val="26"/>
          <w:szCs w:val="26"/>
        </w:rPr>
      </w:pPr>
      <w:r w:rsidRPr="00C80D3A">
        <w:rPr>
          <w:sz w:val="26"/>
          <w:szCs w:val="26"/>
        </w:rPr>
        <w:t>It should reflect some empirical reality about utility service territories (</w:t>
      </w:r>
      <w:r w:rsidRPr="00C80D3A">
        <w:rPr>
          <w:i/>
          <w:sz w:val="26"/>
          <w:szCs w:val="26"/>
        </w:rPr>
        <w:t>i.e</w:t>
      </w:r>
      <w:r w:rsidRPr="00C80D3A">
        <w:rPr>
          <w:sz w:val="26"/>
          <w:szCs w:val="26"/>
        </w:rPr>
        <w:t>.,</w:t>
      </w:r>
      <w:r w:rsidR="004C57E0" w:rsidRPr="00C80D3A">
        <w:rPr>
          <w:sz w:val="26"/>
          <w:szCs w:val="26"/>
        </w:rPr>
        <w:t> </w:t>
      </w:r>
      <w:r w:rsidRPr="00C80D3A">
        <w:rPr>
          <w:sz w:val="26"/>
          <w:szCs w:val="26"/>
        </w:rPr>
        <w:t xml:space="preserve">there should be </w:t>
      </w:r>
      <w:r w:rsidR="00371782">
        <w:rPr>
          <w:sz w:val="26"/>
          <w:szCs w:val="26"/>
        </w:rPr>
        <w:t xml:space="preserve">a </w:t>
      </w:r>
      <w:r w:rsidRPr="00C80D3A">
        <w:rPr>
          <w:sz w:val="26"/>
          <w:szCs w:val="26"/>
        </w:rPr>
        <w:t xml:space="preserve">range for minimum payments); </w:t>
      </w:r>
    </w:p>
    <w:p w14:paraId="7DF603D4" w14:textId="1DB9362A" w:rsidR="007936C0" w:rsidRPr="00C80D3A" w:rsidRDefault="00951ABA" w:rsidP="0086394F">
      <w:pPr>
        <w:pStyle w:val="ListParagraph"/>
        <w:numPr>
          <w:ilvl w:val="0"/>
          <w:numId w:val="28"/>
        </w:numPr>
        <w:spacing w:line="360" w:lineRule="auto"/>
        <w:ind w:left="1080" w:right="990"/>
        <w:rPr>
          <w:sz w:val="26"/>
          <w:szCs w:val="26"/>
        </w:rPr>
      </w:pPr>
      <w:r w:rsidRPr="00C80D3A">
        <w:rPr>
          <w:sz w:val="26"/>
          <w:szCs w:val="26"/>
        </w:rPr>
        <w:t>It should reflect the affordability ranges otherwise adopted by the Commission;</w:t>
      </w:r>
    </w:p>
    <w:p w14:paraId="434BD730" w14:textId="77777777" w:rsidR="00951ABA" w:rsidRPr="00C80D3A" w:rsidRDefault="00951ABA" w:rsidP="0086394F">
      <w:pPr>
        <w:pStyle w:val="ListParagraph"/>
        <w:numPr>
          <w:ilvl w:val="0"/>
          <w:numId w:val="28"/>
        </w:numPr>
        <w:spacing w:line="360" w:lineRule="auto"/>
        <w:ind w:left="1080" w:right="990"/>
        <w:rPr>
          <w:sz w:val="26"/>
          <w:szCs w:val="26"/>
        </w:rPr>
      </w:pPr>
      <w:r w:rsidRPr="00C80D3A">
        <w:rPr>
          <w:sz w:val="26"/>
          <w:szCs w:val="26"/>
        </w:rPr>
        <w:t>It should reflect the income for a three-person household living with income at 25% of the FPIG because the average household sizes in Pennsylvania are between two persons and three persons per household;</w:t>
      </w:r>
    </w:p>
    <w:p w14:paraId="4F8B3350" w14:textId="77777777" w:rsidR="00951ABA" w:rsidRPr="00C80D3A" w:rsidRDefault="00951ABA" w:rsidP="0086394F">
      <w:pPr>
        <w:pStyle w:val="ListParagraph"/>
        <w:numPr>
          <w:ilvl w:val="0"/>
          <w:numId w:val="28"/>
        </w:numPr>
        <w:spacing w:line="360" w:lineRule="auto"/>
        <w:ind w:left="1080" w:right="990"/>
        <w:rPr>
          <w:sz w:val="26"/>
          <w:szCs w:val="26"/>
        </w:rPr>
      </w:pPr>
      <w:r w:rsidRPr="00C80D3A">
        <w:rPr>
          <w:sz w:val="26"/>
          <w:szCs w:val="26"/>
        </w:rPr>
        <w:t xml:space="preserve">It should reflect the average household size in its service territory, and </w:t>
      </w:r>
    </w:p>
    <w:p w14:paraId="2A3C6CF7" w14:textId="77777777" w:rsidR="00951ABA" w:rsidRPr="00C80D3A" w:rsidRDefault="00951ABA" w:rsidP="0086394F">
      <w:pPr>
        <w:pStyle w:val="ListParagraph"/>
        <w:keepNext/>
        <w:numPr>
          <w:ilvl w:val="0"/>
          <w:numId w:val="28"/>
        </w:numPr>
        <w:spacing w:line="360" w:lineRule="auto"/>
        <w:ind w:left="1080" w:right="994"/>
        <w:rPr>
          <w:sz w:val="26"/>
          <w:szCs w:val="26"/>
        </w:rPr>
      </w:pPr>
      <w:r w:rsidRPr="00C80D3A">
        <w:rPr>
          <w:sz w:val="26"/>
          <w:szCs w:val="26"/>
        </w:rPr>
        <w:t xml:space="preserve">It should reflect the household composition at the time of the triennial filing of the USECP.  </w:t>
      </w:r>
    </w:p>
    <w:p w14:paraId="49CB94D1" w14:textId="1EA50FEC" w:rsidR="004C57E0" w:rsidRPr="00C80D3A" w:rsidRDefault="004C57E0" w:rsidP="00377F7C">
      <w:pPr>
        <w:pStyle w:val="ListParagraph"/>
        <w:spacing w:line="360" w:lineRule="auto"/>
        <w:ind w:left="1440" w:right="720"/>
        <w:rPr>
          <w:sz w:val="26"/>
          <w:szCs w:val="26"/>
        </w:rPr>
      </w:pPr>
    </w:p>
    <w:p w14:paraId="6B2CFE98" w14:textId="77777777" w:rsidR="00951ABA" w:rsidRPr="00C80D3A" w:rsidRDefault="00951ABA" w:rsidP="004C57E0">
      <w:pPr>
        <w:spacing w:after="0" w:line="240" w:lineRule="auto"/>
        <w:ind w:right="720"/>
        <w:contextualSpacing/>
        <w:rPr>
          <w:rFonts w:ascii="Times New Roman" w:hAnsi="Times New Roman" w:cs="Times New Roman"/>
          <w:sz w:val="26"/>
          <w:szCs w:val="26"/>
        </w:rPr>
      </w:pPr>
      <w:r w:rsidRPr="00C80D3A">
        <w:rPr>
          <w:rFonts w:ascii="Times New Roman" w:hAnsi="Times New Roman" w:cs="Times New Roman"/>
          <w:sz w:val="26"/>
          <w:szCs w:val="26"/>
        </w:rPr>
        <w:t>OCA Reply Comments at 18.</w:t>
      </w:r>
    </w:p>
    <w:p w14:paraId="382FF645" w14:textId="77777777" w:rsidR="00951ABA" w:rsidRPr="00C80D3A" w:rsidRDefault="00951ABA" w:rsidP="00951ABA">
      <w:pPr>
        <w:pStyle w:val="ListParagraph"/>
        <w:spacing w:line="360" w:lineRule="auto"/>
        <w:ind w:left="0"/>
        <w:rPr>
          <w:sz w:val="26"/>
          <w:szCs w:val="26"/>
        </w:rPr>
      </w:pPr>
    </w:p>
    <w:p w14:paraId="23078205" w14:textId="77777777" w:rsidR="00951ABA" w:rsidRPr="00C80D3A" w:rsidRDefault="00951ABA" w:rsidP="00951ABA">
      <w:pPr>
        <w:pStyle w:val="ListParagraph"/>
        <w:spacing w:line="360" w:lineRule="auto"/>
        <w:ind w:left="0"/>
        <w:rPr>
          <w:sz w:val="26"/>
          <w:szCs w:val="26"/>
        </w:rPr>
      </w:pPr>
      <w:r w:rsidRPr="00C80D3A">
        <w:rPr>
          <w:sz w:val="26"/>
          <w:szCs w:val="26"/>
        </w:rPr>
        <w:tab/>
        <w:t>PPL agrees with OCA that utilities should charge minimum payments and that they be uniform across utilities.  PPL Reply Comments at 3.</w:t>
      </w:r>
    </w:p>
    <w:p w14:paraId="7213C232" w14:textId="77777777" w:rsidR="00951ABA" w:rsidRPr="00C80D3A" w:rsidRDefault="00951ABA" w:rsidP="00951ABA">
      <w:pPr>
        <w:pStyle w:val="ListParagraph"/>
        <w:spacing w:line="360" w:lineRule="auto"/>
        <w:ind w:left="0"/>
        <w:rPr>
          <w:sz w:val="26"/>
          <w:szCs w:val="26"/>
        </w:rPr>
      </w:pPr>
    </w:p>
    <w:p w14:paraId="7B0DE3D5" w14:textId="77777777" w:rsidR="00951ABA" w:rsidRPr="00C80D3A" w:rsidRDefault="00951ABA" w:rsidP="00951ABA">
      <w:pPr>
        <w:pStyle w:val="ListParagraph"/>
        <w:spacing w:line="360" w:lineRule="auto"/>
        <w:ind w:left="0"/>
        <w:rPr>
          <w:sz w:val="26"/>
          <w:szCs w:val="26"/>
        </w:rPr>
      </w:pPr>
      <w:r w:rsidRPr="00C80D3A">
        <w:rPr>
          <w:sz w:val="26"/>
          <w:szCs w:val="26"/>
        </w:rPr>
        <w:tab/>
        <w:t>PGW supports maintaining a minimum bill for low or no-income CAP customers.  However, it would be willing to participate in a collaborative stakeholder process to establish new minimum payment amounts.  PGW Reply Comments at 6.</w:t>
      </w:r>
    </w:p>
    <w:p w14:paraId="5EEA6354" w14:textId="77777777" w:rsidR="00951ABA" w:rsidRPr="00C80D3A" w:rsidRDefault="00951ABA" w:rsidP="00951ABA">
      <w:pPr>
        <w:pStyle w:val="ListParagraph"/>
        <w:spacing w:line="360" w:lineRule="auto"/>
        <w:ind w:left="0"/>
        <w:rPr>
          <w:sz w:val="26"/>
          <w:szCs w:val="26"/>
        </w:rPr>
      </w:pPr>
    </w:p>
    <w:p w14:paraId="60F17E95" w14:textId="135AAA65" w:rsidR="00951ABA" w:rsidRPr="00C80D3A" w:rsidRDefault="00951ABA" w:rsidP="00951ABA">
      <w:pPr>
        <w:pStyle w:val="ListParagraph"/>
        <w:spacing w:line="360" w:lineRule="auto"/>
        <w:ind w:left="0"/>
        <w:rPr>
          <w:sz w:val="26"/>
          <w:szCs w:val="26"/>
        </w:rPr>
      </w:pPr>
      <w:r w:rsidRPr="00C80D3A">
        <w:rPr>
          <w:sz w:val="26"/>
          <w:szCs w:val="26"/>
        </w:rPr>
        <w:tab/>
        <w:t>FirstEnergy opposes a minimum payment requirement that would limit the CAP credits received by customers each month.  FirstEnergy Reply Comments at 10</w:t>
      </w:r>
      <w:r w:rsidR="006A1381" w:rsidRPr="00C80D3A">
        <w:rPr>
          <w:sz w:val="26"/>
          <w:szCs w:val="26"/>
        </w:rPr>
        <w:t>–</w:t>
      </w:r>
      <w:r w:rsidRPr="00C80D3A">
        <w:rPr>
          <w:sz w:val="26"/>
          <w:szCs w:val="26"/>
        </w:rPr>
        <w:t>11.</w:t>
      </w:r>
    </w:p>
    <w:p w14:paraId="2B91F7A4" w14:textId="77777777" w:rsidR="00951ABA" w:rsidRPr="00C80D3A" w:rsidRDefault="00951ABA" w:rsidP="00951ABA">
      <w:pPr>
        <w:spacing w:after="0" w:line="360" w:lineRule="auto"/>
        <w:contextualSpacing/>
        <w:rPr>
          <w:rFonts w:ascii="Times New Roman" w:hAnsi="Times New Roman" w:cs="Times New Roman"/>
          <w:sz w:val="26"/>
          <w:szCs w:val="26"/>
        </w:rPr>
      </w:pPr>
    </w:p>
    <w:p w14:paraId="19D61C6E" w14:textId="77777777" w:rsidR="00951ABA" w:rsidRPr="00C80D3A" w:rsidRDefault="00951ABA" w:rsidP="004C57E0">
      <w:pPr>
        <w:keepNext/>
        <w:spacing w:after="0" w:line="240" w:lineRule="auto"/>
        <w:contextualSpacing/>
        <w:rPr>
          <w:rFonts w:ascii="Times New Roman" w:hAnsi="Times New Roman" w:cs="Times New Roman"/>
          <w:i/>
          <w:sz w:val="26"/>
          <w:szCs w:val="26"/>
        </w:rPr>
      </w:pPr>
      <w:r w:rsidRPr="00C80D3A">
        <w:rPr>
          <w:rFonts w:ascii="Times New Roman" w:hAnsi="Times New Roman" w:cs="Times New Roman"/>
          <w:i/>
          <w:sz w:val="26"/>
          <w:szCs w:val="26"/>
        </w:rPr>
        <w:t>Energy Affordability Report and January 2019 Order, Docket No. M-2017-2587711</w:t>
      </w:r>
    </w:p>
    <w:p w14:paraId="460D773C" w14:textId="77777777" w:rsidR="00951ABA" w:rsidRPr="00C80D3A" w:rsidRDefault="00951ABA" w:rsidP="004C57E0">
      <w:pPr>
        <w:spacing w:after="0" w:line="240" w:lineRule="auto"/>
        <w:contextualSpacing/>
        <w:rPr>
          <w:rFonts w:ascii="Times New Roman" w:hAnsi="Times New Roman" w:cs="Times New Roman"/>
          <w:sz w:val="26"/>
          <w:szCs w:val="26"/>
        </w:rPr>
      </w:pPr>
    </w:p>
    <w:p w14:paraId="0DA41962" w14:textId="11258D16" w:rsidR="00D8539C" w:rsidRDefault="00951ABA" w:rsidP="00951AB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PGW contends that PIPs will fail to make energy affordable for customers with incomes at or below 50% of the FPIG generally and for customers with incomes at or below 25% of the income specifically.  Minimum payment requirements will ensure that these customers always have energy burdens exceeding program targets.  PGW Comments at 1</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2, Exhibit A.</w:t>
      </w:r>
    </w:p>
    <w:p w14:paraId="68A23984" w14:textId="77777777" w:rsidR="00D8539C" w:rsidRDefault="00D8539C">
      <w:pPr>
        <w:rPr>
          <w:rFonts w:ascii="Times New Roman" w:hAnsi="Times New Roman" w:cs="Times New Roman"/>
          <w:sz w:val="26"/>
          <w:szCs w:val="26"/>
        </w:rPr>
      </w:pPr>
      <w:r>
        <w:rPr>
          <w:rFonts w:ascii="Times New Roman" w:hAnsi="Times New Roman" w:cs="Times New Roman"/>
          <w:sz w:val="26"/>
          <w:szCs w:val="26"/>
        </w:rPr>
        <w:br w:type="page"/>
      </w:r>
    </w:p>
    <w:p w14:paraId="08C7C005" w14:textId="77777777" w:rsidR="00951ABA" w:rsidRPr="00C80D3A" w:rsidRDefault="00951ABA" w:rsidP="00951AB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Low Income Advocates contend minimum bill requirements exacerbate energy unaffordability for low-income customers:</w:t>
      </w:r>
    </w:p>
    <w:p w14:paraId="721E231B" w14:textId="77777777" w:rsidR="00951ABA" w:rsidRPr="00C80D3A" w:rsidRDefault="00951ABA" w:rsidP="004C57E0">
      <w:pPr>
        <w:spacing w:after="0" w:line="240" w:lineRule="auto"/>
        <w:contextualSpacing/>
        <w:rPr>
          <w:rFonts w:ascii="Times New Roman" w:hAnsi="Times New Roman" w:cs="Times New Roman"/>
          <w:sz w:val="26"/>
          <w:szCs w:val="26"/>
        </w:rPr>
      </w:pPr>
    </w:p>
    <w:p w14:paraId="0935B1DB" w14:textId="6D93F02B" w:rsidR="00951ABA" w:rsidRPr="00C80D3A" w:rsidRDefault="00951ABA" w:rsidP="00951ABA">
      <w:pPr>
        <w:spacing w:after="0" w:line="240" w:lineRule="auto"/>
        <w:ind w:left="720" w:right="720"/>
        <w:contextualSpacing/>
        <w:rPr>
          <w:rFonts w:ascii="Times New Roman" w:hAnsi="Times New Roman" w:cs="Times New Roman"/>
          <w:sz w:val="26"/>
          <w:szCs w:val="26"/>
        </w:rPr>
      </w:pPr>
      <w:r w:rsidRPr="00C80D3A">
        <w:rPr>
          <w:rFonts w:ascii="Times New Roman" w:hAnsi="Times New Roman" w:cs="Times New Roman"/>
          <w:sz w:val="26"/>
          <w:szCs w:val="26"/>
        </w:rPr>
        <w:t xml:space="preserve">Currently, minimum bills are set at arbitrary amounts, and are not based on what the household could reasonably afford to pay.  A minimum bill amount is not rationally justified as a universal service rate unless it represents a basic threshold cost that could or should be equitably recovered from customers with profound inability to pay. </w:t>
      </w:r>
      <w:r w:rsidR="001B4533">
        <w:rPr>
          <w:rFonts w:ascii="Times New Roman" w:hAnsi="Times New Roman" w:cs="Times New Roman"/>
          <w:sz w:val="26"/>
          <w:szCs w:val="26"/>
        </w:rPr>
        <w:t xml:space="preserve"> </w:t>
      </w:r>
      <w:r w:rsidRPr="00C80D3A">
        <w:rPr>
          <w:rFonts w:ascii="Times New Roman" w:hAnsi="Times New Roman" w:cs="Times New Roman"/>
          <w:sz w:val="26"/>
          <w:szCs w:val="26"/>
        </w:rPr>
        <w:t>Absent a determination that minimum bills are, in fact, affordable, or at the very least are directly justified as representing a bare minimum payment that can be required of a low-income customer, minimum bill payments simply fail to ensure affordable utility service contrary to the Choice Acts and sound public policy.</w:t>
      </w:r>
    </w:p>
    <w:p w14:paraId="6BF4D986" w14:textId="77777777" w:rsidR="00951ABA" w:rsidRPr="00C80D3A" w:rsidRDefault="00951ABA" w:rsidP="00F62260">
      <w:pPr>
        <w:spacing w:after="0" w:line="360" w:lineRule="auto"/>
        <w:ind w:left="720" w:right="720"/>
        <w:contextualSpacing/>
        <w:rPr>
          <w:rFonts w:ascii="Times New Roman" w:hAnsi="Times New Roman" w:cs="Times New Roman"/>
          <w:sz w:val="26"/>
          <w:szCs w:val="26"/>
        </w:rPr>
      </w:pPr>
    </w:p>
    <w:p w14:paraId="2B49E803" w14:textId="026581E6" w:rsidR="00951ABA" w:rsidRPr="00C80D3A" w:rsidRDefault="00951ABA" w:rsidP="00951ABA">
      <w:pPr>
        <w:spacing w:after="0"/>
        <w:contextualSpacing/>
        <w:rPr>
          <w:rFonts w:ascii="Times New Roman" w:hAnsi="Times New Roman" w:cs="Times New Roman"/>
          <w:sz w:val="26"/>
          <w:szCs w:val="26"/>
        </w:rPr>
      </w:pPr>
      <w:r w:rsidRPr="00C80D3A">
        <w:rPr>
          <w:rFonts w:ascii="Times New Roman" w:hAnsi="Times New Roman" w:cs="Times New Roman"/>
          <w:sz w:val="26"/>
          <w:szCs w:val="26"/>
        </w:rPr>
        <w:t>Low Income Advocates Reply Comments at 8</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9.</w:t>
      </w:r>
    </w:p>
    <w:p w14:paraId="4D567828" w14:textId="77777777" w:rsidR="00951ABA" w:rsidRPr="00C80D3A" w:rsidRDefault="00951ABA" w:rsidP="00951ABA">
      <w:pPr>
        <w:spacing w:after="0" w:line="360" w:lineRule="auto"/>
        <w:contextualSpacing/>
        <w:rPr>
          <w:rFonts w:ascii="Times New Roman" w:hAnsi="Times New Roman" w:cs="Times New Roman"/>
          <w:sz w:val="26"/>
          <w:szCs w:val="26"/>
        </w:rPr>
      </w:pPr>
    </w:p>
    <w:p w14:paraId="094C71CC" w14:textId="31C41269" w:rsidR="00951ABA" w:rsidRPr="00C80D3A" w:rsidRDefault="00951ABA" w:rsidP="00951AB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OCA and EAP support maintaining minimum payment requirements.  OCA Comments at 15</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16, EAP Reply Comments at 4</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5.  EAP argues that elimination of minimum payment requirements would harm customers just above the CAP income-eligibility thresholds who pay for these programs.  EAP Reply Comments at 4</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5.</w:t>
      </w:r>
    </w:p>
    <w:p w14:paraId="54B65BBA" w14:textId="77777777" w:rsidR="00951ABA" w:rsidRPr="00C80D3A" w:rsidRDefault="00951ABA" w:rsidP="00951ABA">
      <w:pPr>
        <w:spacing w:after="0" w:line="360" w:lineRule="auto"/>
        <w:contextualSpacing/>
        <w:rPr>
          <w:rFonts w:ascii="Times New Roman" w:hAnsi="Times New Roman" w:cs="Times New Roman"/>
          <w:sz w:val="26"/>
          <w:szCs w:val="26"/>
        </w:rPr>
      </w:pPr>
    </w:p>
    <w:p w14:paraId="72E9C662" w14:textId="77777777" w:rsidR="00951ABA" w:rsidRPr="00C80D3A" w:rsidRDefault="00951ABA" w:rsidP="004C57E0">
      <w:pPr>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1A424158" w14:textId="750F663D" w:rsidR="00951ABA" w:rsidRPr="00C80D3A" w:rsidRDefault="00951ABA" w:rsidP="00951AB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After considering stakeholder comments, we find that the minimum payment ranges in the CAP Policy Statement may not be appropriate for each EDC</w:t>
      </w:r>
      <w:r w:rsidR="001529C6">
        <w:rPr>
          <w:rFonts w:ascii="Times New Roman" w:hAnsi="Times New Roman" w:cs="Times New Roman"/>
          <w:sz w:val="26"/>
          <w:szCs w:val="26"/>
        </w:rPr>
        <w:t>’</w:t>
      </w:r>
      <w:r w:rsidRPr="00C80D3A">
        <w:rPr>
          <w:rFonts w:ascii="Times New Roman" w:hAnsi="Times New Roman" w:cs="Times New Roman"/>
          <w:sz w:val="26"/>
          <w:szCs w:val="26"/>
        </w:rPr>
        <w:t>s and NGDC</w:t>
      </w:r>
      <w:r w:rsidR="001529C6">
        <w:rPr>
          <w:rFonts w:ascii="Times New Roman" w:hAnsi="Times New Roman" w:cs="Times New Roman"/>
          <w:sz w:val="26"/>
          <w:szCs w:val="26"/>
        </w:rPr>
        <w:t>’</w:t>
      </w:r>
      <w:r w:rsidRPr="00C80D3A">
        <w:rPr>
          <w:rFonts w:ascii="Times New Roman" w:hAnsi="Times New Roman" w:cs="Times New Roman"/>
          <w:sz w:val="26"/>
          <w:szCs w:val="26"/>
        </w:rPr>
        <w:t>s affordability targets or service territory.  While the Commission maintains that utility service should never be free (or even almost free) in CAPs, we are open to exploring whether minimum payment requirements could vary by utility and the poverty level of the household.  For example, possibly establishing minimum payment requirements based on tiered FPIGs to ensure the lowest-income CAP customers (</w:t>
      </w:r>
      <w:r w:rsidRPr="00C80D3A">
        <w:rPr>
          <w:rFonts w:ascii="Times New Roman" w:hAnsi="Times New Roman" w:cs="Times New Roman"/>
          <w:i/>
          <w:iCs/>
          <w:sz w:val="26"/>
          <w:szCs w:val="26"/>
        </w:rPr>
        <w:t>e.g.</w:t>
      </w:r>
      <w:r w:rsidRPr="00C80D3A">
        <w:rPr>
          <w:rFonts w:ascii="Times New Roman" w:hAnsi="Times New Roman" w:cs="Times New Roman"/>
          <w:sz w:val="26"/>
          <w:szCs w:val="26"/>
        </w:rPr>
        <w:t>, &lt; 25%</w:t>
      </w:r>
      <w:r w:rsidR="00765A7E">
        <w:rPr>
          <w:rFonts w:ascii="Times New Roman" w:hAnsi="Times New Roman" w:cs="Times New Roman"/>
          <w:sz w:val="26"/>
          <w:szCs w:val="26"/>
        </w:rPr>
        <w:t xml:space="preserve"> of the </w:t>
      </w:r>
      <w:r w:rsidRPr="00C80D3A">
        <w:rPr>
          <w:rFonts w:ascii="Times New Roman" w:hAnsi="Times New Roman" w:cs="Times New Roman"/>
          <w:sz w:val="26"/>
          <w:szCs w:val="26"/>
        </w:rPr>
        <w:t>FPIG) pay a lower minimum bill.  Therefore, we shall remove the</w:t>
      </w:r>
      <w:r w:rsidR="00CF6C21">
        <w:rPr>
          <w:rFonts w:ascii="Times New Roman" w:hAnsi="Times New Roman" w:cs="Times New Roman"/>
          <w:sz w:val="26"/>
          <w:szCs w:val="26"/>
        </w:rPr>
        <w:t xml:space="preserve"> </w:t>
      </w:r>
      <w:r w:rsidRPr="00C80D3A">
        <w:rPr>
          <w:rFonts w:ascii="Times New Roman" w:hAnsi="Times New Roman" w:cs="Times New Roman"/>
          <w:sz w:val="26"/>
          <w:szCs w:val="26"/>
        </w:rPr>
        <w:t xml:space="preserve">minimum payment ranges from the CAP Policy Statement and allow utilities to propose minimum payments requirements in their proposed USECPs. </w:t>
      </w:r>
    </w:p>
    <w:p w14:paraId="7AD1980B" w14:textId="77777777" w:rsidR="00951ABA" w:rsidRPr="00C80D3A" w:rsidRDefault="00951ABA" w:rsidP="00951ABA">
      <w:pPr>
        <w:spacing w:after="0" w:line="360" w:lineRule="auto"/>
        <w:contextualSpacing/>
        <w:rPr>
          <w:rFonts w:ascii="Times New Roman" w:hAnsi="Times New Roman" w:cs="Times New Roman"/>
          <w:sz w:val="26"/>
          <w:szCs w:val="26"/>
        </w:rPr>
      </w:pPr>
    </w:p>
    <w:p w14:paraId="609B86B2" w14:textId="3B027858" w:rsidR="00BA348B" w:rsidRDefault="00951ABA" w:rsidP="00EA3C25">
      <w:pPr>
        <w:keepNext/>
        <w:spacing w:after="0" w:line="240" w:lineRule="auto"/>
        <w:contextualSpacing/>
        <w:rPr>
          <w:rFonts w:ascii="Times New Roman" w:hAnsi="Times New Roman" w:cs="Times New Roman"/>
          <w:b/>
          <w:bCs/>
          <w:iCs/>
          <w:sz w:val="26"/>
          <w:szCs w:val="26"/>
        </w:rPr>
      </w:pPr>
      <w:r w:rsidRPr="00C80D3A">
        <w:rPr>
          <w:rFonts w:ascii="Times New Roman" w:hAnsi="Times New Roman" w:cs="Times New Roman"/>
          <w:b/>
          <w:bCs/>
          <w:iCs/>
          <w:sz w:val="26"/>
          <w:szCs w:val="26"/>
        </w:rPr>
        <w:t xml:space="preserve">Resolution: </w:t>
      </w:r>
      <w:r w:rsidR="00BA348B" w:rsidRPr="00C80D3A">
        <w:rPr>
          <w:rFonts w:ascii="Times New Roman" w:hAnsi="Times New Roman" w:cs="Times New Roman"/>
          <w:b/>
          <w:bCs/>
          <w:iCs/>
          <w:sz w:val="26"/>
          <w:szCs w:val="26"/>
        </w:rPr>
        <w:t>Amend Section 69.265(3)(i) – Minimum Payment Terms</w:t>
      </w:r>
      <w:r w:rsidR="00C12A5D">
        <w:rPr>
          <w:rFonts w:ascii="Times New Roman" w:hAnsi="Times New Roman" w:cs="Times New Roman"/>
          <w:b/>
          <w:bCs/>
          <w:iCs/>
          <w:sz w:val="26"/>
          <w:szCs w:val="26"/>
        </w:rPr>
        <w:t>.</w:t>
      </w:r>
    </w:p>
    <w:p w14:paraId="68CFAACC" w14:textId="77777777" w:rsidR="0092002D" w:rsidRPr="00C80D3A" w:rsidRDefault="0092002D" w:rsidP="00EA3C25">
      <w:pPr>
        <w:keepNext/>
        <w:spacing w:after="0" w:line="240" w:lineRule="auto"/>
        <w:contextualSpacing/>
        <w:rPr>
          <w:rFonts w:ascii="Times New Roman" w:hAnsi="Times New Roman" w:cs="Times New Roman"/>
          <w:b/>
          <w:bCs/>
          <w:iCs/>
          <w:sz w:val="26"/>
          <w:szCs w:val="26"/>
        </w:rPr>
      </w:pPr>
    </w:p>
    <w:p w14:paraId="55C2DE59" w14:textId="005B3580" w:rsidR="00951ABA" w:rsidRPr="00C80D3A" w:rsidRDefault="00BA348B" w:rsidP="00951AB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951ABA" w:rsidRPr="00C80D3A">
        <w:rPr>
          <w:rFonts w:ascii="Times New Roman" w:hAnsi="Times New Roman" w:cs="Times New Roman"/>
          <w:sz w:val="26"/>
          <w:szCs w:val="26"/>
        </w:rPr>
        <w:t>Based on the reasons cited above, as indicated in Annex A</w:t>
      </w:r>
      <w:r w:rsidR="00BC0515" w:rsidRPr="00C80D3A">
        <w:rPr>
          <w:rFonts w:ascii="Times New Roman" w:hAnsi="Times New Roman" w:cs="Times New Roman"/>
          <w:sz w:val="26"/>
          <w:szCs w:val="26"/>
        </w:rPr>
        <w:t xml:space="preserve">, this </w:t>
      </w:r>
      <w:r w:rsidR="00951ABA" w:rsidRPr="00C80D3A">
        <w:rPr>
          <w:rFonts w:ascii="Times New Roman" w:hAnsi="Times New Roman" w:cs="Times New Roman"/>
          <w:sz w:val="26"/>
          <w:szCs w:val="26"/>
        </w:rPr>
        <w:t>Order</w:t>
      </w:r>
      <w:r w:rsidR="00BC0515" w:rsidRPr="00C80D3A">
        <w:rPr>
          <w:rFonts w:ascii="Times New Roman" w:hAnsi="Times New Roman" w:cs="Times New Roman"/>
          <w:sz w:val="26"/>
          <w:szCs w:val="26"/>
        </w:rPr>
        <w:t xml:space="preserve"> amends </w:t>
      </w:r>
      <w:r w:rsidR="00DE5F7F" w:rsidRPr="00C80D3A">
        <w:rPr>
          <w:rFonts w:ascii="Times New Roman" w:hAnsi="Times New Roman" w:cs="Times New Roman"/>
          <w:sz w:val="26"/>
          <w:szCs w:val="26"/>
        </w:rPr>
        <w:t xml:space="preserve">Section 69.265(3)(i) of </w:t>
      </w:r>
      <w:r w:rsidR="00BC0515" w:rsidRPr="00C80D3A">
        <w:rPr>
          <w:rFonts w:ascii="Times New Roman" w:hAnsi="Times New Roman" w:cs="Times New Roman"/>
          <w:sz w:val="26"/>
          <w:szCs w:val="26"/>
        </w:rPr>
        <w:t xml:space="preserve">the CAP Policy Statement to provide that </w:t>
      </w:r>
      <w:r w:rsidR="00951ABA" w:rsidRPr="00C80D3A">
        <w:rPr>
          <w:rFonts w:ascii="Times New Roman" w:hAnsi="Times New Roman" w:cs="Times New Roman"/>
          <w:sz w:val="26"/>
          <w:szCs w:val="26"/>
        </w:rPr>
        <w:t>minimum CAP payments should be established in utility</w:t>
      </w:r>
      <w:r w:rsidR="00951ABA" w:rsidRPr="00C80D3A">
        <w:rPr>
          <w:rFonts w:ascii="Times New Roman" w:hAnsi="Times New Roman" w:cs="Times New Roman"/>
          <w:sz w:val="26"/>
          <w:szCs w:val="26"/>
        </w:rPr>
        <w:noBreakHyphen/>
        <w:t>specific USECP proceedings.  Utilities are encouraged to consider alternatives to establishing an arbitrary minimum payment amount for each account type such as a tiered minimum payment structure based on the household</w:t>
      </w:r>
      <w:r w:rsidR="001529C6">
        <w:rPr>
          <w:rFonts w:ascii="Times New Roman" w:hAnsi="Times New Roman" w:cs="Times New Roman"/>
          <w:sz w:val="26"/>
          <w:szCs w:val="26"/>
        </w:rPr>
        <w:t>’</w:t>
      </w:r>
      <w:r w:rsidR="00951ABA" w:rsidRPr="00C80D3A">
        <w:rPr>
          <w:rFonts w:ascii="Times New Roman" w:hAnsi="Times New Roman" w:cs="Times New Roman"/>
          <w:sz w:val="26"/>
          <w:szCs w:val="26"/>
        </w:rPr>
        <w:t>s FPIG level.  Utilities should work with their USACs to develop CAP minimum payment proposals designed for the needs of their low-income customers.</w:t>
      </w:r>
    </w:p>
    <w:p w14:paraId="307804AA" w14:textId="77777777" w:rsidR="008058A8" w:rsidRPr="00C80D3A" w:rsidRDefault="008058A8" w:rsidP="008058A8">
      <w:pPr>
        <w:spacing w:after="0" w:line="360" w:lineRule="auto"/>
        <w:contextualSpacing/>
        <w:rPr>
          <w:rFonts w:ascii="Times New Roman" w:hAnsi="Times New Roman" w:cs="Times New Roman"/>
          <w:sz w:val="26"/>
          <w:szCs w:val="26"/>
        </w:rPr>
      </w:pPr>
    </w:p>
    <w:p w14:paraId="53ECEB29" w14:textId="7844A407" w:rsidR="00506216" w:rsidRPr="00C80D3A" w:rsidRDefault="00506216" w:rsidP="004C57E0">
      <w:pPr>
        <w:pStyle w:val="Heading3"/>
        <w:contextualSpacing/>
        <w:rPr>
          <w:sz w:val="26"/>
          <w:szCs w:val="26"/>
        </w:rPr>
      </w:pPr>
      <w:bookmarkStart w:id="9" w:name="_2._Proposed_Change:"/>
      <w:bookmarkEnd w:id="9"/>
      <w:r w:rsidRPr="00C80D3A">
        <w:rPr>
          <w:bCs/>
          <w:sz w:val="26"/>
          <w:szCs w:val="26"/>
        </w:rPr>
        <w:t>2.</w:t>
      </w:r>
      <w:r w:rsidRPr="00C80D3A">
        <w:rPr>
          <w:sz w:val="26"/>
          <w:szCs w:val="26"/>
        </w:rPr>
        <w:t xml:space="preserve"> </w:t>
      </w:r>
      <w:r w:rsidR="0083623D" w:rsidRPr="00C80D3A">
        <w:rPr>
          <w:sz w:val="26"/>
          <w:szCs w:val="26"/>
        </w:rPr>
        <w:t xml:space="preserve"> </w:t>
      </w:r>
      <w:r w:rsidR="00774E84" w:rsidRPr="00C80D3A">
        <w:rPr>
          <w:bCs/>
          <w:sz w:val="26"/>
          <w:szCs w:val="26"/>
        </w:rPr>
        <w:t>Utilities should allow CAP households to retain CAP enrollment when they transfer service within the utility</w:t>
      </w:r>
      <w:r w:rsidR="001529C6">
        <w:rPr>
          <w:bCs/>
          <w:sz w:val="26"/>
          <w:szCs w:val="26"/>
        </w:rPr>
        <w:t>’</w:t>
      </w:r>
      <w:r w:rsidR="00774E84" w:rsidRPr="00C80D3A">
        <w:rPr>
          <w:bCs/>
          <w:sz w:val="26"/>
          <w:szCs w:val="26"/>
        </w:rPr>
        <w:t>s (or an affiliate</w:t>
      </w:r>
      <w:r w:rsidR="001529C6">
        <w:rPr>
          <w:bCs/>
          <w:sz w:val="26"/>
          <w:szCs w:val="26"/>
        </w:rPr>
        <w:t>’</w:t>
      </w:r>
      <w:r w:rsidR="00774E84" w:rsidRPr="00C80D3A">
        <w:rPr>
          <w:bCs/>
          <w:sz w:val="26"/>
          <w:szCs w:val="26"/>
        </w:rPr>
        <w:t>s) service territory.</w:t>
      </w:r>
      <w:r w:rsidRPr="00C80D3A">
        <w:rPr>
          <w:sz w:val="26"/>
          <w:szCs w:val="26"/>
        </w:rPr>
        <w:t xml:space="preserve">  </w:t>
      </w:r>
    </w:p>
    <w:p w14:paraId="43066993" w14:textId="77777777" w:rsidR="00506216" w:rsidRPr="00C80D3A" w:rsidRDefault="00506216" w:rsidP="00EC2691">
      <w:pPr>
        <w:keepNext/>
        <w:spacing w:after="0" w:line="240" w:lineRule="auto"/>
        <w:contextualSpacing/>
        <w:rPr>
          <w:rFonts w:ascii="Times New Roman" w:hAnsi="Times New Roman" w:cs="Times New Roman"/>
          <w:sz w:val="26"/>
          <w:szCs w:val="26"/>
        </w:rPr>
      </w:pPr>
    </w:p>
    <w:p w14:paraId="680CF288" w14:textId="7A134794" w:rsidR="00506216" w:rsidRPr="00C80D3A" w:rsidRDefault="001A3FAE"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w:t>
      </w:r>
      <w:r w:rsidR="00697597" w:rsidRPr="00C80D3A">
        <w:rPr>
          <w:rFonts w:ascii="Times New Roman" w:hAnsi="Times New Roman" w:cs="Times New Roman"/>
          <w:sz w:val="26"/>
          <w:szCs w:val="26"/>
        </w:rPr>
        <w:t xml:space="preserve">he Commission </w:t>
      </w:r>
      <w:r w:rsidR="00CA4363" w:rsidRPr="00C80D3A">
        <w:rPr>
          <w:rFonts w:ascii="Times New Roman" w:hAnsi="Times New Roman" w:cs="Times New Roman"/>
          <w:sz w:val="26"/>
          <w:szCs w:val="26"/>
        </w:rPr>
        <w:t xml:space="preserve">has </w:t>
      </w:r>
      <w:r w:rsidR="00AD21A7" w:rsidRPr="00C80D3A">
        <w:rPr>
          <w:rFonts w:ascii="Times New Roman" w:hAnsi="Times New Roman" w:cs="Times New Roman"/>
          <w:sz w:val="26"/>
          <w:szCs w:val="26"/>
        </w:rPr>
        <w:t xml:space="preserve">found </w:t>
      </w:r>
      <w:r w:rsidR="00506216" w:rsidRPr="00C80D3A">
        <w:rPr>
          <w:rFonts w:ascii="Times New Roman" w:hAnsi="Times New Roman" w:cs="Times New Roman"/>
          <w:sz w:val="26"/>
          <w:szCs w:val="26"/>
        </w:rPr>
        <w:t xml:space="preserve">that some utilities </w:t>
      </w:r>
      <w:r w:rsidR="000F7257" w:rsidRPr="00C80D3A">
        <w:rPr>
          <w:rFonts w:ascii="Times New Roman" w:hAnsi="Times New Roman" w:cs="Times New Roman"/>
          <w:sz w:val="26"/>
          <w:szCs w:val="26"/>
        </w:rPr>
        <w:t xml:space="preserve">have </w:t>
      </w:r>
      <w:r w:rsidR="00506216" w:rsidRPr="00C80D3A">
        <w:rPr>
          <w:rFonts w:ascii="Times New Roman" w:hAnsi="Times New Roman" w:cs="Times New Roman"/>
          <w:sz w:val="26"/>
          <w:szCs w:val="26"/>
        </w:rPr>
        <w:t xml:space="preserve">required CAP households to re-apply for </w:t>
      </w:r>
      <w:r w:rsidR="000F7257" w:rsidRPr="00C80D3A">
        <w:rPr>
          <w:rFonts w:ascii="Times New Roman" w:hAnsi="Times New Roman" w:cs="Times New Roman"/>
          <w:sz w:val="26"/>
          <w:szCs w:val="26"/>
        </w:rPr>
        <w:t xml:space="preserve">CAP enrollment </w:t>
      </w:r>
      <w:r w:rsidR="00506216" w:rsidRPr="00C80D3A">
        <w:rPr>
          <w:rFonts w:ascii="Times New Roman" w:hAnsi="Times New Roman" w:cs="Times New Roman"/>
          <w:sz w:val="26"/>
          <w:szCs w:val="26"/>
        </w:rPr>
        <w:t>when they transfer service to a new location within the utility</w:t>
      </w:r>
      <w:r w:rsidR="001529C6">
        <w:rPr>
          <w:rFonts w:ascii="Times New Roman" w:hAnsi="Times New Roman" w:cs="Times New Roman"/>
          <w:sz w:val="26"/>
          <w:szCs w:val="26"/>
        </w:rPr>
        <w:t>’</w:t>
      </w:r>
      <w:r w:rsidR="00506216" w:rsidRPr="00C80D3A">
        <w:rPr>
          <w:rFonts w:ascii="Times New Roman" w:hAnsi="Times New Roman" w:cs="Times New Roman"/>
          <w:sz w:val="26"/>
          <w:szCs w:val="26"/>
        </w:rPr>
        <w:t xml:space="preserve">s service territory.  </w:t>
      </w:r>
      <w:r w:rsidR="00E146F8" w:rsidRPr="00C80D3A">
        <w:rPr>
          <w:rFonts w:ascii="Times New Roman" w:hAnsi="Times New Roman" w:cs="Times New Roman"/>
          <w:sz w:val="26"/>
          <w:szCs w:val="26"/>
        </w:rPr>
        <w:t>We have</w:t>
      </w:r>
      <w:r w:rsidR="00506216" w:rsidRPr="00C80D3A">
        <w:rPr>
          <w:rFonts w:ascii="Times New Roman" w:hAnsi="Times New Roman" w:cs="Times New Roman"/>
          <w:sz w:val="26"/>
          <w:szCs w:val="26"/>
        </w:rPr>
        <w:t xml:space="preserve"> directed both PPL and NFG to allow CAP customers to maintain program enrollment when they transfer service during USECP review proceedings.  </w:t>
      </w:r>
      <w:r w:rsidR="00506216" w:rsidRPr="00C80D3A">
        <w:rPr>
          <w:rFonts w:ascii="Times New Roman" w:hAnsi="Times New Roman" w:cs="Times New Roman"/>
          <w:i/>
          <w:iCs/>
          <w:sz w:val="26"/>
          <w:szCs w:val="26"/>
        </w:rPr>
        <w:t>See</w:t>
      </w:r>
      <w:r w:rsidR="00506216" w:rsidRPr="00C80D3A">
        <w:rPr>
          <w:rFonts w:ascii="Times New Roman" w:hAnsi="Times New Roman" w:cs="Times New Roman"/>
          <w:sz w:val="26"/>
          <w:szCs w:val="26"/>
        </w:rPr>
        <w:t xml:space="preserve"> </w:t>
      </w:r>
      <w:r w:rsidR="00506216" w:rsidRPr="00C80D3A">
        <w:rPr>
          <w:rFonts w:ascii="Times New Roman" w:hAnsi="Times New Roman" w:cs="Times New Roman"/>
          <w:i/>
          <w:iCs/>
          <w:sz w:val="26"/>
          <w:szCs w:val="26"/>
        </w:rPr>
        <w:t>PPL 2014-2016 USECP Final Order</w:t>
      </w:r>
      <w:r w:rsidR="00506216" w:rsidRPr="00C80D3A">
        <w:rPr>
          <w:rFonts w:ascii="Times New Roman" w:hAnsi="Times New Roman" w:cs="Times New Roman"/>
          <w:sz w:val="26"/>
          <w:szCs w:val="26"/>
        </w:rPr>
        <w:t>, Docket No. M-2013-2367021 (</w:t>
      </w:r>
      <w:r w:rsidR="0041736F" w:rsidRPr="00C80D3A">
        <w:rPr>
          <w:rFonts w:ascii="Times New Roman" w:hAnsi="Times New Roman" w:cs="Times New Roman"/>
          <w:sz w:val="26"/>
          <w:szCs w:val="26"/>
        </w:rPr>
        <w:t>o</w:t>
      </w:r>
      <w:r w:rsidR="00506216" w:rsidRPr="00C80D3A">
        <w:rPr>
          <w:rFonts w:ascii="Times New Roman" w:hAnsi="Times New Roman" w:cs="Times New Roman"/>
          <w:sz w:val="26"/>
          <w:szCs w:val="26"/>
        </w:rPr>
        <w:t>rder entered</w:t>
      </w:r>
      <w:r w:rsidR="0041736F" w:rsidRPr="00C80D3A">
        <w:rPr>
          <w:rFonts w:ascii="Times New Roman" w:hAnsi="Times New Roman" w:cs="Times New Roman"/>
          <w:sz w:val="26"/>
          <w:szCs w:val="26"/>
        </w:rPr>
        <w:t xml:space="preserve"> </w:t>
      </w:r>
      <w:r w:rsidR="00506216" w:rsidRPr="00C80D3A">
        <w:rPr>
          <w:rFonts w:ascii="Times New Roman" w:hAnsi="Times New Roman" w:cs="Times New Roman"/>
          <w:sz w:val="26"/>
          <w:szCs w:val="26"/>
        </w:rPr>
        <w:t>on September 11, 2014)</w:t>
      </w:r>
      <w:r w:rsidR="00470D07" w:rsidRPr="00C80D3A">
        <w:rPr>
          <w:rFonts w:ascii="Times New Roman" w:hAnsi="Times New Roman" w:cs="Times New Roman"/>
          <w:sz w:val="26"/>
          <w:szCs w:val="26"/>
        </w:rPr>
        <w:t>,</w:t>
      </w:r>
      <w:r w:rsidR="00506216" w:rsidRPr="00C80D3A">
        <w:rPr>
          <w:rFonts w:ascii="Times New Roman" w:hAnsi="Times New Roman" w:cs="Times New Roman"/>
          <w:sz w:val="26"/>
          <w:szCs w:val="26"/>
        </w:rPr>
        <w:t xml:space="preserve"> at 24</w:t>
      </w:r>
      <w:r w:rsidR="006A1381" w:rsidRPr="00C80D3A">
        <w:rPr>
          <w:rFonts w:ascii="Times New Roman" w:hAnsi="Times New Roman" w:cs="Times New Roman"/>
          <w:sz w:val="26"/>
          <w:szCs w:val="26"/>
        </w:rPr>
        <w:t>–</w:t>
      </w:r>
      <w:r w:rsidR="00506216" w:rsidRPr="00C80D3A">
        <w:rPr>
          <w:rFonts w:ascii="Times New Roman" w:hAnsi="Times New Roman" w:cs="Times New Roman"/>
          <w:sz w:val="26"/>
          <w:szCs w:val="26"/>
        </w:rPr>
        <w:t xml:space="preserve">28; and </w:t>
      </w:r>
      <w:r w:rsidR="00506216" w:rsidRPr="00C80D3A">
        <w:rPr>
          <w:rFonts w:ascii="Times New Roman" w:hAnsi="Times New Roman" w:cs="Times New Roman"/>
          <w:i/>
          <w:iCs/>
          <w:sz w:val="26"/>
          <w:szCs w:val="26"/>
        </w:rPr>
        <w:t>NFG 2017-2020 USECP Order</w:t>
      </w:r>
      <w:r w:rsidR="00506216" w:rsidRPr="00C80D3A">
        <w:rPr>
          <w:rFonts w:ascii="Times New Roman" w:hAnsi="Times New Roman" w:cs="Times New Roman"/>
          <w:sz w:val="26"/>
          <w:szCs w:val="26"/>
        </w:rPr>
        <w:t>, Docket No. M-2016-2573847 (</w:t>
      </w:r>
      <w:r w:rsidR="0041736F" w:rsidRPr="00C80D3A">
        <w:rPr>
          <w:rFonts w:ascii="Times New Roman" w:hAnsi="Times New Roman" w:cs="Times New Roman"/>
          <w:sz w:val="26"/>
          <w:szCs w:val="26"/>
        </w:rPr>
        <w:t>o</w:t>
      </w:r>
      <w:r w:rsidR="00506216" w:rsidRPr="00C80D3A">
        <w:rPr>
          <w:rFonts w:ascii="Times New Roman" w:hAnsi="Times New Roman" w:cs="Times New Roman"/>
          <w:sz w:val="26"/>
          <w:szCs w:val="26"/>
        </w:rPr>
        <w:t>rder entered on March 1, 2018)</w:t>
      </w:r>
      <w:r w:rsidR="00470D07" w:rsidRPr="00C80D3A">
        <w:rPr>
          <w:rFonts w:ascii="Times New Roman" w:hAnsi="Times New Roman" w:cs="Times New Roman"/>
          <w:sz w:val="26"/>
          <w:szCs w:val="26"/>
        </w:rPr>
        <w:t>,</w:t>
      </w:r>
      <w:r w:rsidR="00506216" w:rsidRPr="00C80D3A">
        <w:rPr>
          <w:rFonts w:ascii="Times New Roman" w:hAnsi="Times New Roman" w:cs="Times New Roman"/>
          <w:sz w:val="26"/>
          <w:szCs w:val="26"/>
        </w:rPr>
        <w:t xml:space="preserve"> at 22</w:t>
      </w:r>
      <w:r w:rsidR="001850FD" w:rsidRPr="00C80D3A">
        <w:rPr>
          <w:rFonts w:ascii="Times New Roman" w:hAnsi="Times New Roman" w:cs="Times New Roman"/>
          <w:b/>
          <w:bCs/>
          <w:iCs/>
          <w:sz w:val="26"/>
          <w:szCs w:val="26"/>
        </w:rPr>
        <w:t>–</w:t>
      </w:r>
      <w:r w:rsidR="00506216" w:rsidRPr="00C80D3A">
        <w:rPr>
          <w:rFonts w:ascii="Times New Roman" w:hAnsi="Times New Roman" w:cs="Times New Roman"/>
          <w:sz w:val="26"/>
          <w:szCs w:val="26"/>
        </w:rPr>
        <w:t>24.</w:t>
      </w:r>
    </w:p>
    <w:p w14:paraId="53C14C35"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3995704F" w14:textId="7AE22225"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issue was not addressed by stakeholders during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or </w:t>
      </w:r>
      <w:r w:rsidRPr="00C80D3A">
        <w:rPr>
          <w:rFonts w:ascii="Times New Roman" w:hAnsi="Times New Roman" w:cs="Times New Roman"/>
          <w:i/>
          <w:iCs/>
          <w:sz w:val="26"/>
          <w:szCs w:val="26"/>
        </w:rPr>
        <w:t>Energy Affordability</w:t>
      </w:r>
      <w:r w:rsidRPr="00C80D3A">
        <w:rPr>
          <w:rFonts w:ascii="Times New Roman" w:hAnsi="Times New Roman" w:cs="Times New Roman"/>
          <w:sz w:val="26"/>
          <w:szCs w:val="26"/>
        </w:rPr>
        <w:t xml:space="preserve"> proceedings</w:t>
      </w:r>
      <w:r w:rsidR="00EB6C86" w:rsidRPr="001202BD">
        <w:rPr>
          <w:rFonts w:ascii="Times New Roman" w:hAnsi="Times New Roman" w:cs="Times New Roman"/>
          <w:sz w:val="26"/>
          <w:szCs w:val="26"/>
        </w:rPr>
        <w:t xml:space="preserve">, but it has </w:t>
      </w:r>
      <w:r w:rsidR="00C41AD6" w:rsidRPr="001202BD">
        <w:rPr>
          <w:rFonts w:ascii="Times New Roman" w:hAnsi="Times New Roman" w:cs="Times New Roman"/>
          <w:sz w:val="26"/>
          <w:szCs w:val="26"/>
        </w:rPr>
        <w:t>been addressed</w:t>
      </w:r>
      <w:r w:rsidR="000B3685" w:rsidRPr="001202BD">
        <w:rPr>
          <w:rFonts w:ascii="Times New Roman" w:hAnsi="Times New Roman" w:cs="Times New Roman"/>
          <w:sz w:val="26"/>
          <w:szCs w:val="26"/>
        </w:rPr>
        <w:t xml:space="preserve"> </w:t>
      </w:r>
      <w:r w:rsidR="00EB6C86" w:rsidRPr="001202BD">
        <w:rPr>
          <w:rFonts w:ascii="Times New Roman" w:hAnsi="Times New Roman" w:cs="Times New Roman"/>
          <w:sz w:val="26"/>
          <w:szCs w:val="26"/>
        </w:rPr>
        <w:t>in</w:t>
      </w:r>
      <w:r w:rsidR="00EB6C86" w:rsidRPr="00B77D3A">
        <w:rPr>
          <w:rFonts w:ascii="Times New Roman" w:hAnsi="Times New Roman" w:cs="Times New Roman"/>
          <w:sz w:val="26"/>
          <w:szCs w:val="26"/>
        </w:rPr>
        <w:t xml:space="preserve"> </w:t>
      </w:r>
      <w:r w:rsidR="000C1118" w:rsidRPr="00B77D3A">
        <w:rPr>
          <w:rFonts w:ascii="Times New Roman" w:hAnsi="Times New Roman" w:cs="Times New Roman"/>
          <w:sz w:val="26"/>
          <w:szCs w:val="26"/>
        </w:rPr>
        <w:t xml:space="preserve">various utility-specific </w:t>
      </w:r>
      <w:r w:rsidR="00AC04A4" w:rsidRPr="00B77D3A">
        <w:rPr>
          <w:rFonts w:ascii="Times New Roman" w:hAnsi="Times New Roman" w:cs="Times New Roman"/>
          <w:sz w:val="26"/>
          <w:szCs w:val="26"/>
        </w:rPr>
        <w:t>proceedings</w:t>
      </w:r>
      <w:r w:rsidRPr="00B77D3A">
        <w:rPr>
          <w:rFonts w:ascii="Times New Roman" w:hAnsi="Times New Roman" w:cs="Times New Roman"/>
          <w:sz w:val="26"/>
          <w:szCs w:val="26"/>
        </w:rPr>
        <w:t>.</w:t>
      </w:r>
    </w:p>
    <w:p w14:paraId="3502657C"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37FC1745" w14:textId="77777777" w:rsidR="00506216" w:rsidRPr="00C80D3A" w:rsidRDefault="00506216" w:rsidP="00EC2691">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1E0F9BAE" w14:textId="2D393BD9" w:rsidR="00506216" w:rsidRDefault="008F737D"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Commission </w:t>
      </w:r>
      <w:r w:rsidR="006211A9" w:rsidRPr="00C80D3A">
        <w:rPr>
          <w:rFonts w:ascii="Times New Roman" w:hAnsi="Times New Roman" w:cs="Times New Roman"/>
          <w:sz w:val="26"/>
          <w:szCs w:val="26"/>
        </w:rPr>
        <w:t xml:space="preserve">finds it reasonable </w:t>
      </w:r>
      <w:r w:rsidR="007906F6" w:rsidRPr="00C80D3A">
        <w:rPr>
          <w:rFonts w:ascii="Times New Roman" w:hAnsi="Times New Roman" w:cs="Times New Roman"/>
          <w:sz w:val="26"/>
          <w:szCs w:val="26"/>
        </w:rPr>
        <w:t xml:space="preserve">to </w:t>
      </w:r>
      <w:r w:rsidR="00506216" w:rsidRPr="00C80D3A">
        <w:rPr>
          <w:rFonts w:ascii="Times New Roman" w:hAnsi="Times New Roman" w:cs="Times New Roman"/>
          <w:sz w:val="26"/>
          <w:szCs w:val="26"/>
        </w:rPr>
        <w:t>requir</w:t>
      </w:r>
      <w:r w:rsidR="006211A9" w:rsidRPr="00C80D3A">
        <w:rPr>
          <w:rFonts w:ascii="Times New Roman" w:hAnsi="Times New Roman" w:cs="Times New Roman"/>
          <w:sz w:val="26"/>
          <w:szCs w:val="26"/>
        </w:rPr>
        <w:t>e</w:t>
      </w:r>
      <w:r w:rsidR="00506216" w:rsidRPr="00C80D3A">
        <w:rPr>
          <w:rFonts w:ascii="Times New Roman" w:hAnsi="Times New Roman" w:cs="Times New Roman"/>
          <w:sz w:val="26"/>
          <w:szCs w:val="26"/>
        </w:rPr>
        <w:t xml:space="preserve"> EDCs and NGDCs to allow customers to remain in CAP when they transfer service to a new location within a utility</w:t>
      </w:r>
      <w:r w:rsidR="001529C6">
        <w:rPr>
          <w:rFonts w:ascii="Times New Roman" w:hAnsi="Times New Roman" w:cs="Times New Roman"/>
          <w:sz w:val="26"/>
          <w:szCs w:val="26"/>
        </w:rPr>
        <w:t>’</w:t>
      </w:r>
      <w:r w:rsidR="00506216" w:rsidRPr="00C80D3A">
        <w:rPr>
          <w:rFonts w:ascii="Times New Roman" w:hAnsi="Times New Roman" w:cs="Times New Roman"/>
          <w:sz w:val="26"/>
          <w:szCs w:val="26"/>
        </w:rPr>
        <w:t>s service territory.  When relocating customers are removed from CAP</w:t>
      </w:r>
      <w:r w:rsidR="001850FD" w:rsidRPr="00C80D3A">
        <w:rPr>
          <w:rFonts w:ascii="Times New Roman" w:hAnsi="Times New Roman" w:cs="Times New Roman"/>
          <w:sz w:val="26"/>
          <w:szCs w:val="26"/>
        </w:rPr>
        <w:t>,</w:t>
      </w:r>
      <w:r w:rsidR="00764BA5" w:rsidRPr="00C80D3A">
        <w:rPr>
          <w:rFonts w:ascii="Times New Roman" w:hAnsi="Times New Roman" w:cs="Times New Roman"/>
          <w:sz w:val="26"/>
          <w:szCs w:val="26"/>
        </w:rPr>
        <w:t xml:space="preserve"> however short </w:t>
      </w:r>
      <w:r w:rsidR="001850FD" w:rsidRPr="00C80D3A">
        <w:rPr>
          <w:rFonts w:ascii="Times New Roman" w:hAnsi="Times New Roman" w:cs="Times New Roman"/>
          <w:sz w:val="26"/>
          <w:szCs w:val="26"/>
        </w:rPr>
        <w:t>t</w:t>
      </w:r>
      <w:r w:rsidR="00764BA5" w:rsidRPr="00C80D3A">
        <w:rPr>
          <w:rFonts w:ascii="Times New Roman" w:hAnsi="Times New Roman" w:cs="Times New Roman"/>
          <w:sz w:val="26"/>
          <w:szCs w:val="26"/>
        </w:rPr>
        <w:t>he removal may be</w:t>
      </w:r>
      <w:r w:rsidR="00506216" w:rsidRPr="00C80D3A">
        <w:rPr>
          <w:rFonts w:ascii="Times New Roman" w:hAnsi="Times New Roman" w:cs="Times New Roman"/>
          <w:sz w:val="26"/>
          <w:szCs w:val="26"/>
        </w:rPr>
        <w:t xml:space="preserve">, they are likely to receive unaffordable bills – based on the full-tariff rate – </w:t>
      </w:r>
      <w:r w:rsidR="001850FD" w:rsidRPr="00C80D3A">
        <w:rPr>
          <w:rFonts w:ascii="Times New Roman" w:hAnsi="Times New Roman" w:cs="Times New Roman"/>
          <w:sz w:val="26"/>
          <w:szCs w:val="26"/>
        </w:rPr>
        <w:t xml:space="preserve">in </w:t>
      </w:r>
      <w:r w:rsidR="00506216" w:rsidRPr="00C80D3A">
        <w:rPr>
          <w:rFonts w:ascii="Times New Roman" w:hAnsi="Times New Roman" w:cs="Times New Roman"/>
          <w:sz w:val="26"/>
          <w:szCs w:val="26"/>
        </w:rPr>
        <w:t xml:space="preserve">the interim as they wait for the utility to re-determine their program eligibility.  In addition, these customers also lose the opportunity to reduce </w:t>
      </w:r>
      <w:r w:rsidR="000672F4" w:rsidRPr="00C80D3A">
        <w:rPr>
          <w:rFonts w:ascii="Times New Roman" w:hAnsi="Times New Roman" w:cs="Times New Roman"/>
          <w:sz w:val="26"/>
          <w:szCs w:val="26"/>
        </w:rPr>
        <w:t>PPAs</w:t>
      </w:r>
      <w:r w:rsidR="00506216" w:rsidRPr="00C80D3A">
        <w:rPr>
          <w:rFonts w:ascii="Times New Roman" w:hAnsi="Times New Roman" w:cs="Times New Roman"/>
          <w:sz w:val="26"/>
          <w:szCs w:val="26"/>
        </w:rPr>
        <w:t xml:space="preserve"> with each monthly payment.  While relocation to a new residence may require the utility to re-calculate a household</w:t>
      </w:r>
      <w:r w:rsidR="001529C6">
        <w:rPr>
          <w:rFonts w:ascii="Times New Roman" w:hAnsi="Times New Roman" w:cs="Times New Roman"/>
          <w:sz w:val="26"/>
          <w:szCs w:val="26"/>
        </w:rPr>
        <w:t>’</w:t>
      </w:r>
      <w:r w:rsidR="00506216" w:rsidRPr="00C80D3A">
        <w:rPr>
          <w:rFonts w:ascii="Times New Roman" w:hAnsi="Times New Roman" w:cs="Times New Roman"/>
          <w:sz w:val="26"/>
          <w:szCs w:val="26"/>
        </w:rPr>
        <w:t>s CAP payment (</w:t>
      </w:r>
      <w:r w:rsidR="00506216" w:rsidRPr="00C80D3A">
        <w:rPr>
          <w:rFonts w:ascii="Times New Roman" w:hAnsi="Times New Roman" w:cs="Times New Roman"/>
          <w:i/>
          <w:sz w:val="26"/>
          <w:szCs w:val="26"/>
        </w:rPr>
        <w:t>e.g.</w:t>
      </w:r>
      <w:r w:rsidR="00506216" w:rsidRPr="00C80D3A">
        <w:rPr>
          <w:rFonts w:ascii="Times New Roman" w:hAnsi="Times New Roman" w:cs="Times New Roman"/>
          <w:sz w:val="26"/>
          <w:szCs w:val="26"/>
        </w:rPr>
        <w:t xml:space="preserve">, if the payment is based on average household usage), it </w:t>
      </w:r>
      <w:r w:rsidR="00193FBE" w:rsidRPr="00C80D3A">
        <w:rPr>
          <w:rFonts w:ascii="Times New Roman" w:hAnsi="Times New Roman" w:cs="Times New Roman"/>
          <w:sz w:val="26"/>
          <w:szCs w:val="26"/>
        </w:rPr>
        <w:t xml:space="preserve">should </w:t>
      </w:r>
      <w:r w:rsidR="00506216" w:rsidRPr="00C80D3A">
        <w:rPr>
          <w:rFonts w:ascii="Times New Roman" w:hAnsi="Times New Roman" w:cs="Times New Roman"/>
          <w:sz w:val="26"/>
          <w:szCs w:val="26"/>
        </w:rPr>
        <w:t>not require a household to re-verify the source and amount of their income prior to their next CAP recertification date.  Requiring a participating household to submit a new CAP application or re-verify income after transferring service is unnecessary and can create financial hardships for low-income households.</w:t>
      </w:r>
    </w:p>
    <w:p w14:paraId="0C9F2806" w14:textId="77777777" w:rsidR="00A14A6E" w:rsidRPr="00C80D3A" w:rsidRDefault="00A14A6E" w:rsidP="00315DBC">
      <w:pPr>
        <w:spacing w:after="0" w:line="360" w:lineRule="auto"/>
        <w:ind w:firstLine="720"/>
        <w:contextualSpacing/>
        <w:rPr>
          <w:rFonts w:ascii="Times New Roman" w:hAnsi="Times New Roman" w:cs="Times New Roman"/>
          <w:sz w:val="26"/>
          <w:szCs w:val="26"/>
        </w:rPr>
      </w:pPr>
    </w:p>
    <w:p w14:paraId="5B096EBC" w14:textId="6D6915D0" w:rsidR="001850FD" w:rsidRDefault="00904A9B" w:rsidP="0092002D">
      <w:pPr>
        <w:keepNext/>
        <w:spacing w:after="0" w:line="24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Resolution</w:t>
      </w:r>
      <w:r w:rsidR="00506216" w:rsidRPr="00C80D3A">
        <w:rPr>
          <w:rFonts w:ascii="Times New Roman" w:hAnsi="Times New Roman" w:cs="Times New Roman"/>
          <w:b/>
          <w:bCs/>
          <w:sz w:val="26"/>
          <w:szCs w:val="26"/>
        </w:rPr>
        <w:t xml:space="preserve">: </w:t>
      </w:r>
      <w:r w:rsidR="00C80D3A">
        <w:rPr>
          <w:rFonts w:ascii="Times New Roman" w:hAnsi="Times New Roman" w:cs="Times New Roman"/>
          <w:b/>
          <w:bCs/>
          <w:sz w:val="26"/>
          <w:szCs w:val="26"/>
        </w:rPr>
        <w:t>Add</w:t>
      </w:r>
      <w:r w:rsidR="001850FD" w:rsidRPr="00C80D3A">
        <w:rPr>
          <w:rFonts w:ascii="Times New Roman" w:hAnsi="Times New Roman" w:cs="Times New Roman"/>
          <w:b/>
          <w:bCs/>
          <w:sz w:val="26"/>
          <w:szCs w:val="26"/>
        </w:rPr>
        <w:t xml:space="preserve"> New Section 69.265(10) – Transfer of Service.</w:t>
      </w:r>
    </w:p>
    <w:p w14:paraId="7376B3E3" w14:textId="77777777" w:rsidR="0092002D" w:rsidRPr="00C80D3A" w:rsidRDefault="0092002D" w:rsidP="00F04703">
      <w:pPr>
        <w:keepNext/>
        <w:spacing w:after="0" w:line="240" w:lineRule="auto"/>
        <w:contextualSpacing/>
        <w:rPr>
          <w:rFonts w:ascii="Times New Roman" w:hAnsi="Times New Roman" w:cs="Times New Roman"/>
          <w:b/>
          <w:bCs/>
          <w:sz w:val="26"/>
          <w:szCs w:val="26"/>
        </w:rPr>
      </w:pPr>
    </w:p>
    <w:p w14:paraId="69C9CD4F" w14:textId="787594A4" w:rsidR="00CA2DCC" w:rsidRPr="00C80D3A" w:rsidRDefault="001850FD"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2F79DC" w:rsidRPr="00C80D3A">
        <w:rPr>
          <w:rFonts w:ascii="Times New Roman" w:hAnsi="Times New Roman" w:cs="Times New Roman"/>
          <w:sz w:val="26"/>
          <w:szCs w:val="26"/>
        </w:rPr>
        <w:t>This Order amend</w:t>
      </w:r>
      <w:r w:rsidR="00B24528" w:rsidRPr="00C80D3A">
        <w:rPr>
          <w:rFonts w:ascii="Times New Roman" w:hAnsi="Times New Roman" w:cs="Times New Roman"/>
          <w:sz w:val="26"/>
          <w:szCs w:val="26"/>
        </w:rPr>
        <w:t>s</w:t>
      </w:r>
      <w:r w:rsidRPr="00C80D3A">
        <w:rPr>
          <w:rFonts w:ascii="Times New Roman" w:hAnsi="Times New Roman" w:cs="Times New Roman"/>
          <w:sz w:val="26"/>
          <w:szCs w:val="26"/>
        </w:rPr>
        <w:t xml:space="preserve"> Section 69.265 of</w:t>
      </w:r>
      <w:r w:rsidR="002F79DC" w:rsidRPr="00C80D3A">
        <w:rPr>
          <w:rFonts w:ascii="Times New Roman" w:hAnsi="Times New Roman" w:cs="Times New Roman"/>
          <w:sz w:val="26"/>
          <w:szCs w:val="26"/>
        </w:rPr>
        <w:t xml:space="preserve"> the CAP Policy Statement as indicated in A</w:t>
      </w:r>
      <w:r w:rsidR="00635EFC" w:rsidRPr="00C80D3A">
        <w:rPr>
          <w:rFonts w:ascii="Times New Roman" w:hAnsi="Times New Roman" w:cs="Times New Roman"/>
          <w:sz w:val="26"/>
          <w:szCs w:val="26"/>
        </w:rPr>
        <w:t xml:space="preserve">nnex </w:t>
      </w:r>
      <w:r w:rsidR="005704DB" w:rsidRPr="00C80D3A">
        <w:rPr>
          <w:rFonts w:ascii="Times New Roman" w:hAnsi="Times New Roman" w:cs="Times New Roman"/>
          <w:sz w:val="26"/>
          <w:szCs w:val="26"/>
        </w:rPr>
        <w:t xml:space="preserve">A </w:t>
      </w:r>
      <w:r w:rsidR="00260BAF" w:rsidRPr="00C80D3A">
        <w:rPr>
          <w:rFonts w:ascii="Times New Roman" w:hAnsi="Times New Roman" w:cs="Times New Roman"/>
          <w:sz w:val="26"/>
          <w:szCs w:val="26"/>
        </w:rPr>
        <w:t xml:space="preserve">to address </w:t>
      </w:r>
      <w:r w:rsidR="008D1A3B" w:rsidRPr="00C80D3A">
        <w:rPr>
          <w:rFonts w:ascii="Times New Roman" w:hAnsi="Times New Roman" w:cs="Times New Roman"/>
          <w:sz w:val="26"/>
          <w:szCs w:val="26"/>
        </w:rPr>
        <w:t>maintaining CAP enrollment after household relocations within a service territory.</w:t>
      </w:r>
      <w:r w:rsidR="002F79DC" w:rsidRPr="00C80D3A">
        <w:rPr>
          <w:rFonts w:ascii="Times New Roman" w:hAnsi="Times New Roman" w:cs="Times New Roman"/>
          <w:sz w:val="26"/>
          <w:szCs w:val="26"/>
        </w:rPr>
        <w:t xml:space="preserve"> </w:t>
      </w:r>
      <w:r w:rsidR="004D5361" w:rsidRPr="00C80D3A">
        <w:rPr>
          <w:rFonts w:ascii="Times New Roman" w:hAnsi="Times New Roman" w:cs="Times New Roman"/>
          <w:sz w:val="26"/>
          <w:szCs w:val="26"/>
        </w:rPr>
        <w:t xml:space="preserve"> </w:t>
      </w:r>
      <w:r w:rsidR="00391CFB" w:rsidRPr="00C80D3A">
        <w:rPr>
          <w:rFonts w:ascii="Times New Roman" w:hAnsi="Times New Roman" w:cs="Times New Roman"/>
          <w:sz w:val="26"/>
          <w:szCs w:val="26"/>
        </w:rPr>
        <w:t>U</w:t>
      </w:r>
      <w:r w:rsidR="004D5361" w:rsidRPr="00C80D3A">
        <w:rPr>
          <w:rFonts w:ascii="Times New Roman" w:hAnsi="Times New Roman" w:cs="Times New Roman"/>
          <w:sz w:val="26"/>
          <w:szCs w:val="26"/>
        </w:rPr>
        <w:t>t</w:t>
      </w:r>
      <w:r w:rsidR="00B617C7" w:rsidRPr="00C80D3A">
        <w:rPr>
          <w:rFonts w:ascii="Times New Roman" w:hAnsi="Times New Roman" w:cs="Times New Roman"/>
          <w:sz w:val="26"/>
          <w:szCs w:val="26"/>
        </w:rPr>
        <w:t xml:space="preserve">ilities </w:t>
      </w:r>
      <w:r w:rsidR="00492214" w:rsidRPr="00C80D3A">
        <w:rPr>
          <w:rFonts w:ascii="Times New Roman" w:hAnsi="Times New Roman" w:cs="Times New Roman"/>
          <w:sz w:val="26"/>
          <w:szCs w:val="26"/>
        </w:rPr>
        <w:t>that</w:t>
      </w:r>
      <w:r w:rsidR="00B617C7" w:rsidRPr="00C80D3A">
        <w:rPr>
          <w:rFonts w:ascii="Times New Roman" w:hAnsi="Times New Roman" w:cs="Times New Roman"/>
          <w:sz w:val="26"/>
          <w:szCs w:val="26"/>
        </w:rPr>
        <w:t xml:space="preserve"> are not </w:t>
      </w:r>
      <w:r w:rsidR="004D5361" w:rsidRPr="00C80D3A">
        <w:rPr>
          <w:rFonts w:ascii="Times New Roman" w:hAnsi="Times New Roman" w:cs="Times New Roman"/>
          <w:sz w:val="26"/>
          <w:szCs w:val="26"/>
        </w:rPr>
        <w:t xml:space="preserve">willing or </w:t>
      </w:r>
      <w:r w:rsidR="00B617C7" w:rsidRPr="00C80D3A">
        <w:rPr>
          <w:rFonts w:ascii="Times New Roman" w:hAnsi="Times New Roman" w:cs="Times New Roman"/>
          <w:sz w:val="26"/>
          <w:szCs w:val="26"/>
        </w:rPr>
        <w:t xml:space="preserve">prepared to maintain CAP enrollment when a </w:t>
      </w:r>
      <w:r w:rsidR="000131F0" w:rsidRPr="00C80D3A">
        <w:rPr>
          <w:rFonts w:ascii="Times New Roman" w:hAnsi="Times New Roman" w:cs="Times New Roman"/>
          <w:sz w:val="26"/>
          <w:szCs w:val="26"/>
        </w:rPr>
        <w:t xml:space="preserve">customer </w:t>
      </w:r>
      <w:r w:rsidR="00B617C7" w:rsidRPr="00C80D3A">
        <w:rPr>
          <w:rFonts w:ascii="Times New Roman" w:hAnsi="Times New Roman" w:cs="Times New Roman"/>
          <w:sz w:val="26"/>
          <w:szCs w:val="26"/>
        </w:rPr>
        <w:t xml:space="preserve">participating </w:t>
      </w:r>
      <w:r w:rsidR="00690F4B" w:rsidRPr="00C80D3A">
        <w:rPr>
          <w:rFonts w:ascii="Times New Roman" w:hAnsi="Times New Roman" w:cs="Times New Roman"/>
          <w:sz w:val="26"/>
          <w:szCs w:val="26"/>
        </w:rPr>
        <w:t xml:space="preserve">in CAP </w:t>
      </w:r>
      <w:r w:rsidR="00B617C7" w:rsidRPr="00C80D3A">
        <w:rPr>
          <w:rFonts w:ascii="Times New Roman" w:hAnsi="Times New Roman" w:cs="Times New Roman"/>
          <w:sz w:val="26"/>
          <w:szCs w:val="26"/>
        </w:rPr>
        <w:t>relocates to a new residence within the utility</w:t>
      </w:r>
      <w:r w:rsidR="001529C6">
        <w:rPr>
          <w:rFonts w:ascii="Times New Roman" w:hAnsi="Times New Roman" w:cs="Times New Roman"/>
          <w:sz w:val="26"/>
          <w:szCs w:val="26"/>
        </w:rPr>
        <w:t>’</w:t>
      </w:r>
      <w:r w:rsidR="00B617C7" w:rsidRPr="00C80D3A">
        <w:rPr>
          <w:rFonts w:ascii="Times New Roman" w:hAnsi="Times New Roman" w:cs="Times New Roman"/>
          <w:sz w:val="26"/>
          <w:szCs w:val="26"/>
        </w:rPr>
        <w:t xml:space="preserve">s </w:t>
      </w:r>
      <w:r w:rsidR="00710EB1" w:rsidRPr="00C80D3A">
        <w:rPr>
          <w:rFonts w:ascii="Times New Roman" w:hAnsi="Times New Roman" w:cs="Times New Roman"/>
          <w:sz w:val="26"/>
          <w:szCs w:val="26"/>
        </w:rPr>
        <w:t>or an affiliate</w:t>
      </w:r>
      <w:r w:rsidR="001529C6">
        <w:rPr>
          <w:rFonts w:ascii="Times New Roman" w:hAnsi="Times New Roman" w:cs="Times New Roman"/>
          <w:sz w:val="26"/>
          <w:szCs w:val="26"/>
        </w:rPr>
        <w:t>’</w:t>
      </w:r>
      <w:r w:rsidR="00A67EA4" w:rsidRPr="00C80D3A">
        <w:rPr>
          <w:rFonts w:ascii="Times New Roman" w:hAnsi="Times New Roman" w:cs="Times New Roman"/>
          <w:sz w:val="26"/>
          <w:szCs w:val="26"/>
        </w:rPr>
        <w:t xml:space="preserve">s </w:t>
      </w:r>
      <w:r w:rsidR="00B617C7" w:rsidRPr="00C80D3A">
        <w:rPr>
          <w:rFonts w:ascii="Times New Roman" w:hAnsi="Times New Roman" w:cs="Times New Roman"/>
          <w:sz w:val="26"/>
          <w:szCs w:val="26"/>
        </w:rPr>
        <w:t xml:space="preserve">service territory </w:t>
      </w:r>
      <w:r w:rsidR="00A744F0" w:rsidRPr="00C80D3A">
        <w:rPr>
          <w:rFonts w:ascii="Times New Roman" w:hAnsi="Times New Roman" w:cs="Times New Roman"/>
          <w:sz w:val="26"/>
          <w:szCs w:val="26"/>
        </w:rPr>
        <w:t>should be prepared to address</w:t>
      </w:r>
      <w:r w:rsidR="00B617C7" w:rsidRPr="00C80D3A">
        <w:rPr>
          <w:rFonts w:ascii="Times New Roman" w:hAnsi="Times New Roman" w:cs="Times New Roman"/>
          <w:sz w:val="26"/>
          <w:szCs w:val="26"/>
        </w:rPr>
        <w:t xml:space="preserve"> the matter in a utility-specific proceeding. </w:t>
      </w:r>
    </w:p>
    <w:p w14:paraId="0CF99842" w14:textId="77777777" w:rsidR="004B2DC5" w:rsidRPr="00C80D3A" w:rsidRDefault="004B2DC5" w:rsidP="004B2DC5">
      <w:pPr>
        <w:spacing w:after="0" w:line="360" w:lineRule="auto"/>
        <w:contextualSpacing/>
        <w:rPr>
          <w:rFonts w:ascii="Times New Roman" w:hAnsi="Times New Roman" w:cs="Times New Roman"/>
          <w:sz w:val="26"/>
          <w:szCs w:val="26"/>
        </w:rPr>
      </w:pPr>
    </w:p>
    <w:p w14:paraId="27F743A7" w14:textId="55038C7C" w:rsidR="00506216" w:rsidRPr="00C80D3A" w:rsidRDefault="00506216" w:rsidP="00EC2691">
      <w:pPr>
        <w:pStyle w:val="Heading3"/>
        <w:keepLines/>
        <w:contextualSpacing/>
        <w:rPr>
          <w:sz w:val="26"/>
          <w:szCs w:val="26"/>
        </w:rPr>
      </w:pPr>
      <w:bookmarkStart w:id="10" w:name="_3._Proposed_Change:"/>
      <w:bookmarkEnd w:id="10"/>
      <w:r w:rsidRPr="00C80D3A">
        <w:rPr>
          <w:bCs/>
          <w:sz w:val="26"/>
          <w:szCs w:val="26"/>
        </w:rPr>
        <w:t>3.</w:t>
      </w:r>
      <w:r w:rsidR="0083623D" w:rsidRPr="00C80D3A">
        <w:rPr>
          <w:bCs/>
          <w:sz w:val="26"/>
          <w:szCs w:val="26"/>
        </w:rPr>
        <w:t xml:space="preserve"> </w:t>
      </w:r>
      <w:r w:rsidRPr="00C80D3A">
        <w:rPr>
          <w:sz w:val="26"/>
          <w:szCs w:val="26"/>
        </w:rPr>
        <w:t xml:space="preserve"> </w:t>
      </w:r>
      <w:r w:rsidR="000131F0" w:rsidRPr="00C80D3A">
        <w:rPr>
          <w:sz w:val="26"/>
          <w:szCs w:val="26"/>
        </w:rPr>
        <w:t xml:space="preserve">Utilities </w:t>
      </w:r>
      <w:r w:rsidR="004B7B8D" w:rsidRPr="00C80D3A">
        <w:rPr>
          <w:sz w:val="26"/>
          <w:szCs w:val="26"/>
        </w:rPr>
        <w:t xml:space="preserve">should </w:t>
      </w:r>
      <w:r w:rsidRPr="00C80D3A">
        <w:rPr>
          <w:sz w:val="26"/>
          <w:szCs w:val="26"/>
        </w:rPr>
        <w:t>accept income documentation of at least the last 30</w:t>
      </w:r>
      <w:r w:rsidR="004A2F53" w:rsidRPr="00C80D3A">
        <w:rPr>
          <w:sz w:val="26"/>
          <w:szCs w:val="26"/>
        </w:rPr>
        <w:t> </w:t>
      </w:r>
      <w:r w:rsidRPr="00C80D3A">
        <w:rPr>
          <w:sz w:val="26"/>
          <w:szCs w:val="26"/>
        </w:rPr>
        <w:t>days or 12</w:t>
      </w:r>
      <w:r w:rsidR="00BA3AAD" w:rsidRPr="00C80D3A">
        <w:rPr>
          <w:sz w:val="26"/>
          <w:szCs w:val="26"/>
        </w:rPr>
        <w:t> </w:t>
      </w:r>
      <w:r w:rsidRPr="00C80D3A">
        <w:rPr>
          <w:sz w:val="26"/>
          <w:szCs w:val="26"/>
        </w:rPr>
        <w:t xml:space="preserve">months, whichever is more beneficial to the household, when determining CAP eligibility at application or recertification.  CAP applications and recertification letters </w:t>
      </w:r>
      <w:r w:rsidR="00B769AE" w:rsidRPr="00C80D3A">
        <w:rPr>
          <w:sz w:val="26"/>
          <w:szCs w:val="26"/>
        </w:rPr>
        <w:t xml:space="preserve">should </w:t>
      </w:r>
      <w:r w:rsidRPr="00C80D3A">
        <w:rPr>
          <w:sz w:val="26"/>
          <w:szCs w:val="26"/>
        </w:rPr>
        <w:t xml:space="preserve">identify acceptable income timeframes and explain how each may benefit the customer. </w:t>
      </w:r>
    </w:p>
    <w:p w14:paraId="53EB355F" w14:textId="77777777" w:rsidR="00506216" w:rsidRPr="00C80D3A" w:rsidRDefault="00506216" w:rsidP="00EC2691">
      <w:pPr>
        <w:keepNext/>
        <w:spacing w:after="0" w:line="240" w:lineRule="auto"/>
        <w:contextualSpacing/>
        <w:rPr>
          <w:rFonts w:ascii="Times New Roman" w:hAnsi="Times New Roman" w:cs="Times New Roman"/>
          <w:color w:val="000000"/>
          <w:sz w:val="26"/>
          <w:szCs w:val="26"/>
        </w:rPr>
      </w:pPr>
    </w:p>
    <w:p w14:paraId="016B5B97" w14:textId="58B93E1F" w:rsidR="00506216" w:rsidRPr="00C80D3A" w:rsidRDefault="00506216" w:rsidP="00315DBC">
      <w:pPr>
        <w:spacing w:after="0" w:line="360" w:lineRule="auto"/>
        <w:ind w:firstLine="72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 xml:space="preserve">The CAP Policy Statement </w:t>
      </w:r>
      <w:r w:rsidR="002B4A0B" w:rsidRPr="00C80D3A">
        <w:rPr>
          <w:rFonts w:ascii="Times New Roman" w:hAnsi="Times New Roman" w:cs="Times New Roman"/>
          <w:color w:val="000000"/>
          <w:sz w:val="26"/>
          <w:szCs w:val="26"/>
        </w:rPr>
        <w:t>defines</w:t>
      </w:r>
      <w:r w:rsidR="006552A5" w:rsidRPr="00C80D3A">
        <w:rPr>
          <w:rFonts w:ascii="Times New Roman" w:hAnsi="Times New Roman" w:cs="Times New Roman"/>
          <w:color w:val="000000"/>
          <w:sz w:val="26"/>
          <w:szCs w:val="26"/>
        </w:rPr>
        <w:t xml:space="preserve"> </w:t>
      </w:r>
      <w:r w:rsidR="00AE0D53" w:rsidRPr="00C80D3A">
        <w:rPr>
          <w:rFonts w:ascii="Times New Roman" w:hAnsi="Times New Roman" w:cs="Times New Roman"/>
          <w:color w:val="000000"/>
          <w:sz w:val="26"/>
          <w:szCs w:val="26"/>
        </w:rPr>
        <w:t xml:space="preserve">a </w:t>
      </w:r>
      <w:r w:rsidR="006552A5" w:rsidRPr="00C80D3A">
        <w:rPr>
          <w:rFonts w:ascii="Times New Roman" w:hAnsi="Times New Roman" w:cs="Times New Roman"/>
          <w:color w:val="000000"/>
          <w:sz w:val="26"/>
          <w:szCs w:val="26"/>
        </w:rPr>
        <w:t xml:space="preserve">low-income customer as </w:t>
      </w:r>
      <w:r w:rsidR="00AE0D53" w:rsidRPr="00C80D3A">
        <w:rPr>
          <w:rFonts w:ascii="Times New Roman" w:hAnsi="Times New Roman" w:cs="Times New Roman"/>
          <w:color w:val="000000"/>
          <w:sz w:val="26"/>
          <w:szCs w:val="26"/>
        </w:rPr>
        <w:t xml:space="preserve">having annual household gross income </w:t>
      </w:r>
      <w:r w:rsidRPr="00C80D3A">
        <w:rPr>
          <w:rFonts w:ascii="Times New Roman" w:hAnsi="Times New Roman" w:cs="Times New Roman"/>
          <w:color w:val="000000"/>
          <w:sz w:val="26"/>
          <w:szCs w:val="26"/>
        </w:rPr>
        <w:t>at or below 150% of the FPIG</w:t>
      </w:r>
      <w:r w:rsidR="00AE0D53" w:rsidRPr="00C80D3A">
        <w:rPr>
          <w:rFonts w:ascii="Times New Roman" w:hAnsi="Times New Roman" w:cs="Times New Roman"/>
          <w:color w:val="000000"/>
          <w:sz w:val="26"/>
          <w:szCs w:val="26"/>
        </w:rPr>
        <w:t>.</w:t>
      </w:r>
      <w:r w:rsidRPr="00C80D3A">
        <w:rPr>
          <w:rFonts w:ascii="Times New Roman" w:hAnsi="Times New Roman" w:cs="Times New Roman"/>
          <w:color w:val="000000"/>
          <w:sz w:val="26"/>
          <w:szCs w:val="26"/>
        </w:rPr>
        <w:t xml:space="preserve">  Section 69.26</w:t>
      </w:r>
      <w:r w:rsidR="002B4A0B" w:rsidRPr="00C80D3A">
        <w:rPr>
          <w:rFonts w:ascii="Times New Roman" w:hAnsi="Times New Roman" w:cs="Times New Roman"/>
          <w:color w:val="000000"/>
          <w:sz w:val="26"/>
          <w:szCs w:val="26"/>
        </w:rPr>
        <w:t>2</w:t>
      </w:r>
      <w:r w:rsidRPr="00C80D3A">
        <w:rPr>
          <w:rFonts w:ascii="Times New Roman" w:hAnsi="Times New Roman" w:cs="Times New Roman"/>
          <w:color w:val="000000"/>
          <w:sz w:val="26"/>
          <w:szCs w:val="26"/>
        </w:rPr>
        <w:t xml:space="preserve">.  All EDCs and NGDCs </w:t>
      </w:r>
      <w:r w:rsidR="00EE5D47" w:rsidRPr="00C80D3A">
        <w:rPr>
          <w:rFonts w:ascii="Times New Roman" w:hAnsi="Times New Roman" w:cs="Times New Roman"/>
          <w:color w:val="000000"/>
          <w:sz w:val="26"/>
          <w:szCs w:val="26"/>
        </w:rPr>
        <w:t xml:space="preserve">currently </w:t>
      </w:r>
      <w:r w:rsidRPr="00C80D3A">
        <w:rPr>
          <w:rFonts w:ascii="Times New Roman" w:hAnsi="Times New Roman" w:cs="Times New Roman"/>
          <w:color w:val="000000"/>
          <w:sz w:val="26"/>
          <w:szCs w:val="26"/>
        </w:rPr>
        <w:t>use a household</w:t>
      </w:r>
      <w:r w:rsidR="001529C6">
        <w:rPr>
          <w:rFonts w:ascii="Times New Roman" w:hAnsi="Times New Roman" w:cs="Times New Roman"/>
          <w:color w:val="000000"/>
          <w:sz w:val="26"/>
          <w:szCs w:val="26"/>
        </w:rPr>
        <w:t>’</w:t>
      </w:r>
      <w:r w:rsidRPr="00C80D3A">
        <w:rPr>
          <w:rFonts w:ascii="Times New Roman" w:hAnsi="Times New Roman" w:cs="Times New Roman"/>
          <w:color w:val="000000"/>
          <w:sz w:val="26"/>
          <w:szCs w:val="26"/>
        </w:rPr>
        <w:t xml:space="preserve">s documented or calculated annual income to determine income-eligibility for the </w:t>
      </w:r>
      <w:r w:rsidR="00EE5D47" w:rsidRPr="00C80D3A">
        <w:rPr>
          <w:rFonts w:ascii="Times New Roman" w:hAnsi="Times New Roman" w:cs="Times New Roman"/>
          <w:color w:val="000000"/>
          <w:sz w:val="26"/>
          <w:szCs w:val="26"/>
        </w:rPr>
        <w:t>CAP</w:t>
      </w:r>
      <w:r w:rsidRPr="00C80D3A">
        <w:rPr>
          <w:rFonts w:ascii="Times New Roman" w:hAnsi="Times New Roman" w:cs="Times New Roman"/>
          <w:color w:val="000000"/>
          <w:sz w:val="26"/>
          <w:szCs w:val="26"/>
        </w:rPr>
        <w:t>.  However, the Policy Statement does not identify on what basis the household</w:t>
      </w:r>
      <w:r w:rsidR="001529C6">
        <w:rPr>
          <w:rFonts w:ascii="Times New Roman" w:hAnsi="Times New Roman" w:cs="Times New Roman"/>
          <w:color w:val="000000"/>
          <w:sz w:val="26"/>
          <w:szCs w:val="26"/>
        </w:rPr>
        <w:t>’</w:t>
      </w:r>
      <w:r w:rsidRPr="00C80D3A">
        <w:rPr>
          <w:rFonts w:ascii="Times New Roman" w:hAnsi="Times New Roman" w:cs="Times New Roman"/>
          <w:color w:val="000000"/>
          <w:sz w:val="26"/>
          <w:szCs w:val="26"/>
        </w:rPr>
        <w:t>s annual income should be determined (</w:t>
      </w:r>
      <w:r w:rsidRPr="00C80D3A">
        <w:rPr>
          <w:rFonts w:ascii="Times New Roman" w:hAnsi="Times New Roman" w:cs="Times New Roman"/>
          <w:i/>
          <w:color w:val="000000"/>
          <w:sz w:val="26"/>
          <w:szCs w:val="26"/>
        </w:rPr>
        <w:t>i.e.</w:t>
      </w:r>
      <w:r w:rsidRPr="00C80D3A">
        <w:rPr>
          <w:rFonts w:ascii="Times New Roman" w:hAnsi="Times New Roman" w:cs="Times New Roman"/>
          <w:color w:val="000000"/>
          <w:sz w:val="26"/>
          <w:szCs w:val="26"/>
        </w:rPr>
        <w:t xml:space="preserve">, using annual income, monthly income annualized, or both).  </w:t>
      </w:r>
    </w:p>
    <w:p w14:paraId="0EA55207" w14:textId="77777777" w:rsidR="00506216" w:rsidRPr="00C80D3A" w:rsidRDefault="00506216" w:rsidP="00315DBC">
      <w:pPr>
        <w:spacing w:after="0" w:line="360" w:lineRule="auto"/>
        <w:contextualSpacing/>
        <w:rPr>
          <w:rFonts w:ascii="Times New Roman" w:hAnsi="Times New Roman" w:cs="Times New Roman"/>
          <w:color w:val="000000"/>
          <w:sz w:val="26"/>
          <w:szCs w:val="26"/>
        </w:rPr>
      </w:pPr>
    </w:p>
    <w:p w14:paraId="7748836C" w14:textId="37F642B0" w:rsidR="00506216" w:rsidRPr="00C80D3A" w:rsidRDefault="00506216" w:rsidP="00315DBC">
      <w:pPr>
        <w:spacing w:after="0" w:line="360" w:lineRule="auto"/>
        <w:ind w:firstLine="72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The time period used to calculate a household</w:t>
      </w:r>
      <w:r w:rsidR="001529C6">
        <w:rPr>
          <w:rFonts w:ascii="Times New Roman" w:hAnsi="Times New Roman" w:cs="Times New Roman"/>
          <w:color w:val="000000"/>
          <w:sz w:val="26"/>
          <w:szCs w:val="26"/>
        </w:rPr>
        <w:t>’</w:t>
      </w:r>
      <w:r w:rsidRPr="00C80D3A">
        <w:rPr>
          <w:rFonts w:ascii="Times New Roman" w:hAnsi="Times New Roman" w:cs="Times New Roman"/>
          <w:color w:val="000000"/>
          <w:sz w:val="26"/>
          <w:szCs w:val="26"/>
        </w:rPr>
        <w:t xml:space="preserve">s annual income can impact </w:t>
      </w:r>
      <w:r w:rsidR="00230CD2" w:rsidRPr="00C80D3A">
        <w:rPr>
          <w:rFonts w:ascii="Times New Roman" w:hAnsi="Times New Roman" w:cs="Times New Roman"/>
          <w:color w:val="000000"/>
          <w:sz w:val="26"/>
          <w:szCs w:val="26"/>
        </w:rPr>
        <w:t xml:space="preserve">its </w:t>
      </w:r>
      <w:r w:rsidRPr="00C80D3A">
        <w:rPr>
          <w:rFonts w:ascii="Times New Roman" w:hAnsi="Times New Roman" w:cs="Times New Roman"/>
          <w:color w:val="000000"/>
          <w:sz w:val="26"/>
          <w:szCs w:val="26"/>
        </w:rPr>
        <w:t>eligibility for CAP and, if eligible, the amount of discount (</w:t>
      </w:r>
      <w:r w:rsidRPr="00C80D3A">
        <w:rPr>
          <w:rFonts w:ascii="Times New Roman" w:hAnsi="Times New Roman" w:cs="Times New Roman"/>
          <w:i/>
          <w:iCs/>
          <w:color w:val="000000"/>
          <w:sz w:val="26"/>
          <w:szCs w:val="26"/>
        </w:rPr>
        <w:t>i.e.</w:t>
      </w:r>
      <w:r w:rsidRPr="00C80D3A">
        <w:rPr>
          <w:rFonts w:ascii="Times New Roman" w:hAnsi="Times New Roman" w:cs="Times New Roman"/>
          <w:color w:val="000000"/>
          <w:sz w:val="26"/>
          <w:szCs w:val="26"/>
        </w:rPr>
        <w:t xml:space="preserve">, CAP credits) </w:t>
      </w:r>
      <w:r w:rsidR="00230CD2" w:rsidRPr="00C80D3A">
        <w:rPr>
          <w:rFonts w:ascii="Times New Roman" w:hAnsi="Times New Roman" w:cs="Times New Roman"/>
          <w:color w:val="000000"/>
          <w:sz w:val="26"/>
          <w:szCs w:val="26"/>
        </w:rPr>
        <w:t xml:space="preserve">it would </w:t>
      </w:r>
      <w:r w:rsidRPr="00C80D3A">
        <w:rPr>
          <w:rFonts w:ascii="Times New Roman" w:hAnsi="Times New Roman" w:cs="Times New Roman"/>
          <w:color w:val="000000"/>
          <w:sz w:val="26"/>
          <w:szCs w:val="26"/>
        </w:rPr>
        <w:t xml:space="preserve">receive on monthly bills.  For example, a household </w:t>
      </w:r>
      <w:r w:rsidR="00AC6533" w:rsidRPr="00C80D3A">
        <w:rPr>
          <w:rFonts w:ascii="Times New Roman" w:hAnsi="Times New Roman" w:cs="Times New Roman"/>
          <w:color w:val="000000"/>
          <w:sz w:val="26"/>
          <w:szCs w:val="26"/>
        </w:rPr>
        <w:t xml:space="preserve">that </w:t>
      </w:r>
      <w:r w:rsidRPr="00C80D3A">
        <w:rPr>
          <w:rFonts w:ascii="Times New Roman" w:hAnsi="Times New Roman" w:cs="Times New Roman"/>
          <w:color w:val="000000"/>
          <w:sz w:val="26"/>
          <w:szCs w:val="26"/>
        </w:rPr>
        <w:t xml:space="preserve">has recently experienced a loss or decrease in wages may have significantly lower income during the past 30 days than an annual tax return would indicate.  On the other hand, using 12 months of income may be more beneficial for a household with inconsistent or seasonal employment, </w:t>
      </w:r>
      <w:r w:rsidR="00AC6533" w:rsidRPr="00C80D3A">
        <w:rPr>
          <w:rFonts w:ascii="Times New Roman" w:hAnsi="Times New Roman" w:cs="Times New Roman"/>
          <w:color w:val="000000"/>
          <w:sz w:val="26"/>
          <w:szCs w:val="26"/>
        </w:rPr>
        <w:t xml:space="preserve">that </w:t>
      </w:r>
      <w:r w:rsidRPr="00C80D3A">
        <w:rPr>
          <w:rFonts w:ascii="Times New Roman" w:hAnsi="Times New Roman" w:cs="Times New Roman"/>
          <w:color w:val="000000"/>
          <w:sz w:val="26"/>
          <w:szCs w:val="26"/>
        </w:rPr>
        <w:t>earn</w:t>
      </w:r>
      <w:r w:rsidR="00AE1DAC" w:rsidRPr="00C80D3A">
        <w:rPr>
          <w:rFonts w:ascii="Times New Roman" w:hAnsi="Times New Roman" w:cs="Times New Roman"/>
          <w:color w:val="000000"/>
          <w:sz w:val="26"/>
          <w:szCs w:val="26"/>
        </w:rPr>
        <w:t>s</w:t>
      </w:r>
      <w:r w:rsidRPr="00C80D3A">
        <w:rPr>
          <w:rFonts w:ascii="Times New Roman" w:hAnsi="Times New Roman" w:cs="Times New Roman"/>
          <w:color w:val="000000"/>
          <w:sz w:val="26"/>
          <w:szCs w:val="26"/>
        </w:rPr>
        <w:t xml:space="preserve"> more during certain months than others.  </w:t>
      </w:r>
    </w:p>
    <w:p w14:paraId="33E6CA5F" w14:textId="77777777" w:rsidR="00506216" w:rsidRPr="00C80D3A" w:rsidRDefault="00506216" w:rsidP="00315DBC">
      <w:pPr>
        <w:spacing w:after="0" w:line="360" w:lineRule="auto"/>
        <w:contextualSpacing/>
        <w:rPr>
          <w:rFonts w:ascii="Times New Roman" w:hAnsi="Times New Roman" w:cs="Times New Roman"/>
          <w:color w:val="000000"/>
          <w:sz w:val="26"/>
          <w:szCs w:val="26"/>
        </w:rPr>
      </w:pPr>
    </w:p>
    <w:p w14:paraId="37EE719C" w14:textId="2CAE1424" w:rsidR="00506216" w:rsidRPr="00C80D3A" w:rsidRDefault="00506216" w:rsidP="00315DBC">
      <w:pPr>
        <w:spacing w:after="0" w:line="360" w:lineRule="auto"/>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ab/>
        <w:t xml:space="preserve">During the </w:t>
      </w:r>
      <w:r w:rsidRPr="00C80D3A">
        <w:rPr>
          <w:rFonts w:ascii="Times New Roman" w:hAnsi="Times New Roman" w:cs="Times New Roman"/>
          <w:i/>
          <w:iCs/>
          <w:color w:val="000000"/>
          <w:sz w:val="26"/>
          <w:szCs w:val="26"/>
        </w:rPr>
        <w:t>Review</w:t>
      </w:r>
      <w:r w:rsidRPr="00C80D3A">
        <w:rPr>
          <w:rFonts w:ascii="Times New Roman" w:hAnsi="Times New Roman" w:cs="Times New Roman"/>
          <w:color w:val="000000"/>
          <w:sz w:val="26"/>
          <w:szCs w:val="26"/>
        </w:rPr>
        <w:t xml:space="preserve"> proceeding, stakeholders generally supported annualizing monthly income for determining CAP eligibility and credits if </w:t>
      </w:r>
      <w:r w:rsidR="007670EF" w:rsidRPr="00C80D3A">
        <w:rPr>
          <w:rFonts w:ascii="Times New Roman" w:hAnsi="Times New Roman" w:cs="Times New Roman"/>
          <w:color w:val="000000"/>
          <w:sz w:val="26"/>
          <w:szCs w:val="26"/>
        </w:rPr>
        <w:t xml:space="preserve">that would be </w:t>
      </w:r>
      <w:r w:rsidRPr="00C80D3A">
        <w:rPr>
          <w:rFonts w:ascii="Times New Roman" w:hAnsi="Times New Roman" w:cs="Times New Roman"/>
          <w:color w:val="000000"/>
          <w:sz w:val="26"/>
          <w:szCs w:val="26"/>
        </w:rPr>
        <w:t>more beneficial for the household.</w:t>
      </w:r>
      <w:r w:rsidRPr="00C80D3A">
        <w:rPr>
          <w:rFonts w:ascii="Times New Roman" w:hAnsi="Times New Roman" w:cs="Times New Roman"/>
          <w:color w:val="000000"/>
          <w:sz w:val="26"/>
          <w:szCs w:val="26"/>
          <w:vertAlign w:val="superscript"/>
        </w:rPr>
        <w:footnoteReference w:id="70"/>
      </w:r>
      <w:r w:rsidRPr="00C80D3A">
        <w:rPr>
          <w:rFonts w:ascii="Times New Roman" w:hAnsi="Times New Roman" w:cs="Times New Roman"/>
          <w:color w:val="000000"/>
          <w:sz w:val="26"/>
          <w:szCs w:val="26"/>
        </w:rPr>
        <w:t xml:space="preserve"> </w:t>
      </w:r>
    </w:p>
    <w:p w14:paraId="51893201" w14:textId="77777777" w:rsidR="00506216" w:rsidRPr="00C80D3A" w:rsidRDefault="00506216" w:rsidP="00315DBC">
      <w:pPr>
        <w:spacing w:after="0" w:line="360" w:lineRule="auto"/>
        <w:contextualSpacing/>
        <w:rPr>
          <w:rFonts w:ascii="Times New Roman" w:hAnsi="Times New Roman" w:cs="Times New Roman"/>
          <w:color w:val="000000"/>
          <w:sz w:val="26"/>
          <w:szCs w:val="26"/>
        </w:rPr>
      </w:pPr>
    </w:p>
    <w:p w14:paraId="17504362" w14:textId="1B3EA46A" w:rsidR="00506216" w:rsidRPr="00C80D3A" w:rsidRDefault="00506216" w:rsidP="00EC2691">
      <w:pPr>
        <w:keepNext/>
        <w:spacing w:after="0" w:line="240" w:lineRule="auto"/>
        <w:contextualSpacing/>
        <w:rPr>
          <w:rFonts w:ascii="Times New Roman" w:hAnsi="Times New Roman" w:cs="Times New Roman"/>
          <w:color w:val="000000"/>
          <w:sz w:val="26"/>
          <w:szCs w:val="26"/>
        </w:rPr>
      </w:pPr>
      <w:r w:rsidRPr="00C80D3A">
        <w:rPr>
          <w:rFonts w:ascii="Times New Roman" w:hAnsi="Times New Roman" w:cs="Times New Roman"/>
          <w:i/>
          <w:sz w:val="26"/>
          <w:szCs w:val="26"/>
        </w:rPr>
        <w:t>Review of Universal Service and Energy Conservation Programs, Docket No. M</w:t>
      </w:r>
      <w:r w:rsidR="00EC2691" w:rsidRPr="00C80D3A">
        <w:rPr>
          <w:rFonts w:ascii="Times New Roman" w:hAnsi="Times New Roman" w:cs="Times New Roman"/>
          <w:i/>
          <w:sz w:val="26"/>
          <w:szCs w:val="26"/>
        </w:rPr>
        <w:t>­</w:t>
      </w:r>
      <w:r w:rsidRPr="00C80D3A">
        <w:rPr>
          <w:rFonts w:ascii="Times New Roman" w:hAnsi="Times New Roman" w:cs="Times New Roman"/>
          <w:i/>
          <w:sz w:val="26"/>
          <w:szCs w:val="26"/>
        </w:rPr>
        <w:t>2017</w:t>
      </w:r>
      <w:r w:rsidR="00EC2691" w:rsidRPr="00C80D3A">
        <w:rPr>
          <w:rFonts w:ascii="Times New Roman" w:hAnsi="Times New Roman" w:cs="Times New Roman"/>
          <w:i/>
          <w:sz w:val="26"/>
          <w:szCs w:val="26"/>
        </w:rPr>
        <w:t>­</w:t>
      </w:r>
      <w:r w:rsidRPr="00C80D3A">
        <w:rPr>
          <w:rFonts w:ascii="Times New Roman" w:hAnsi="Times New Roman" w:cs="Times New Roman"/>
          <w:i/>
          <w:sz w:val="26"/>
          <w:szCs w:val="26"/>
        </w:rPr>
        <w:t>2596907</w:t>
      </w:r>
    </w:p>
    <w:p w14:paraId="7D35B31B" w14:textId="77777777" w:rsidR="00506216" w:rsidRPr="00C80D3A" w:rsidRDefault="00506216" w:rsidP="00EC2691">
      <w:pPr>
        <w:keepNext/>
        <w:spacing w:after="0" w:line="240" w:lineRule="auto"/>
        <w:contextualSpacing/>
        <w:rPr>
          <w:rFonts w:ascii="Times New Roman" w:hAnsi="Times New Roman" w:cs="Times New Roman"/>
          <w:color w:val="000000"/>
          <w:sz w:val="26"/>
          <w:szCs w:val="26"/>
        </w:rPr>
      </w:pPr>
    </w:p>
    <w:p w14:paraId="10250EF8" w14:textId="77777777" w:rsidR="00506216" w:rsidRPr="00C80D3A" w:rsidRDefault="00506216" w:rsidP="00EC2691">
      <w:pPr>
        <w:keepNext/>
        <w:spacing w:after="0" w:line="360" w:lineRule="auto"/>
        <w:contextualSpacing/>
        <w:rPr>
          <w:rFonts w:ascii="Times New Roman" w:hAnsi="Times New Roman" w:cs="Times New Roman"/>
          <w:b/>
          <w:bCs/>
          <w:color w:val="000000"/>
          <w:sz w:val="26"/>
          <w:szCs w:val="26"/>
        </w:rPr>
      </w:pPr>
      <w:r w:rsidRPr="00C80D3A">
        <w:rPr>
          <w:rFonts w:ascii="Times New Roman" w:hAnsi="Times New Roman" w:cs="Times New Roman"/>
          <w:b/>
          <w:bCs/>
          <w:color w:val="000000"/>
          <w:sz w:val="26"/>
          <w:szCs w:val="26"/>
        </w:rPr>
        <w:t>Comments from Parties</w:t>
      </w:r>
    </w:p>
    <w:p w14:paraId="5D5F3B01" w14:textId="44F1CDA0" w:rsidR="00506216" w:rsidRPr="00C80D3A" w:rsidRDefault="00506216" w:rsidP="00315DBC">
      <w:pPr>
        <w:spacing w:after="0" w:line="360" w:lineRule="auto"/>
        <w:ind w:firstLine="72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OCA contends relying on only annual income to determine program eligibility is inconsistent with LIHEAP policy.  OCA</w:t>
      </w:r>
      <w:r w:rsidR="001529C6">
        <w:rPr>
          <w:rFonts w:ascii="Times New Roman" w:hAnsi="Times New Roman" w:cs="Times New Roman"/>
          <w:color w:val="000000"/>
          <w:sz w:val="26"/>
          <w:szCs w:val="26"/>
        </w:rPr>
        <w:t>’</w:t>
      </w:r>
      <w:r w:rsidRPr="00C80D3A">
        <w:rPr>
          <w:rFonts w:ascii="Times New Roman" w:hAnsi="Times New Roman" w:cs="Times New Roman"/>
          <w:color w:val="000000"/>
          <w:sz w:val="26"/>
          <w:szCs w:val="26"/>
        </w:rPr>
        <w:t>s understanding is that LIHEAP allows households to use an annualized income (</w:t>
      </w:r>
      <w:r w:rsidR="00D71623" w:rsidRPr="00C80D3A">
        <w:rPr>
          <w:rFonts w:ascii="Times New Roman" w:hAnsi="Times New Roman" w:cs="Times New Roman"/>
          <w:i/>
          <w:color w:val="000000"/>
          <w:sz w:val="26"/>
          <w:szCs w:val="26"/>
        </w:rPr>
        <w:t>i.e.</w:t>
      </w:r>
      <w:r w:rsidR="0025196A" w:rsidRPr="00C80D3A">
        <w:rPr>
          <w:rFonts w:ascii="Times New Roman" w:hAnsi="Times New Roman" w:cs="Times New Roman"/>
          <w:color w:val="000000"/>
          <w:sz w:val="26"/>
          <w:szCs w:val="26"/>
        </w:rPr>
        <w:t xml:space="preserve">, </w:t>
      </w:r>
      <w:r w:rsidRPr="00C80D3A">
        <w:rPr>
          <w:rFonts w:ascii="Times New Roman" w:hAnsi="Times New Roman" w:cs="Times New Roman"/>
          <w:color w:val="000000"/>
          <w:sz w:val="26"/>
          <w:szCs w:val="26"/>
        </w:rPr>
        <w:t>30-, 60-, or 90-day income) or an annual income, whichever provides the greater benefit.  OCA urges that the CAP income eligibility determination be reconciled with the LIHEAP income eligibility determination to the extent feasible.  OCA Reply Comments at 5</w:t>
      </w:r>
      <w:r w:rsidR="006A1381" w:rsidRPr="00C80D3A">
        <w:rPr>
          <w:rFonts w:ascii="Times New Roman" w:hAnsi="Times New Roman" w:cs="Times New Roman"/>
          <w:sz w:val="26"/>
          <w:szCs w:val="26"/>
        </w:rPr>
        <w:t>–</w:t>
      </w:r>
      <w:r w:rsidRPr="00C80D3A">
        <w:rPr>
          <w:rFonts w:ascii="Times New Roman" w:hAnsi="Times New Roman" w:cs="Times New Roman"/>
          <w:color w:val="000000"/>
          <w:sz w:val="26"/>
          <w:szCs w:val="26"/>
        </w:rPr>
        <w:t>6.</w:t>
      </w:r>
    </w:p>
    <w:p w14:paraId="2967719A" w14:textId="77777777" w:rsidR="00506216" w:rsidRPr="00C80D3A" w:rsidRDefault="00506216" w:rsidP="00315DBC">
      <w:pPr>
        <w:spacing w:after="0" w:line="360" w:lineRule="auto"/>
        <w:contextualSpacing/>
        <w:rPr>
          <w:rFonts w:ascii="Times New Roman" w:hAnsi="Times New Roman" w:cs="Times New Roman"/>
          <w:color w:val="000000"/>
          <w:sz w:val="26"/>
          <w:szCs w:val="26"/>
        </w:rPr>
      </w:pPr>
    </w:p>
    <w:p w14:paraId="007DEB6E" w14:textId="77777777" w:rsidR="00506216" w:rsidRPr="00C80D3A" w:rsidRDefault="00506216" w:rsidP="00315DBC">
      <w:pPr>
        <w:spacing w:after="0" w:line="360" w:lineRule="auto"/>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ab/>
        <w:t>Duquesne Light recommends use of annualized or annual income, whichever is more beneficial to the customer.  Duquesne Light Reply Comments at 18.</w:t>
      </w:r>
    </w:p>
    <w:p w14:paraId="79BD7D33" w14:textId="77777777" w:rsidR="00506216" w:rsidRPr="00C80D3A" w:rsidRDefault="00506216" w:rsidP="00315DBC">
      <w:pPr>
        <w:spacing w:after="0" w:line="360" w:lineRule="auto"/>
        <w:contextualSpacing/>
        <w:rPr>
          <w:rFonts w:ascii="Times New Roman" w:hAnsi="Times New Roman" w:cs="Times New Roman"/>
          <w:color w:val="000000"/>
          <w:sz w:val="26"/>
          <w:szCs w:val="26"/>
        </w:rPr>
      </w:pPr>
    </w:p>
    <w:p w14:paraId="75790E1A" w14:textId="59B60CB7" w:rsidR="00506216" w:rsidRPr="00C80D3A" w:rsidRDefault="00506216" w:rsidP="00886E0D">
      <w:pPr>
        <w:spacing w:after="0" w:line="360" w:lineRule="auto"/>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ab/>
        <w:t xml:space="preserve">EAP agrees with OCA that annualized income is equivalent to annual income for CAPs but maintains </w:t>
      </w:r>
      <w:r w:rsidR="00B87F34" w:rsidRPr="00C80D3A">
        <w:rPr>
          <w:rFonts w:ascii="Times New Roman" w:hAnsi="Times New Roman" w:cs="Times New Roman"/>
          <w:color w:val="000000"/>
          <w:sz w:val="26"/>
          <w:szCs w:val="26"/>
        </w:rPr>
        <w:t xml:space="preserve">that </w:t>
      </w:r>
      <w:r w:rsidRPr="00C80D3A">
        <w:rPr>
          <w:rFonts w:ascii="Times New Roman" w:hAnsi="Times New Roman" w:cs="Times New Roman"/>
          <w:color w:val="000000"/>
          <w:sz w:val="26"/>
          <w:szCs w:val="26"/>
        </w:rPr>
        <w:t>utilities should be permitted to exercise flexibility.  EAP Reply Comments at 7.</w:t>
      </w:r>
    </w:p>
    <w:p w14:paraId="401EFB80" w14:textId="77777777" w:rsidR="00506216" w:rsidRPr="00C80D3A" w:rsidRDefault="00506216">
      <w:pPr>
        <w:spacing w:after="0" w:line="360" w:lineRule="auto"/>
        <w:contextualSpacing/>
        <w:rPr>
          <w:rFonts w:ascii="Times New Roman" w:hAnsi="Times New Roman" w:cs="Times New Roman"/>
          <w:color w:val="000000"/>
          <w:sz w:val="26"/>
          <w:szCs w:val="26"/>
        </w:rPr>
      </w:pPr>
    </w:p>
    <w:p w14:paraId="7FA3214E" w14:textId="77777777" w:rsidR="00506216" w:rsidRPr="00C80D3A" w:rsidRDefault="00506216" w:rsidP="00EC2691">
      <w:pPr>
        <w:keepNext/>
        <w:spacing w:after="0" w:line="360" w:lineRule="auto"/>
        <w:contextualSpacing/>
        <w:rPr>
          <w:rFonts w:ascii="Times New Roman" w:hAnsi="Times New Roman" w:cs="Times New Roman"/>
          <w:b/>
          <w:bCs/>
          <w:iCs/>
          <w:color w:val="000000"/>
          <w:sz w:val="26"/>
          <w:szCs w:val="26"/>
        </w:rPr>
      </w:pPr>
      <w:r w:rsidRPr="00C80D3A">
        <w:rPr>
          <w:rFonts w:ascii="Times New Roman" w:hAnsi="Times New Roman" w:cs="Times New Roman"/>
          <w:b/>
          <w:bCs/>
          <w:iCs/>
          <w:color w:val="000000"/>
          <w:sz w:val="26"/>
          <w:szCs w:val="26"/>
        </w:rPr>
        <w:t>Discussion</w:t>
      </w:r>
    </w:p>
    <w:p w14:paraId="64E19F53" w14:textId="06D57FE4" w:rsidR="00506216" w:rsidRPr="00C80D3A" w:rsidRDefault="00506216">
      <w:pPr>
        <w:spacing w:after="0" w:line="360" w:lineRule="auto"/>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ab/>
        <w:t>It is our understanding that most – if not all – EDCs and NGDCs accept documentation of at least the last 30 days or 12 months of income to determine the household</w:t>
      </w:r>
      <w:r w:rsidR="001529C6">
        <w:rPr>
          <w:rFonts w:ascii="Times New Roman" w:hAnsi="Times New Roman" w:cs="Times New Roman"/>
          <w:color w:val="000000"/>
          <w:sz w:val="26"/>
          <w:szCs w:val="26"/>
        </w:rPr>
        <w:t>’</w:t>
      </w:r>
      <w:r w:rsidRPr="00C80D3A">
        <w:rPr>
          <w:rFonts w:ascii="Times New Roman" w:hAnsi="Times New Roman" w:cs="Times New Roman"/>
          <w:color w:val="000000"/>
          <w:sz w:val="26"/>
          <w:szCs w:val="26"/>
        </w:rPr>
        <w:t xml:space="preserve">s annualized income.  However, the income documentation timeframes accepted by utilities for CAP eligibility or recertification are often not identified in their USECPs or </w:t>
      </w:r>
      <w:r w:rsidR="00CC71B1" w:rsidRPr="00C80D3A">
        <w:rPr>
          <w:rFonts w:ascii="Times New Roman" w:hAnsi="Times New Roman" w:cs="Times New Roman"/>
          <w:color w:val="000000"/>
          <w:sz w:val="26"/>
          <w:szCs w:val="26"/>
        </w:rPr>
        <w:t xml:space="preserve">in their </w:t>
      </w:r>
      <w:r w:rsidRPr="00C80D3A">
        <w:rPr>
          <w:rFonts w:ascii="Times New Roman" w:hAnsi="Times New Roman" w:cs="Times New Roman"/>
          <w:color w:val="000000"/>
          <w:sz w:val="26"/>
          <w:szCs w:val="26"/>
        </w:rPr>
        <w:t xml:space="preserve">CAP applications.  Table </w:t>
      </w:r>
      <w:r w:rsidR="00BE6EB3">
        <w:rPr>
          <w:rFonts w:ascii="Times New Roman" w:hAnsi="Times New Roman" w:cs="Times New Roman"/>
          <w:color w:val="000000"/>
          <w:sz w:val="26"/>
          <w:szCs w:val="26"/>
        </w:rPr>
        <w:t>4 below</w:t>
      </w:r>
      <w:r w:rsidRPr="00C80D3A">
        <w:rPr>
          <w:rFonts w:ascii="Times New Roman" w:hAnsi="Times New Roman" w:cs="Times New Roman"/>
          <w:color w:val="000000"/>
          <w:sz w:val="26"/>
          <w:szCs w:val="26"/>
        </w:rPr>
        <w:t xml:space="preserve"> lists the known income time periods accepted for determining CAP eligibility, by utility, and where this information is identified:  </w:t>
      </w:r>
    </w:p>
    <w:p w14:paraId="2181273E" w14:textId="5094068F" w:rsidR="00506216" w:rsidRPr="00C80D3A" w:rsidRDefault="00506216" w:rsidP="00315DBC">
      <w:pPr>
        <w:keepNext/>
        <w:spacing w:after="0"/>
        <w:contextualSpacing/>
        <w:jc w:val="center"/>
        <w:rPr>
          <w:rFonts w:ascii="Times New Roman" w:hAnsi="Times New Roman" w:cs="Times New Roman"/>
          <w:b/>
          <w:color w:val="000000"/>
          <w:sz w:val="26"/>
          <w:szCs w:val="26"/>
        </w:rPr>
      </w:pPr>
      <w:r w:rsidRPr="00C80D3A">
        <w:rPr>
          <w:rFonts w:ascii="Times New Roman" w:hAnsi="Times New Roman" w:cs="Times New Roman"/>
          <w:b/>
          <w:color w:val="000000"/>
          <w:sz w:val="26"/>
          <w:szCs w:val="26"/>
        </w:rPr>
        <w:t xml:space="preserve">Table </w:t>
      </w:r>
      <w:r w:rsidR="00BE6EB3">
        <w:rPr>
          <w:rFonts w:ascii="Times New Roman" w:hAnsi="Times New Roman" w:cs="Times New Roman"/>
          <w:b/>
          <w:color w:val="000000"/>
          <w:sz w:val="26"/>
          <w:szCs w:val="26"/>
        </w:rPr>
        <w:t>4</w:t>
      </w:r>
    </w:p>
    <w:p w14:paraId="72CB3E0D" w14:textId="77777777" w:rsidR="00506216" w:rsidRPr="00C80D3A" w:rsidRDefault="00506216" w:rsidP="00315DBC">
      <w:pPr>
        <w:keepNext/>
        <w:spacing w:after="0"/>
        <w:contextualSpacing/>
        <w:jc w:val="center"/>
        <w:rPr>
          <w:rFonts w:ascii="Times New Roman" w:hAnsi="Times New Roman" w:cs="Times New Roman"/>
          <w:color w:val="000000"/>
          <w:sz w:val="26"/>
          <w:szCs w:val="26"/>
        </w:rPr>
      </w:pPr>
      <w:r w:rsidRPr="00C80D3A">
        <w:rPr>
          <w:rFonts w:ascii="Times New Roman" w:hAnsi="Times New Roman" w:cs="Times New Roman"/>
          <w:b/>
          <w:color w:val="000000"/>
          <w:sz w:val="26"/>
          <w:szCs w:val="26"/>
        </w:rPr>
        <w:t>Income Time Period Used to Determine CAP Eligibility</w:t>
      </w:r>
    </w:p>
    <w:tbl>
      <w:tblPr>
        <w:tblStyle w:val="TableGrid"/>
        <w:tblW w:w="0" w:type="auto"/>
        <w:tblLook w:val="04A0" w:firstRow="1" w:lastRow="0" w:firstColumn="1" w:lastColumn="0" w:noHBand="0" w:noVBand="1"/>
      </w:tblPr>
      <w:tblGrid>
        <w:gridCol w:w="2605"/>
        <w:gridCol w:w="4140"/>
        <w:gridCol w:w="2605"/>
      </w:tblGrid>
      <w:tr w:rsidR="00506216" w:rsidRPr="00C80D3A" w14:paraId="6A857825" w14:textId="77777777" w:rsidTr="004B717F">
        <w:tc>
          <w:tcPr>
            <w:tcW w:w="2605" w:type="dxa"/>
            <w:tcBorders>
              <w:bottom w:val="single" w:sz="12" w:space="0" w:color="auto"/>
            </w:tcBorders>
            <w:vAlign w:val="center"/>
          </w:tcPr>
          <w:p w14:paraId="7A187254" w14:textId="4CA8C93A" w:rsidR="00506216" w:rsidRPr="00C80D3A" w:rsidRDefault="001B79BD" w:rsidP="00F04703">
            <w:pPr>
              <w:keepNext/>
              <w:contextualSpacing/>
              <w:jc w:val="center"/>
              <w:rPr>
                <w:b/>
                <w:color w:val="000000"/>
                <w:sz w:val="26"/>
                <w:szCs w:val="26"/>
              </w:rPr>
            </w:pPr>
            <w:r>
              <w:rPr>
                <w:b/>
                <w:color w:val="000000"/>
                <w:sz w:val="26"/>
                <w:szCs w:val="26"/>
              </w:rPr>
              <w:t>Utility</w:t>
            </w:r>
          </w:p>
        </w:tc>
        <w:tc>
          <w:tcPr>
            <w:tcW w:w="4140" w:type="dxa"/>
            <w:tcBorders>
              <w:bottom w:val="single" w:sz="12" w:space="0" w:color="auto"/>
            </w:tcBorders>
          </w:tcPr>
          <w:p w14:paraId="7D6756B9" w14:textId="77777777" w:rsidR="00B40CD7" w:rsidRDefault="00506216" w:rsidP="00FE3EBC">
            <w:pPr>
              <w:keepNext/>
              <w:contextualSpacing/>
              <w:jc w:val="center"/>
              <w:rPr>
                <w:b/>
                <w:color w:val="000000"/>
                <w:sz w:val="26"/>
                <w:szCs w:val="26"/>
              </w:rPr>
            </w:pPr>
            <w:r w:rsidRPr="00C80D3A">
              <w:rPr>
                <w:b/>
                <w:color w:val="000000"/>
                <w:sz w:val="26"/>
                <w:szCs w:val="26"/>
              </w:rPr>
              <w:t xml:space="preserve">Accepted income </w:t>
            </w:r>
          </w:p>
          <w:p w14:paraId="16E6F93A" w14:textId="5794AABF" w:rsidR="00506216" w:rsidRPr="00C80D3A" w:rsidRDefault="00506216" w:rsidP="00FE3EBC">
            <w:pPr>
              <w:keepNext/>
              <w:contextualSpacing/>
              <w:jc w:val="center"/>
              <w:rPr>
                <w:b/>
                <w:color w:val="000000"/>
                <w:sz w:val="26"/>
                <w:szCs w:val="26"/>
              </w:rPr>
            </w:pPr>
            <w:r w:rsidRPr="00C80D3A">
              <w:rPr>
                <w:b/>
                <w:color w:val="000000"/>
                <w:sz w:val="26"/>
                <w:szCs w:val="26"/>
              </w:rPr>
              <w:t>time-period</w:t>
            </w:r>
          </w:p>
        </w:tc>
        <w:tc>
          <w:tcPr>
            <w:tcW w:w="2605" w:type="dxa"/>
            <w:tcBorders>
              <w:bottom w:val="single" w:sz="12" w:space="0" w:color="auto"/>
            </w:tcBorders>
          </w:tcPr>
          <w:p w14:paraId="35F3F186" w14:textId="77777777" w:rsidR="00506216" w:rsidRPr="00C80D3A" w:rsidRDefault="00506216" w:rsidP="00FE3EBC">
            <w:pPr>
              <w:keepNext/>
              <w:contextualSpacing/>
              <w:jc w:val="center"/>
              <w:rPr>
                <w:b/>
                <w:color w:val="000000"/>
                <w:sz w:val="26"/>
                <w:szCs w:val="26"/>
              </w:rPr>
            </w:pPr>
            <w:r w:rsidRPr="00C80D3A">
              <w:rPr>
                <w:b/>
                <w:color w:val="000000"/>
                <w:sz w:val="26"/>
                <w:szCs w:val="26"/>
              </w:rPr>
              <w:t>Identified in USECP or CAP Application?</w:t>
            </w:r>
          </w:p>
        </w:tc>
      </w:tr>
      <w:tr w:rsidR="00506216" w:rsidRPr="00C80D3A" w14:paraId="4CDACDAD" w14:textId="77777777" w:rsidTr="004B717F">
        <w:tc>
          <w:tcPr>
            <w:tcW w:w="2605" w:type="dxa"/>
            <w:tcBorders>
              <w:top w:val="single" w:sz="12" w:space="0" w:color="auto"/>
            </w:tcBorders>
            <w:vAlign w:val="center"/>
          </w:tcPr>
          <w:p w14:paraId="1D5F14CF" w14:textId="52D2C40A" w:rsidR="00506216" w:rsidRPr="00C80D3A" w:rsidRDefault="00506216" w:rsidP="00315DBC">
            <w:pPr>
              <w:keepNext/>
              <w:contextualSpacing/>
              <w:rPr>
                <w:b/>
                <w:bCs/>
                <w:color w:val="000000"/>
                <w:sz w:val="26"/>
                <w:szCs w:val="26"/>
              </w:rPr>
            </w:pPr>
            <w:r w:rsidRPr="00C80D3A">
              <w:rPr>
                <w:b/>
                <w:bCs/>
                <w:color w:val="000000"/>
                <w:sz w:val="26"/>
                <w:szCs w:val="26"/>
              </w:rPr>
              <w:t>Duquesne</w:t>
            </w:r>
          </w:p>
        </w:tc>
        <w:tc>
          <w:tcPr>
            <w:tcW w:w="4140" w:type="dxa"/>
            <w:tcBorders>
              <w:top w:val="single" w:sz="12" w:space="0" w:color="auto"/>
            </w:tcBorders>
            <w:vAlign w:val="center"/>
          </w:tcPr>
          <w:p w14:paraId="63AE1C38" w14:textId="77777777" w:rsidR="00506216" w:rsidRPr="00C80D3A" w:rsidRDefault="00506216" w:rsidP="00315DBC">
            <w:pPr>
              <w:keepNext/>
              <w:contextualSpacing/>
              <w:jc w:val="center"/>
              <w:rPr>
                <w:color w:val="000000"/>
                <w:sz w:val="26"/>
                <w:szCs w:val="26"/>
              </w:rPr>
            </w:pPr>
            <w:r w:rsidRPr="00C80D3A">
              <w:rPr>
                <w:color w:val="000000"/>
                <w:sz w:val="26"/>
                <w:szCs w:val="26"/>
              </w:rPr>
              <w:t>Time period not specified</w:t>
            </w:r>
          </w:p>
        </w:tc>
        <w:tc>
          <w:tcPr>
            <w:tcW w:w="2605" w:type="dxa"/>
            <w:tcBorders>
              <w:top w:val="single" w:sz="12" w:space="0" w:color="auto"/>
            </w:tcBorders>
            <w:vAlign w:val="center"/>
          </w:tcPr>
          <w:p w14:paraId="297D7413" w14:textId="77777777" w:rsidR="00506216" w:rsidRPr="00C80D3A" w:rsidRDefault="00506216" w:rsidP="00315DBC">
            <w:pPr>
              <w:keepNext/>
              <w:contextualSpacing/>
              <w:jc w:val="center"/>
              <w:rPr>
                <w:color w:val="000000"/>
                <w:sz w:val="26"/>
                <w:szCs w:val="26"/>
              </w:rPr>
            </w:pPr>
            <w:r w:rsidRPr="00C80D3A">
              <w:rPr>
                <w:color w:val="000000"/>
                <w:sz w:val="26"/>
                <w:szCs w:val="26"/>
              </w:rPr>
              <w:t>N/A</w:t>
            </w:r>
          </w:p>
        </w:tc>
      </w:tr>
      <w:tr w:rsidR="00506216" w:rsidRPr="00C80D3A" w14:paraId="501E51AB" w14:textId="77777777" w:rsidTr="004B717F">
        <w:tc>
          <w:tcPr>
            <w:tcW w:w="2605" w:type="dxa"/>
            <w:vAlign w:val="center"/>
          </w:tcPr>
          <w:p w14:paraId="01113859" w14:textId="38681EEA" w:rsidR="00506216" w:rsidRPr="00C80D3A" w:rsidRDefault="00506216" w:rsidP="00315DBC">
            <w:pPr>
              <w:keepNext/>
              <w:contextualSpacing/>
              <w:rPr>
                <w:b/>
                <w:bCs/>
                <w:color w:val="000000"/>
                <w:sz w:val="26"/>
                <w:szCs w:val="26"/>
              </w:rPr>
            </w:pPr>
            <w:r w:rsidRPr="00C80D3A">
              <w:rPr>
                <w:b/>
                <w:bCs/>
                <w:color w:val="000000"/>
                <w:sz w:val="26"/>
                <w:szCs w:val="26"/>
              </w:rPr>
              <w:t xml:space="preserve">FirstEnergy </w:t>
            </w:r>
          </w:p>
        </w:tc>
        <w:tc>
          <w:tcPr>
            <w:tcW w:w="4140" w:type="dxa"/>
            <w:vAlign w:val="center"/>
          </w:tcPr>
          <w:p w14:paraId="0CAB6149" w14:textId="77777777" w:rsidR="00506216" w:rsidRPr="00C80D3A" w:rsidRDefault="00506216" w:rsidP="00315DBC">
            <w:pPr>
              <w:keepNext/>
              <w:contextualSpacing/>
              <w:jc w:val="center"/>
              <w:rPr>
                <w:color w:val="000000"/>
                <w:sz w:val="26"/>
                <w:szCs w:val="26"/>
              </w:rPr>
            </w:pPr>
            <w:r w:rsidRPr="00C80D3A">
              <w:rPr>
                <w:color w:val="000000"/>
                <w:sz w:val="26"/>
                <w:szCs w:val="26"/>
              </w:rPr>
              <w:t>Time period not specified</w:t>
            </w:r>
          </w:p>
        </w:tc>
        <w:tc>
          <w:tcPr>
            <w:tcW w:w="2605" w:type="dxa"/>
            <w:vAlign w:val="center"/>
          </w:tcPr>
          <w:p w14:paraId="25BFF4C8" w14:textId="77777777" w:rsidR="00506216" w:rsidRPr="00C80D3A" w:rsidRDefault="00506216" w:rsidP="00315DBC">
            <w:pPr>
              <w:keepNext/>
              <w:contextualSpacing/>
              <w:jc w:val="center"/>
              <w:rPr>
                <w:color w:val="000000"/>
                <w:sz w:val="26"/>
                <w:szCs w:val="26"/>
              </w:rPr>
            </w:pPr>
            <w:r w:rsidRPr="00C80D3A">
              <w:rPr>
                <w:color w:val="000000"/>
                <w:sz w:val="26"/>
                <w:szCs w:val="26"/>
              </w:rPr>
              <w:t>N/A</w:t>
            </w:r>
          </w:p>
        </w:tc>
      </w:tr>
      <w:tr w:rsidR="00506216" w:rsidRPr="00C80D3A" w14:paraId="3F95DC77" w14:textId="77777777" w:rsidTr="004B717F">
        <w:tc>
          <w:tcPr>
            <w:tcW w:w="2605" w:type="dxa"/>
            <w:vAlign w:val="center"/>
          </w:tcPr>
          <w:p w14:paraId="362FE760" w14:textId="77777777" w:rsidR="00506216" w:rsidRPr="00C80D3A" w:rsidRDefault="00506216" w:rsidP="00315DBC">
            <w:pPr>
              <w:keepNext/>
              <w:contextualSpacing/>
              <w:rPr>
                <w:b/>
                <w:bCs/>
                <w:color w:val="000000"/>
                <w:sz w:val="26"/>
                <w:szCs w:val="26"/>
              </w:rPr>
            </w:pPr>
            <w:r w:rsidRPr="00C80D3A">
              <w:rPr>
                <w:b/>
                <w:bCs/>
                <w:color w:val="000000"/>
                <w:sz w:val="26"/>
                <w:szCs w:val="26"/>
              </w:rPr>
              <w:t>PECO Electric/Gas</w:t>
            </w:r>
          </w:p>
        </w:tc>
        <w:tc>
          <w:tcPr>
            <w:tcW w:w="4140" w:type="dxa"/>
            <w:vAlign w:val="center"/>
          </w:tcPr>
          <w:p w14:paraId="66CC0C5D" w14:textId="77777777" w:rsidR="00506216" w:rsidRPr="00C80D3A" w:rsidRDefault="00506216" w:rsidP="00315DBC">
            <w:pPr>
              <w:keepNext/>
              <w:contextualSpacing/>
              <w:jc w:val="center"/>
              <w:rPr>
                <w:color w:val="000000"/>
                <w:sz w:val="26"/>
                <w:szCs w:val="26"/>
              </w:rPr>
            </w:pPr>
            <w:r w:rsidRPr="00C80D3A">
              <w:rPr>
                <w:color w:val="000000"/>
                <w:sz w:val="26"/>
                <w:szCs w:val="26"/>
              </w:rPr>
              <w:t>Last 30 days</w:t>
            </w:r>
          </w:p>
        </w:tc>
        <w:tc>
          <w:tcPr>
            <w:tcW w:w="2605" w:type="dxa"/>
            <w:vAlign w:val="center"/>
          </w:tcPr>
          <w:p w14:paraId="3D03385B" w14:textId="77777777" w:rsidR="00506216" w:rsidRPr="00C80D3A" w:rsidRDefault="00506216" w:rsidP="00315DBC">
            <w:pPr>
              <w:keepNext/>
              <w:contextualSpacing/>
              <w:jc w:val="center"/>
              <w:rPr>
                <w:color w:val="000000"/>
                <w:sz w:val="26"/>
                <w:szCs w:val="26"/>
              </w:rPr>
            </w:pPr>
            <w:r w:rsidRPr="00C80D3A">
              <w:rPr>
                <w:color w:val="000000"/>
                <w:sz w:val="26"/>
                <w:szCs w:val="26"/>
              </w:rPr>
              <w:t>CAP Application only</w:t>
            </w:r>
          </w:p>
        </w:tc>
      </w:tr>
      <w:tr w:rsidR="00506216" w:rsidRPr="00C80D3A" w14:paraId="0F8A607C" w14:textId="77777777" w:rsidTr="004B717F">
        <w:tc>
          <w:tcPr>
            <w:tcW w:w="2605" w:type="dxa"/>
            <w:vAlign w:val="center"/>
          </w:tcPr>
          <w:p w14:paraId="7337A029" w14:textId="77777777" w:rsidR="00506216" w:rsidRPr="00C80D3A" w:rsidRDefault="00506216" w:rsidP="00315DBC">
            <w:pPr>
              <w:keepNext/>
              <w:contextualSpacing/>
              <w:rPr>
                <w:b/>
                <w:bCs/>
                <w:color w:val="000000"/>
                <w:sz w:val="26"/>
                <w:szCs w:val="26"/>
              </w:rPr>
            </w:pPr>
            <w:r w:rsidRPr="00C80D3A">
              <w:rPr>
                <w:b/>
                <w:bCs/>
                <w:color w:val="000000"/>
                <w:sz w:val="26"/>
                <w:szCs w:val="26"/>
              </w:rPr>
              <w:t>PPL</w:t>
            </w:r>
          </w:p>
        </w:tc>
        <w:tc>
          <w:tcPr>
            <w:tcW w:w="4140" w:type="dxa"/>
            <w:vAlign w:val="center"/>
          </w:tcPr>
          <w:p w14:paraId="38084A6B" w14:textId="77777777" w:rsidR="00506216" w:rsidRPr="00C80D3A" w:rsidRDefault="00506216" w:rsidP="00315DBC">
            <w:pPr>
              <w:keepNext/>
              <w:contextualSpacing/>
              <w:jc w:val="center"/>
              <w:rPr>
                <w:color w:val="000000"/>
                <w:sz w:val="26"/>
                <w:szCs w:val="26"/>
              </w:rPr>
            </w:pPr>
            <w:r w:rsidRPr="00C80D3A">
              <w:rPr>
                <w:color w:val="000000"/>
                <w:sz w:val="26"/>
                <w:szCs w:val="26"/>
              </w:rPr>
              <w:t>Time period not specified</w:t>
            </w:r>
          </w:p>
        </w:tc>
        <w:tc>
          <w:tcPr>
            <w:tcW w:w="2605" w:type="dxa"/>
            <w:vAlign w:val="center"/>
          </w:tcPr>
          <w:p w14:paraId="311BB8B9" w14:textId="77777777" w:rsidR="00506216" w:rsidRPr="00C80D3A" w:rsidRDefault="00506216" w:rsidP="00315DBC">
            <w:pPr>
              <w:keepNext/>
              <w:contextualSpacing/>
              <w:jc w:val="center"/>
              <w:rPr>
                <w:color w:val="000000"/>
                <w:sz w:val="26"/>
                <w:szCs w:val="26"/>
              </w:rPr>
            </w:pPr>
            <w:r w:rsidRPr="00C80D3A">
              <w:rPr>
                <w:color w:val="000000"/>
                <w:sz w:val="26"/>
                <w:szCs w:val="26"/>
              </w:rPr>
              <w:t>N/A</w:t>
            </w:r>
          </w:p>
        </w:tc>
      </w:tr>
      <w:tr w:rsidR="00506216" w:rsidRPr="00C80D3A" w14:paraId="6250E877" w14:textId="77777777" w:rsidTr="004B717F">
        <w:tc>
          <w:tcPr>
            <w:tcW w:w="2605" w:type="dxa"/>
            <w:vAlign w:val="center"/>
          </w:tcPr>
          <w:p w14:paraId="4AA42F44" w14:textId="77777777" w:rsidR="00506216" w:rsidRPr="00C80D3A" w:rsidRDefault="00506216" w:rsidP="00315DBC">
            <w:pPr>
              <w:keepNext/>
              <w:contextualSpacing/>
              <w:rPr>
                <w:b/>
                <w:bCs/>
                <w:color w:val="000000"/>
                <w:sz w:val="26"/>
                <w:szCs w:val="26"/>
              </w:rPr>
            </w:pPr>
            <w:r w:rsidRPr="00C80D3A">
              <w:rPr>
                <w:b/>
                <w:bCs/>
                <w:color w:val="000000"/>
                <w:sz w:val="26"/>
                <w:szCs w:val="26"/>
              </w:rPr>
              <w:t>Columbia Gas</w:t>
            </w:r>
          </w:p>
        </w:tc>
        <w:tc>
          <w:tcPr>
            <w:tcW w:w="4140" w:type="dxa"/>
            <w:vAlign w:val="center"/>
          </w:tcPr>
          <w:p w14:paraId="17B622B7" w14:textId="03B25EFD" w:rsidR="00506216" w:rsidRPr="00C80D3A" w:rsidRDefault="00506216" w:rsidP="00315DBC">
            <w:pPr>
              <w:keepNext/>
              <w:contextualSpacing/>
              <w:jc w:val="center"/>
              <w:rPr>
                <w:color w:val="000000"/>
                <w:sz w:val="26"/>
                <w:szCs w:val="26"/>
              </w:rPr>
            </w:pPr>
            <w:r w:rsidRPr="00C80D3A">
              <w:rPr>
                <w:color w:val="000000"/>
                <w:sz w:val="26"/>
                <w:szCs w:val="26"/>
              </w:rPr>
              <w:t>Last 30 days, 90 days, or 12</w:t>
            </w:r>
            <w:r w:rsidR="00A26D16" w:rsidRPr="00C80D3A">
              <w:rPr>
                <w:color w:val="000000"/>
                <w:sz w:val="26"/>
                <w:szCs w:val="26"/>
              </w:rPr>
              <w:t> </w:t>
            </w:r>
            <w:r w:rsidRPr="00C80D3A">
              <w:rPr>
                <w:color w:val="000000"/>
                <w:sz w:val="26"/>
                <w:szCs w:val="26"/>
              </w:rPr>
              <w:t>months</w:t>
            </w:r>
          </w:p>
        </w:tc>
        <w:tc>
          <w:tcPr>
            <w:tcW w:w="2605" w:type="dxa"/>
            <w:vAlign w:val="center"/>
          </w:tcPr>
          <w:p w14:paraId="415E863F" w14:textId="77777777" w:rsidR="00506216" w:rsidRPr="00C80D3A" w:rsidRDefault="00506216" w:rsidP="00315DBC">
            <w:pPr>
              <w:keepNext/>
              <w:contextualSpacing/>
              <w:jc w:val="center"/>
              <w:rPr>
                <w:color w:val="000000"/>
                <w:sz w:val="26"/>
                <w:szCs w:val="26"/>
              </w:rPr>
            </w:pPr>
            <w:r w:rsidRPr="00C80D3A">
              <w:rPr>
                <w:color w:val="000000"/>
                <w:sz w:val="26"/>
                <w:szCs w:val="26"/>
              </w:rPr>
              <w:t>CAP Application only</w:t>
            </w:r>
          </w:p>
        </w:tc>
      </w:tr>
      <w:tr w:rsidR="00506216" w:rsidRPr="00C80D3A" w14:paraId="3E6BA57A" w14:textId="77777777" w:rsidTr="004B717F">
        <w:tc>
          <w:tcPr>
            <w:tcW w:w="2605" w:type="dxa"/>
            <w:vAlign w:val="center"/>
          </w:tcPr>
          <w:p w14:paraId="54F3054E" w14:textId="77777777" w:rsidR="00506216" w:rsidRPr="00C80D3A" w:rsidRDefault="00506216" w:rsidP="00315DBC">
            <w:pPr>
              <w:keepNext/>
              <w:contextualSpacing/>
              <w:rPr>
                <w:b/>
                <w:bCs/>
                <w:color w:val="000000"/>
                <w:sz w:val="26"/>
                <w:szCs w:val="26"/>
              </w:rPr>
            </w:pPr>
            <w:r w:rsidRPr="00C80D3A">
              <w:rPr>
                <w:b/>
                <w:bCs/>
                <w:color w:val="000000"/>
                <w:sz w:val="26"/>
                <w:szCs w:val="26"/>
              </w:rPr>
              <w:t>NFG</w:t>
            </w:r>
          </w:p>
        </w:tc>
        <w:tc>
          <w:tcPr>
            <w:tcW w:w="4140" w:type="dxa"/>
            <w:vAlign w:val="center"/>
          </w:tcPr>
          <w:p w14:paraId="0A1F66A5" w14:textId="77777777" w:rsidR="00506216" w:rsidRPr="00C80D3A" w:rsidRDefault="00506216" w:rsidP="00315DBC">
            <w:pPr>
              <w:keepNext/>
              <w:contextualSpacing/>
              <w:jc w:val="center"/>
              <w:rPr>
                <w:color w:val="000000"/>
                <w:sz w:val="26"/>
                <w:szCs w:val="26"/>
              </w:rPr>
            </w:pPr>
            <w:r w:rsidRPr="00C80D3A">
              <w:rPr>
                <w:color w:val="000000"/>
                <w:sz w:val="26"/>
                <w:szCs w:val="26"/>
              </w:rPr>
              <w:t>Time period not specified</w:t>
            </w:r>
          </w:p>
        </w:tc>
        <w:tc>
          <w:tcPr>
            <w:tcW w:w="2605" w:type="dxa"/>
            <w:vAlign w:val="center"/>
          </w:tcPr>
          <w:p w14:paraId="71B16B3B" w14:textId="77777777" w:rsidR="00506216" w:rsidRPr="00C80D3A" w:rsidRDefault="00506216" w:rsidP="00315DBC">
            <w:pPr>
              <w:keepNext/>
              <w:contextualSpacing/>
              <w:jc w:val="center"/>
              <w:rPr>
                <w:color w:val="000000"/>
                <w:sz w:val="26"/>
                <w:szCs w:val="26"/>
              </w:rPr>
            </w:pPr>
            <w:r w:rsidRPr="00C80D3A">
              <w:rPr>
                <w:color w:val="000000"/>
                <w:sz w:val="26"/>
                <w:szCs w:val="26"/>
              </w:rPr>
              <w:t>N/A</w:t>
            </w:r>
          </w:p>
        </w:tc>
      </w:tr>
      <w:tr w:rsidR="00506216" w:rsidRPr="00C80D3A" w14:paraId="7357F7AD" w14:textId="77777777" w:rsidTr="004B717F">
        <w:tc>
          <w:tcPr>
            <w:tcW w:w="2605" w:type="dxa"/>
            <w:vAlign w:val="center"/>
          </w:tcPr>
          <w:p w14:paraId="42B81AA7" w14:textId="4DFCBF98" w:rsidR="00506216" w:rsidRPr="00C80D3A" w:rsidRDefault="00506216" w:rsidP="00315DBC">
            <w:pPr>
              <w:keepNext/>
              <w:contextualSpacing/>
              <w:rPr>
                <w:b/>
                <w:bCs/>
                <w:color w:val="000000"/>
                <w:sz w:val="26"/>
                <w:szCs w:val="26"/>
              </w:rPr>
            </w:pPr>
            <w:r w:rsidRPr="00C80D3A">
              <w:rPr>
                <w:b/>
                <w:bCs/>
                <w:color w:val="000000"/>
                <w:sz w:val="26"/>
                <w:szCs w:val="26"/>
              </w:rPr>
              <w:t xml:space="preserve">Peoples </w:t>
            </w:r>
          </w:p>
        </w:tc>
        <w:tc>
          <w:tcPr>
            <w:tcW w:w="4140" w:type="dxa"/>
            <w:vAlign w:val="center"/>
          </w:tcPr>
          <w:p w14:paraId="2BE350A3" w14:textId="77777777" w:rsidR="00506216" w:rsidRPr="00C80D3A" w:rsidRDefault="00506216" w:rsidP="00315DBC">
            <w:pPr>
              <w:keepNext/>
              <w:contextualSpacing/>
              <w:jc w:val="center"/>
              <w:rPr>
                <w:color w:val="000000"/>
                <w:sz w:val="26"/>
                <w:szCs w:val="26"/>
              </w:rPr>
            </w:pPr>
            <w:r w:rsidRPr="00C80D3A">
              <w:rPr>
                <w:color w:val="000000"/>
                <w:sz w:val="26"/>
                <w:szCs w:val="26"/>
              </w:rPr>
              <w:t>Time period not specified</w:t>
            </w:r>
          </w:p>
        </w:tc>
        <w:tc>
          <w:tcPr>
            <w:tcW w:w="2605" w:type="dxa"/>
            <w:vAlign w:val="center"/>
          </w:tcPr>
          <w:p w14:paraId="4A993A22" w14:textId="77777777" w:rsidR="00506216" w:rsidRPr="00C80D3A" w:rsidRDefault="00506216" w:rsidP="00315DBC">
            <w:pPr>
              <w:keepNext/>
              <w:contextualSpacing/>
              <w:jc w:val="center"/>
              <w:rPr>
                <w:color w:val="000000"/>
                <w:sz w:val="26"/>
                <w:szCs w:val="26"/>
              </w:rPr>
            </w:pPr>
            <w:r w:rsidRPr="00C80D3A">
              <w:rPr>
                <w:color w:val="000000"/>
                <w:sz w:val="26"/>
                <w:szCs w:val="26"/>
              </w:rPr>
              <w:t>N/A</w:t>
            </w:r>
          </w:p>
        </w:tc>
      </w:tr>
      <w:tr w:rsidR="00506216" w:rsidRPr="00C80D3A" w14:paraId="06D95CF9" w14:textId="77777777" w:rsidTr="004B717F">
        <w:tc>
          <w:tcPr>
            <w:tcW w:w="2605" w:type="dxa"/>
            <w:vAlign w:val="bottom"/>
          </w:tcPr>
          <w:p w14:paraId="10C59313" w14:textId="77777777" w:rsidR="00506216" w:rsidRPr="00C80D3A" w:rsidRDefault="00506216" w:rsidP="00315DBC">
            <w:pPr>
              <w:keepNext/>
              <w:contextualSpacing/>
              <w:rPr>
                <w:b/>
                <w:bCs/>
                <w:color w:val="000000"/>
                <w:sz w:val="26"/>
                <w:szCs w:val="26"/>
              </w:rPr>
            </w:pPr>
            <w:r w:rsidRPr="00C80D3A">
              <w:rPr>
                <w:b/>
                <w:bCs/>
                <w:color w:val="000000"/>
                <w:sz w:val="26"/>
                <w:szCs w:val="26"/>
              </w:rPr>
              <w:t>PGW</w:t>
            </w:r>
          </w:p>
        </w:tc>
        <w:tc>
          <w:tcPr>
            <w:tcW w:w="4140" w:type="dxa"/>
            <w:vAlign w:val="center"/>
          </w:tcPr>
          <w:p w14:paraId="06A7F0AF" w14:textId="77777777" w:rsidR="00506216" w:rsidRPr="00C80D3A" w:rsidRDefault="00506216" w:rsidP="00315DBC">
            <w:pPr>
              <w:keepNext/>
              <w:contextualSpacing/>
              <w:jc w:val="center"/>
              <w:rPr>
                <w:color w:val="000000"/>
                <w:sz w:val="26"/>
                <w:szCs w:val="26"/>
              </w:rPr>
            </w:pPr>
            <w:r w:rsidRPr="00C80D3A">
              <w:rPr>
                <w:color w:val="000000"/>
                <w:sz w:val="26"/>
                <w:szCs w:val="26"/>
              </w:rPr>
              <w:t>Last 30 days or 12 months</w:t>
            </w:r>
          </w:p>
        </w:tc>
        <w:tc>
          <w:tcPr>
            <w:tcW w:w="2605" w:type="dxa"/>
            <w:vAlign w:val="center"/>
          </w:tcPr>
          <w:p w14:paraId="73C92690" w14:textId="77777777" w:rsidR="00506216" w:rsidRPr="00C80D3A" w:rsidRDefault="00506216" w:rsidP="00315DBC">
            <w:pPr>
              <w:keepNext/>
              <w:contextualSpacing/>
              <w:jc w:val="center"/>
              <w:rPr>
                <w:color w:val="000000"/>
                <w:sz w:val="26"/>
                <w:szCs w:val="26"/>
              </w:rPr>
            </w:pPr>
            <w:r w:rsidRPr="00C80D3A">
              <w:rPr>
                <w:color w:val="000000"/>
                <w:sz w:val="26"/>
                <w:szCs w:val="26"/>
              </w:rPr>
              <w:t>USECP only*</w:t>
            </w:r>
          </w:p>
        </w:tc>
      </w:tr>
      <w:tr w:rsidR="00506216" w:rsidRPr="00C80D3A" w14:paraId="39BEE75C" w14:textId="77777777" w:rsidTr="004B717F">
        <w:tc>
          <w:tcPr>
            <w:tcW w:w="2605" w:type="dxa"/>
            <w:vAlign w:val="center"/>
          </w:tcPr>
          <w:p w14:paraId="5BD07D45" w14:textId="4098CA85" w:rsidR="00506216" w:rsidRPr="00C80D3A" w:rsidRDefault="00506216" w:rsidP="009B7BD4">
            <w:pPr>
              <w:keepNext/>
              <w:contextualSpacing/>
              <w:rPr>
                <w:b/>
                <w:bCs/>
                <w:color w:val="000000"/>
                <w:sz w:val="26"/>
                <w:szCs w:val="26"/>
              </w:rPr>
            </w:pPr>
            <w:r w:rsidRPr="00C80D3A">
              <w:rPr>
                <w:b/>
                <w:bCs/>
                <w:color w:val="000000"/>
                <w:sz w:val="26"/>
                <w:szCs w:val="26"/>
              </w:rPr>
              <w:t>UGI</w:t>
            </w:r>
            <w:r w:rsidR="009B7BD4" w:rsidRPr="00C80D3A">
              <w:rPr>
                <w:b/>
                <w:sz w:val="26"/>
                <w:szCs w:val="26"/>
                <w:vertAlign w:val="superscript"/>
              </w:rPr>
              <w:footnoteReference w:id="71"/>
            </w:r>
          </w:p>
        </w:tc>
        <w:tc>
          <w:tcPr>
            <w:tcW w:w="4140" w:type="dxa"/>
            <w:vAlign w:val="center"/>
          </w:tcPr>
          <w:p w14:paraId="68629E79" w14:textId="3DFCCE99" w:rsidR="00506216" w:rsidRPr="00C80D3A" w:rsidRDefault="00506216" w:rsidP="00315DBC">
            <w:pPr>
              <w:keepNext/>
              <w:contextualSpacing/>
              <w:jc w:val="center"/>
              <w:rPr>
                <w:color w:val="000000"/>
                <w:sz w:val="26"/>
                <w:szCs w:val="26"/>
              </w:rPr>
            </w:pPr>
            <w:r w:rsidRPr="00C80D3A">
              <w:rPr>
                <w:color w:val="000000"/>
                <w:sz w:val="26"/>
                <w:szCs w:val="26"/>
              </w:rPr>
              <w:t>Last 30 days, 90 days, or 12</w:t>
            </w:r>
            <w:r w:rsidR="00A26D16" w:rsidRPr="00C80D3A">
              <w:rPr>
                <w:color w:val="000000"/>
                <w:sz w:val="26"/>
                <w:szCs w:val="26"/>
              </w:rPr>
              <w:t> </w:t>
            </w:r>
            <w:r w:rsidRPr="00C80D3A">
              <w:rPr>
                <w:color w:val="000000"/>
                <w:sz w:val="26"/>
                <w:szCs w:val="26"/>
              </w:rPr>
              <w:t>months</w:t>
            </w:r>
          </w:p>
        </w:tc>
        <w:tc>
          <w:tcPr>
            <w:tcW w:w="2605" w:type="dxa"/>
            <w:vAlign w:val="center"/>
          </w:tcPr>
          <w:p w14:paraId="2A668311" w14:textId="77777777" w:rsidR="00506216" w:rsidRPr="00C80D3A" w:rsidRDefault="00506216" w:rsidP="00315DBC">
            <w:pPr>
              <w:keepNext/>
              <w:contextualSpacing/>
              <w:jc w:val="center"/>
              <w:rPr>
                <w:color w:val="000000"/>
                <w:sz w:val="26"/>
                <w:szCs w:val="26"/>
              </w:rPr>
            </w:pPr>
            <w:r w:rsidRPr="00C80D3A">
              <w:rPr>
                <w:color w:val="000000"/>
                <w:sz w:val="26"/>
                <w:szCs w:val="26"/>
              </w:rPr>
              <w:t>CAP Application only</w:t>
            </w:r>
          </w:p>
        </w:tc>
      </w:tr>
    </w:tbl>
    <w:p w14:paraId="6BBE997F" w14:textId="2D939DB7" w:rsidR="00506216" w:rsidRPr="00BE6EB3" w:rsidRDefault="00506216" w:rsidP="000154DE">
      <w:pPr>
        <w:spacing w:after="0"/>
        <w:contextualSpacing/>
        <w:rPr>
          <w:rFonts w:ascii="Times New Roman" w:hAnsi="Times New Roman" w:cs="Times New Roman"/>
          <w:color w:val="000000"/>
        </w:rPr>
      </w:pPr>
      <w:r w:rsidRPr="00BE6EB3">
        <w:rPr>
          <w:rFonts w:ascii="Times New Roman" w:hAnsi="Times New Roman" w:cs="Times New Roman"/>
          <w:color w:val="000000"/>
        </w:rPr>
        <w:t>*As specified in PGW</w:t>
      </w:r>
      <w:r w:rsidR="001529C6">
        <w:rPr>
          <w:rFonts w:ascii="Times New Roman" w:hAnsi="Times New Roman" w:cs="Times New Roman"/>
          <w:color w:val="000000"/>
        </w:rPr>
        <w:t>’</w:t>
      </w:r>
      <w:r w:rsidRPr="00BE6EB3">
        <w:rPr>
          <w:rFonts w:ascii="Times New Roman" w:hAnsi="Times New Roman" w:cs="Times New Roman"/>
          <w:color w:val="000000"/>
        </w:rPr>
        <w:t>s 2017-2020 USECP, Docket No. M-2016-2542415 (filed August 31, 2017), at</w:t>
      </w:r>
      <w:r w:rsidR="0078027E" w:rsidRPr="00BE6EB3">
        <w:rPr>
          <w:rFonts w:ascii="Times New Roman" w:hAnsi="Times New Roman" w:cs="Times New Roman"/>
          <w:color w:val="000000"/>
        </w:rPr>
        <w:t> </w:t>
      </w:r>
      <w:r w:rsidRPr="00BE6EB3">
        <w:rPr>
          <w:rFonts w:ascii="Times New Roman" w:hAnsi="Times New Roman" w:cs="Times New Roman"/>
          <w:color w:val="000000"/>
        </w:rPr>
        <w:t>15.</w:t>
      </w:r>
    </w:p>
    <w:p w14:paraId="0A139E9E" w14:textId="77777777" w:rsidR="00506216" w:rsidRPr="00C80D3A" w:rsidRDefault="00506216" w:rsidP="00315DBC">
      <w:pPr>
        <w:spacing w:after="0" w:line="360" w:lineRule="auto"/>
        <w:contextualSpacing/>
        <w:rPr>
          <w:rFonts w:ascii="Times New Roman" w:hAnsi="Times New Roman" w:cs="Times New Roman"/>
          <w:color w:val="000000"/>
          <w:sz w:val="26"/>
          <w:szCs w:val="26"/>
        </w:rPr>
      </w:pPr>
    </w:p>
    <w:p w14:paraId="2DB8C215" w14:textId="6D354F35" w:rsidR="00506216" w:rsidRPr="00C80D3A" w:rsidRDefault="009A45DE" w:rsidP="00315DBC">
      <w:pPr>
        <w:spacing w:after="0" w:line="360" w:lineRule="auto"/>
        <w:ind w:firstLine="72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None o</w:t>
      </w:r>
      <w:r w:rsidR="00506216" w:rsidRPr="00C80D3A">
        <w:rPr>
          <w:rFonts w:ascii="Times New Roman" w:hAnsi="Times New Roman" w:cs="Times New Roman"/>
          <w:color w:val="000000"/>
          <w:sz w:val="26"/>
          <w:szCs w:val="26"/>
        </w:rPr>
        <w:t>f the CAP applications reviewed</w:t>
      </w:r>
      <w:r w:rsidR="00605CA7" w:rsidRPr="00C80D3A">
        <w:rPr>
          <w:rFonts w:ascii="Times New Roman" w:hAnsi="Times New Roman" w:cs="Times New Roman"/>
          <w:color w:val="000000"/>
          <w:sz w:val="26"/>
          <w:szCs w:val="26"/>
        </w:rPr>
        <w:t xml:space="preserve"> by Commission staff</w:t>
      </w:r>
      <w:r w:rsidR="00506216" w:rsidRPr="00C80D3A">
        <w:rPr>
          <w:rFonts w:ascii="Times New Roman" w:hAnsi="Times New Roman" w:cs="Times New Roman"/>
          <w:color w:val="000000"/>
          <w:sz w:val="26"/>
          <w:szCs w:val="26"/>
        </w:rPr>
        <w:t xml:space="preserve"> explained how different income timeframes (</w:t>
      </w:r>
      <w:r w:rsidR="00506216" w:rsidRPr="00C80D3A">
        <w:rPr>
          <w:rFonts w:ascii="Times New Roman" w:hAnsi="Times New Roman" w:cs="Times New Roman"/>
          <w:i/>
          <w:color w:val="000000"/>
          <w:sz w:val="26"/>
          <w:szCs w:val="26"/>
        </w:rPr>
        <w:t>e.g.</w:t>
      </w:r>
      <w:r w:rsidR="00506216" w:rsidRPr="00C80D3A">
        <w:rPr>
          <w:rFonts w:ascii="Times New Roman" w:hAnsi="Times New Roman" w:cs="Times New Roman"/>
          <w:color w:val="000000"/>
          <w:sz w:val="26"/>
          <w:szCs w:val="26"/>
        </w:rPr>
        <w:t xml:space="preserve">, 30 days or 12 months) could impact </w:t>
      </w:r>
      <w:r w:rsidR="006B29A8" w:rsidRPr="00C80D3A">
        <w:rPr>
          <w:rFonts w:ascii="Times New Roman" w:hAnsi="Times New Roman" w:cs="Times New Roman"/>
          <w:color w:val="000000"/>
          <w:sz w:val="26"/>
          <w:szCs w:val="26"/>
        </w:rPr>
        <w:t xml:space="preserve">program </w:t>
      </w:r>
      <w:r w:rsidR="00506216" w:rsidRPr="00C80D3A">
        <w:rPr>
          <w:rFonts w:ascii="Times New Roman" w:hAnsi="Times New Roman" w:cs="Times New Roman"/>
          <w:color w:val="000000"/>
          <w:sz w:val="26"/>
          <w:szCs w:val="26"/>
        </w:rPr>
        <w:t>eligibility or monthly CAP payment amount</w:t>
      </w:r>
      <w:r w:rsidR="006B29A8" w:rsidRPr="00C80D3A">
        <w:rPr>
          <w:rFonts w:ascii="Times New Roman" w:hAnsi="Times New Roman" w:cs="Times New Roman"/>
          <w:color w:val="000000"/>
          <w:sz w:val="26"/>
          <w:szCs w:val="26"/>
        </w:rPr>
        <w:t>s</w:t>
      </w:r>
      <w:r w:rsidR="00506216" w:rsidRPr="00C80D3A">
        <w:rPr>
          <w:rFonts w:ascii="Times New Roman" w:hAnsi="Times New Roman" w:cs="Times New Roman"/>
          <w:color w:val="000000"/>
          <w:sz w:val="26"/>
          <w:szCs w:val="26"/>
        </w:rPr>
        <w:t xml:space="preserve">.  </w:t>
      </w:r>
    </w:p>
    <w:p w14:paraId="312CA402" w14:textId="3B8607A6" w:rsidR="00902969" w:rsidRPr="00C80D3A" w:rsidRDefault="00902969" w:rsidP="00315DBC">
      <w:pPr>
        <w:spacing w:after="0" w:line="360" w:lineRule="auto"/>
        <w:ind w:firstLine="720"/>
        <w:contextualSpacing/>
        <w:rPr>
          <w:rFonts w:ascii="Times New Roman" w:hAnsi="Times New Roman" w:cs="Times New Roman"/>
          <w:color w:val="000000"/>
          <w:sz w:val="26"/>
          <w:szCs w:val="26"/>
        </w:rPr>
      </w:pPr>
    </w:p>
    <w:p w14:paraId="1FE04B4A" w14:textId="3606F4F6" w:rsidR="00902969" w:rsidRPr="00C80D3A" w:rsidRDefault="00902969" w:rsidP="00315DBC">
      <w:pPr>
        <w:spacing w:after="0" w:line="360" w:lineRule="auto"/>
        <w:ind w:firstLine="72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Establishing this provision will align CAP policy with Section 601.83 of the 2019 LIHEAP State Plan, which also accepts documentation of gross income over the past 30</w:t>
      </w:r>
      <w:r w:rsidR="00C222E0" w:rsidRPr="00C80D3A">
        <w:rPr>
          <w:rFonts w:ascii="Times New Roman" w:hAnsi="Times New Roman" w:cs="Times New Roman"/>
          <w:color w:val="000000"/>
          <w:sz w:val="26"/>
          <w:szCs w:val="26"/>
        </w:rPr>
        <w:t> </w:t>
      </w:r>
      <w:r w:rsidRPr="00C80D3A">
        <w:rPr>
          <w:rFonts w:ascii="Times New Roman" w:hAnsi="Times New Roman" w:cs="Times New Roman"/>
          <w:color w:val="000000"/>
          <w:sz w:val="26"/>
          <w:szCs w:val="26"/>
        </w:rPr>
        <w:t xml:space="preserve">days or 12 months.  </w:t>
      </w:r>
    </w:p>
    <w:p w14:paraId="23FA5953" w14:textId="3968262C" w:rsidR="00506216" w:rsidRPr="00C80D3A" w:rsidRDefault="00506216" w:rsidP="00315DBC">
      <w:pPr>
        <w:spacing w:after="0" w:line="360" w:lineRule="auto"/>
        <w:contextualSpacing/>
        <w:rPr>
          <w:rFonts w:ascii="Times New Roman" w:hAnsi="Times New Roman" w:cs="Times New Roman"/>
          <w:color w:val="000000"/>
          <w:sz w:val="26"/>
          <w:szCs w:val="26"/>
        </w:rPr>
      </w:pPr>
    </w:p>
    <w:p w14:paraId="6FFCF3F4" w14:textId="38BF3ECC" w:rsidR="00506216" w:rsidRPr="00C80D3A" w:rsidRDefault="006F7F38" w:rsidP="009A5F1C">
      <w:pPr>
        <w:spacing w:after="0" w:line="360" w:lineRule="auto"/>
        <w:ind w:firstLine="720"/>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U</w:t>
      </w:r>
      <w:r w:rsidR="00A27AAA" w:rsidRPr="00C80D3A">
        <w:rPr>
          <w:rFonts w:ascii="Times New Roman" w:hAnsi="Times New Roman" w:cs="Times New Roman"/>
          <w:color w:val="000000"/>
          <w:sz w:val="26"/>
          <w:szCs w:val="26"/>
        </w:rPr>
        <w:t xml:space="preserve">tilities should </w:t>
      </w:r>
      <w:r w:rsidR="00754002" w:rsidRPr="00C80D3A">
        <w:rPr>
          <w:rFonts w:ascii="Times New Roman" w:hAnsi="Times New Roman" w:cs="Times New Roman"/>
          <w:color w:val="000000"/>
          <w:sz w:val="26"/>
          <w:szCs w:val="26"/>
        </w:rPr>
        <w:t>giv</w:t>
      </w:r>
      <w:r w:rsidR="00A27AAA" w:rsidRPr="00C80D3A">
        <w:rPr>
          <w:rFonts w:ascii="Times New Roman" w:hAnsi="Times New Roman" w:cs="Times New Roman"/>
          <w:color w:val="000000"/>
          <w:sz w:val="26"/>
          <w:szCs w:val="26"/>
        </w:rPr>
        <w:t>e</w:t>
      </w:r>
      <w:r w:rsidR="00754002" w:rsidRPr="00C80D3A">
        <w:rPr>
          <w:rFonts w:ascii="Times New Roman" w:hAnsi="Times New Roman" w:cs="Times New Roman"/>
          <w:color w:val="000000"/>
          <w:sz w:val="26"/>
          <w:szCs w:val="26"/>
        </w:rPr>
        <w:t xml:space="preserve"> CAP applicants</w:t>
      </w:r>
      <w:r w:rsidR="00B8574E" w:rsidRPr="00C80D3A">
        <w:rPr>
          <w:rFonts w:ascii="Times New Roman" w:hAnsi="Times New Roman" w:cs="Times New Roman"/>
          <w:color w:val="000000"/>
          <w:sz w:val="26"/>
          <w:szCs w:val="26"/>
        </w:rPr>
        <w:t xml:space="preserve"> and </w:t>
      </w:r>
      <w:r w:rsidR="0029796F" w:rsidRPr="00C80D3A">
        <w:rPr>
          <w:rFonts w:ascii="Times New Roman" w:hAnsi="Times New Roman" w:cs="Times New Roman"/>
          <w:color w:val="000000"/>
          <w:sz w:val="26"/>
          <w:szCs w:val="26"/>
        </w:rPr>
        <w:t>participants</w:t>
      </w:r>
      <w:r w:rsidR="00754002" w:rsidRPr="00C80D3A">
        <w:rPr>
          <w:rFonts w:ascii="Times New Roman" w:hAnsi="Times New Roman" w:cs="Times New Roman"/>
          <w:color w:val="000000"/>
          <w:sz w:val="26"/>
          <w:szCs w:val="26"/>
        </w:rPr>
        <w:t xml:space="preserve"> </w:t>
      </w:r>
      <w:r w:rsidR="00506216" w:rsidRPr="00C80D3A">
        <w:rPr>
          <w:rFonts w:ascii="Times New Roman" w:hAnsi="Times New Roman" w:cs="Times New Roman"/>
          <w:color w:val="000000"/>
          <w:sz w:val="26"/>
          <w:szCs w:val="26"/>
        </w:rPr>
        <w:t xml:space="preserve">the option of selecting a timeframe which is most representative of their true annual household income.  </w:t>
      </w:r>
      <w:r w:rsidR="00AE1E63" w:rsidRPr="00C80D3A">
        <w:rPr>
          <w:rFonts w:ascii="Times New Roman" w:hAnsi="Times New Roman" w:cs="Times New Roman"/>
          <w:color w:val="000000"/>
          <w:sz w:val="26"/>
          <w:szCs w:val="26"/>
        </w:rPr>
        <w:t>Utilities should use whichever income timeframe is more beneficial to the household to determine annual income for CAP eligibility and credits.</w:t>
      </w:r>
      <w:r w:rsidR="00AE1E63" w:rsidRPr="00C80D3A">
        <w:rPr>
          <w:rFonts w:ascii="Times New Roman" w:hAnsi="Times New Roman" w:cs="Times New Roman"/>
          <w:color w:val="000000"/>
          <w:sz w:val="26"/>
          <w:szCs w:val="26"/>
          <w:vertAlign w:val="superscript"/>
        </w:rPr>
        <w:footnoteReference w:id="72"/>
      </w:r>
      <w:r w:rsidR="00AE1E63" w:rsidRPr="00C80D3A">
        <w:rPr>
          <w:rFonts w:ascii="Times New Roman" w:hAnsi="Times New Roman" w:cs="Times New Roman"/>
          <w:color w:val="000000"/>
          <w:sz w:val="26"/>
          <w:szCs w:val="26"/>
        </w:rPr>
        <w:t xml:space="preserve">  </w:t>
      </w:r>
      <w:r w:rsidR="009A5F1C" w:rsidRPr="00C80D3A">
        <w:rPr>
          <w:rFonts w:ascii="Times New Roman" w:hAnsi="Times New Roman" w:cs="Times New Roman"/>
          <w:color w:val="000000"/>
          <w:sz w:val="26"/>
          <w:szCs w:val="26"/>
        </w:rPr>
        <w:t>Further, utilities</w:t>
      </w:r>
      <w:r w:rsidR="00506216" w:rsidRPr="00C80D3A">
        <w:rPr>
          <w:rFonts w:ascii="Times New Roman" w:hAnsi="Times New Roman" w:cs="Times New Roman"/>
          <w:color w:val="000000"/>
          <w:sz w:val="26"/>
          <w:szCs w:val="26"/>
        </w:rPr>
        <w:t xml:space="preserve"> </w:t>
      </w:r>
      <w:r w:rsidR="00B769AE" w:rsidRPr="00C80D3A">
        <w:rPr>
          <w:rFonts w:ascii="Times New Roman" w:hAnsi="Times New Roman" w:cs="Times New Roman"/>
          <w:color w:val="000000"/>
          <w:sz w:val="26"/>
          <w:szCs w:val="26"/>
        </w:rPr>
        <w:t>should</w:t>
      </w:r>
      <w:r w:rsidR="00B769AE" w:rsidRPr="00C80D3A" w:rsidDel="009A5F1C">
        <w:rPr>
          <w:rFonts w:ascii="Times New Roman" w:hAnsi="Times New Roman" w:cs="Times New Roman"/>
          <w:color w:val="000000"/>
          <w:sz w:val="26"/>
          <w:szCs w:val="26"/>
        </w:rPr>
        <w:t xml:space="preserve"> </w:t>
      </w:r>
      <w:r w:rsidR="00506216" w:rsidRPr="00C80D3A">
        <w:rPr>
          <w:rFonts w:ascii="Times New Roman" w:hAnsi="Times New Roman" w:cs="Times New Roman"/>
          <w:color w:val="000000"/>
          <w:sz w:val="26"/>
          <w:szCs w:val="26"/>
        </w:rPr>
        <w:t xml:space="preserve">identify acceptable income documentation timeframes in their CAP applications and recertification letters.  These documents </w:t>
      </w:r>
      <w:r w:rsidR="00B769AE" w:rsidRPr="00C80D3A">
        <w:rPr>
          <w:rFonts w:ascii="Times New Roman" w:hAnsi="Times New Roman" w:cs="Times New Roman"/>
          <w:color w:val="000000"/>
          <w:sz w:val="26"/>
          <w:szCs w:val="26"/>
        </w:rPr>
        <w:t xml:space="preserve">should </w:t>
      </w:r>
      <w:r w:rsidR="00506216" w:rsidRPr="00C80D3A">
        <w:rPr>
          <w:rFonts w:ascii="Times New Roman" w:hAnsi="Times New Roman" w:cs="Times New Roman"/>
          <w:color w:val="000000"/>
          <w:sz w:val="26"/>
          <w:szCs w:val="26"/>
        </w:rPr>
        <w:t xml:space="preserve">explain how providing income based on different time periods could benefit the customer.  </w:t>
      </w:r>
      <w:r w:rsidR="00B769AE" w:rsidRPr="00C80D3A">
        <w:rPr>
          <w:rFonts w:ascii="Times New Roman" w:hAnsi="Times New Roman" w:cs="Times New Roman"/>
          <w:color w:val="000000"/>
          <w:sz w:val="26"/>
          <w:szCs w:val="26"/>
        </w:rPr>
        <w:t>We recommend u</w:t>
      </w:r>
      <w:r w:rsidR="00506216" w:rsidRPr="00C80D3A">
        <w:rPr>
          <w:rFonts w:ascii="Times New Roman" w:hAnsi="Times New Roman" w:cs="Times New Roman"/>
          <w:color w:val="000000"/>
          <w:sz w:val="26"/>
          <w:szCs w:val="26"/>
        </w:rPr>
        <w:t xml:space="preserve">tilities work with their USACs on these CAP document revisions. </w:t>
      </w:r>
    </w:p>
    <w:p w14:paraId="2BDBBABA" w14:textId="77777777" w:rsidR="00417553" w:rsidRPr="00C80D3A" w:rsidRDefault="00417553" w:rsidP="00315DBC">
      <w:pPr>
        <w:spacing w:after="0" w:line="360" w:lineRule="auto"/>
        <w:ind w:firstLine="720"/>
        <w:contextualSpacing/>
        <w:rPr>
          <w:rFonts w:ascii="Times New Roman" w:hAnsi="Times New Roman" w:cs="Times New Roman"/>
          <w:color w:val="000000"/>
          <w:sz w:val="26"/>
          <w:szCs w:val="26"/>
        </w:rPr>
      </w:pPr>
    </w:p>
    <w:p w14:paraId="4BFFD686" w14:textId="3D1A921E" w:rsidR="001850FD" w:rsidRDefault="006F7F38" w:rsidP="0092002D">
      <w:pPr>
        <w:spacing w:after="0" w:line="240" w:lineRule="auto"/>
        <w:contextualSpacing/>
        <w:rPr>
          <w:rFonts w:ascii="Times New Roman" w:hAnsi="Times New Roman" w:cs="Times New Roman"/>
          <w:b/>
          <w:bCs/>
          <w:sz w:val="26"/>
          <w:szCs w:val="26"/>
        </w:rPr>
      </w:pPr>
      <w:r w:rsidRPr="00C80D3A">
        <w:rPr>
          <w:rFonts w:ascii="Times New Roman" w:hAnsi="Times New Roman" w:cs="Times New Roman"/>
          <w:b/>
          <w:bCs/>
          <w:color w:val="000000"/>
          <w:sz w:val="26"/>
          <w:szCs w:val="26"/>
        </w:rPr>
        <w:t xml:space="preserve">Resolution: </w:t>
      </w:r>
      <w:r w:rsidR="00C80D3A">
        <w:rPr>
          <w:rFonts w:ascii="Times New Roman" w:hAnsi="Times New Roman" w:cs="Times New Roman"/>
          <w:b/>
          <w:bCs/>
          <w:color w:val="000000"/>
          <w:sz w:val="26"/>
          <w:szCs w:val="26"/>
        </w:rPr>
        <w:t>Add</w:t>
      </w:r>
      <w:r w:rsidR="001850FD" w:rsidRPr="00C80D3A">
        <w:rPr>
          <w:rFonts w:ascii="Times New Roman" w:hAnsi="Times New Roman" w:cs="Times New Roman"/>
          <w:b/>
          <w:bCs/>
          <w:color w:val="000000"/>
          <w:sz w:val="26"/>
          <w:szCs w:val="26"/>
        </w:rPr>
        <w:t xml:space="preserve"> New Section 69.265(8)(ii)(B)(I) </w:t>
      </w:r>
      <w:r w:rsidR="001850FD" w:rsidRPr="00C80D3A">
        <w:rPr>
          <w:rFonts w:ascii="Times New Roman" w:hAnsi="Times New Roman" w:cs="Times New Roman"/>
          <w:b/>
          <w:bCs/>
          <w:sz w:val="26"/>
          <w:szCs w:val="26"/>
        </w:rPr>
        <w:t>– Intake and Verification.</w:t>
      </w:r>
    </w:p>
    <w:p w14:paraId="3F64655C" w14:textId="77777777" w:rsidR="0092002D" w:rsidRPr="00C80D3A" w:rsidRDefault="0092002D" w:rsidP="00F04703">
      <w:pPr>
        <w:spacing w:after="0" w:line="240" w:lineRule="auto"/>
        <w:contextualSpacing/>
        <w:rPr>
          <w:rFonts w:ascii="Times New Roman" w:hAnsi="Times New Roman" w:cs="Times New Roman"/>
          <w:b/>
          <w:bCs/>
          <w:color w:val="000000"/>
          <w:sz w:val="26"/>
          <w:szCs w:val="26"/>
        </w:rPr>
      </w:pPr>
    </w:p>
    <w:p w14:paraId="2B26DE96" w14:textId="0D2EF105" w:rsidR="00417553" w:rsidRPr="00C80D3A" w:rsidRDefault="001850FD" w:rsidP="00C80D3A">
      <w:pPr>
        <w:spacing w:after="0" w:line="360" w:lineRule="auto"/>
        <w:contextualSpacing/>
        <w:rPr>
          <w:rFonts w:ascii="Times New Roman" w:hAnsi="Times New Roman" w:cs="Times New Roman"/>
          <w:color w:val="000000"/>
          <w:sz w:val="26"/>
          <w:szCs w:val="26"/>
        </w:rPr>
      </w:pPr>
      <w:r w:rsidRPr="00C80D3A">
        <w:rPr>
          <w:rFonts w:ascii="Times New Roman" w:hAnsi="Times New Roman" w:cs="Times New Roman"/>
          <w:color w:val="000000"/>
          <w:sz w:val="26"/>
          <w:szCs w:val="26"/>
        </w:rPr>
        <w:tab/>
      </w:r>
      <w:r w:rsidR="00902969" w:rsidRPr="00C80D3A">
        <w:rPr>
          <w:rFonts w:ascii="Times New Roman" w:hAnsi="Times New Roman" w:cs="Times New Roman"/>
          <w:sz w:val="26"/>
          <w:szCs w:val="26"/>
        </w:rPr>
        <w:t xml:space="preserve">Consistent with the discussion above, this Order </w:t>
      </w:r>
      <w:r w:rsidR="006F7F38" w:rsidRPr="00C80D3A">
        <w:rPr>
          <w:rFonts w:ascii="Times New Roman" w:hAnsi="Times New Roman" w:cs="Times New Roman"/>
          <w:sz w:val="26"/>
          <w:szCs w:val="26"/>
        </w:rPr>
        <w:t xml:space="preserve">amends </w:t>
      </w:r>
      <w:r w:rsidR="00637419" w:rsidRPr="00C80D3A">
        <w:rPr>
          <w:rFonts w:ascii="Times New Roman" w:hAnsi="Times New Roman" w:cs="Times New Roman"/>
          <w:sz w:val="26"/>
          <w:szCs w:val="26"/>
        </w:rPr>
        <w:t xml:space="preserve">Section 69.265(8) of </w:t>
      </w:r>
      <w:r w:rsidR="00902969" w:rsidRPr="00C80D3A">
        <w:rPr>
          <w:rFonts w:ascii="Times New Roman" w:hAnsi="Times New Roman" w:cs="Times New Roman"/>
          <w:sz w:val="26"/>
          <w:szCs w:val="26"/>
        </w:rPr>
        <w:t xml:space="preserve">the CAP Policy Statement to reflect that utilities should accept, at a minimum, income documentation based on the past 30 days or 12 months, as indicated in Annex </w:t>
      </w:r>
      <w:r w:rsidR="005704DB" w:rsidRPr="00C80D3A">
        <w:rPr>
          <w:rFonts w:ascii="Times New Roman" w:hAnsi="Times New Roman" w:cs="Times New Roman"/>
          <w:sz w:val="26"/>
          <w:szCs w:val="26"/>
        </w:rPr>
        <w:t>A</w:t>
      </w:r>
      <w:r w:rsidR="00902969" w:rsidRPr="00C80D3A">
        <w:rPr>
          <w:rFonts w:ascii="Times New Roman" w:hAnsi="Times New Roman" w:cs="Times New Roman"/>
          <w:sz w:val="26"/>
          <w:szCs w:val="26"/>
        </w:rPr>
        <w:t xml:space="preserve">.  </w:t>
      </w:r>
    </w:p>
    <w:p w14:paraId="3EB6C1BE" w14:textId="77777777" w:rsidR="005D655F" w:rsidRPr="00C80D3A" w:rsidRDefault="005D655F" w:rsidP="005D655F">
      <w:pPr>
        <w:spacing w:after="0" w:line="360" w:lineRule="auto"/>
        <w:contextualSpacing/>
        <w:rPr>
          <w:rFonts w:ascii="Times New Roman" w:hAnsi="Times New Roman" w:cs="Times New Roman"/>
          <w:sz w:val="26"/>
          <w:szCs w:val="26"/>
        </w:rPr>
      </w:pPr>
    </w:p>
    <w:p w14:paraId="51A46A62" w14:textId="20B6C997" w:rsidR="00506216" w:rsidRPr="00C80D3A" w:rsidRDefault="00506216" w:rsidP="00A45138">
      <w:pPr>
        <w:pStyle w:val="Heading3"/>
        <w:keepLines/>
        <w:contextualSpacing/>
        <w:rPr>
          <w:sz w:val="26"/>
          <w:szCs w:val="26"/>
        </w:rPr>
      </w:pPr>
      <w:bookmarkStart w:id="11" w:name="_4.__Proposed"/>
      <w:bookmarkEnd w:id="11"/>
      <w:r w:rsidRPr="00C80D3A">
        <w:rPr>
          <w:bCs/>
          <w:sz w:val="26"/>
          <w:szCs w:val="26"/>
        </w:rPr>
        <w:t>4.</w:t>
      </w:r>
      <w:r w:rsidRPr="00C80D3A">
        <w:rPr>
          <w:sz w:val="26"/>
          <w:szCs w:val="26"/>
        </w:rPr>
        <w:t xml:space="preserve">  </w:t>
      </w:r>
      <w:bookmarkStart w:id="12" w:name="_Hlk13555665"/>
      <w:r w:rsidRPr="00C80D3A">
        <w:rPr>
          <w:sz w:val="26"/>
          <w:szCs w:val="26"/>
        </w:rPr>
        <w:t xml:space="preserve">Eliminate the </w:t>
      </w:r>
      <w:r w:rsidR="00856AE6" w:rsidRPr="00C80D3A">
        <w:rPr>
          <w:sz w:val="26"/>
          <w:szCs w:val="26"/>
        </w:rPr>
        <w:t xml:space="preserve">provision in the </w:t>
      </w:r>
      <w:r w:rsidRPr="00C80D3A">
        <w:rPr>
          <w:sz w:val="26"/>
          <w:szCs w:val="26"/>
        </w:rPr>
        <w:t xml:space="preserve">CAP Policy Statement that low-income customers must be </w:t>
      </w:r>
      <w:r w:rsidR="00091F36" w:rsidRPr="00C80D3A">
        <w:rPr>
          <w:sz w:val="26"/>
          <w:szCs w:val="26"/>
        </w:rPr>
        <w:t>“</w:t>
      </w:r>
      <w:r w:rsidRPr="00C80D3A">
        <w:rPr>
          <w:sz w:val="26"/>
          <w:szCs w:val="26"/>
        </w:rPr>
        <w:t>payment</w:t>
      </w:r>
      <w:r w:rsidR="009A76C8" w:rsidRPr="00C80D3A">
        <w:rPr>
          <w:sz w:val="26"/>
          <w:szCs w:val="26"/>
        </w:rPr>
        <w:noBreakHyphen/>
      </w:r>
      <w:r w:rsidRPr="00C80D3A">
        <w:rPr>
          <w:sz w:val="26"/>
          <w:szCs w:val="26"/>
        </w:rPr>
        <w:t>troubled</w:t>
      </w:r>
      <w:r w:rsidR="00091F36" w:rsidRPr="00C80D3A">
        <w:rPr>
          <w:sz w:val="26"/>
          <w:szCs w:val="26"/>
        </w:rPr>
        <w:t>”</w:t>
      </w:r>
      <w:r w:rsidRPr="00C80D3A">
        <w:rPr>
          <w:sz w:val="26"/>
          <w:szCs w:val="26"/>
        </w:rPr>
        <w:t xml:space="preserve"> to qualify for CAPs.  </w:t>
      </w:r>
      <w:r w:rsidR="00E501D0" w:rsidRPr="00C80D3A">
        <w:rPr>
          <w:sz w:val="26"/>
          <w:szCs w:val="26"/>
        </w:rPr>
        <w:t>U</w:t>
      </w:r>
      <w:r w:rsidRPr="00C80D3A">
        <w:rPr>
          <w:sz w:val="26"/>
          <w:szCs w:val="26"/>
        </w:rPr>
        <w:t xml:space="preserve">tilities </w:t>
      </w:r>
      <w:r w:rsidR="001B30C8" w:rsidRPr="00C80D3A">
        <w:rPr>
          <w:sz w:val="26"/>
          <w:szCs w:val="26"/>
        </w:rPr>
        <w:t>may</w:t>
      </w:r>
      <w:r w:rsidR="00E501D0" w:rsidRPr="00C80D3A">
        <w:rPr>
          <w:sz w:val="26"/>
          <w:szCs w:val="26"/>
        </w:rPr>
        <w:t>, however,</w:t>
      </w:r>
      <w:r w:rsidRPr="00C80D3A">
        <w:rPr>
          <w:sz w:val="26"/>
          <w:szCs w:val="26"/>
        </w:rPr>
        <w:t xml:space="preserve"> impose such a requirement to prioritize CAP enrollments and control CAP costs if determined appropriate by the Commission.</w:t>
      </w:r>
      <w:bookmarkEnd w:id="12"/>
      <w:r w:rsidRPr="00C80D3A">
        <w:rPr>
          <w:sz w:val="26"/>
          <w:szCs w:val="26"/>
        </w:rPr>
        <w:t xml:space="preserve">  </w:t>
      </w:r>
    </w:p>
    <w:p w14:paraId="2B922272" w14:textId="77777777" w:rsidR="00506216" w:rsidRPr="00C80D3A" w:rsidRDefault="00506216" w:rsidP="00F04703">
      <w:pPr>
        <w:keepNext/>
        <w:keepLines/>
        <w:spacing w:after="0" w:line="240" w:lineRule="auto"/>
        <w:contextualSpacing/>
        <w:rPr>
          <w:rFonts w:ascii="Times New Roman" w:hAnsi="Times New Roman" w:cs="Times New Roman"/>
          <w:sz w:val="26"/>
          <w:szCs w:val="26"/>
        </w:rPr>
      </w:pPr>
    </w:p>
    <w:p w14:paraId="20403806" w14:textId="13C84B7A"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The CAP Policy Statement </w:t>
      </w:r>
      <w:r w:rsidR="0097431A" w:rsidRPr="00C80D3A">
        <w:rPr>
          <w:rFonts w:ascii="Times New Roman" w:hAnsi="Times New Roman" w:cs="Times New Roman"/>
          <w:sz w:val="26"/>
          <w:szCs w:val="26"/>
        </w:rPr>
        <w:t xml:space="preserve">currently </w:t>
      </w:r>
      <w:r w:rsidRPr="00C80D3A">
        <w:rPr>
          <w:rFonts w:ascii="Times New Roman" w:hAnsi="Times New Roman" w:cs="Times New Roman"/>
          <w:sz w:val="26"/>
          <w:szCs w:val="26"/>
        </w:rPr>
        <w:t>recommends restricting CAP eligibility to customers that are both low-income and “payment troubled.”  Section 69.265(4)(iii).  Section 62.2 defines payment</w:t>
      </w:r>
      <w:r w:rsidR="00AC3337" w:rsidRPr="00C80D3A">
        <w:rPr>
          <w:rFonts w:ascii="Times New Roman" w:hAnsi="Times New Roman" w:cs="Times New Roman"/>
          <w:sz w:val="26"/>
          <w:szCs w:val="26"/>
        </w:rPr>
        <w:t>-</w:t>
      </w:r>
      <w:r w:rsidRPr="00C80D3A">
        <w:rPr>
          <w:rFonts w:ascii="Times New Roman" w:hAnsi="Times New Roman" w:cs="Times New Roman"/>
          <w:sz w:val="26"/>
          <w:szCs w:val="26"/>
        </w:rPr>
        <w:t>troubled customers as “[a] household that has failed to maintain one or more payment arrangements in a one-year period.”</w:t>
      </w:r>
      <w:r w:rsidRPr="00C80D3A">
        <w:rPr>
          <w:rFonts w:ascii="Times New Roman" w:hAnsi="Times New Roman" w:cs="Times New Roman"/>
          <w:sz w:val="26"/>
          <w:szCs w:val="26"/>
          <w:vertAlign w:val="superscript"/>
        </w:rPr>
        <w:footnoteReference w:id="73"/>
      </w:r>
      <w:r w:rsidRPr="00C80D3A">
        <w:rPr>
          <w:rFonts w:ascii="Times New Roman" w:hAnsi="Times New Roman" w:cs="Times New Roman"/>
          <w:sz w:val="26"/>
          <w:szCs w:val="26"/>
        </w:rPr>
        <w:t xml:space="preserve">  The CAP Policy Statement </w:t>
      </w:r>
      <w:r w:rsidR="00AC3337" w:rsidRPr="00C80D3A">
        <w:rPr>
          <w:rFonts w:ascii="Times New Roman" w:hAnsi="Times New Roman" w:cs="Times New Roman"/>
          <w:sz w:val="26"/>
          <w:szCs w:val="26"/>
        </w:rPr>
        <w:t xml:space="preserve">elaborates on </w:t>
      </w:r>
      <w:r w:rsidRPr="00C80D3A">
        <w:rPr>
          <w:rFonts w:ascii="Times New Roman" w:hAnsi="Times New Roman" w:cs="Times New Roman"/>
          <w:sz w:val="26"/>
          <w:szCs w:val="26"/>
        </w:rPr>
        <w:t>th</w:t>
      </w:r>
      <w:r w:rsidR="00DA750F" w:rsidRPr="00C80D3A">
        <w:rPr>
          <w:rFonts w:ascii="Times New Roman" w:hAnsi="Times New Roman" w:cs="Times New Roman"/>
          <w:sz w:val="26"/>
          <w:szCs w:val="26"/>
        </w:rPr>
        <w:t>ese</w:t>
      </w:r>
      <w:r w:rsidRPr="00C80D3A">
        <w:rPr>
          <w:rFonts w:ascii="Times New Roman" w:hAnsi="Times New Roman" w:cs="Times New Roman"/>
          <w:sz w:val="26"/>
          <w:szCs w:val="26"/>
        </w:rPr>
        <w:t xml:space="preserve"> criteria by providing four different scenarios that could qualify a household as payment</w:t>
      </w:r>
      <w:r w:rsidR="00850ACA" w:rsidRPr="00C80D3A">
        <w:rPr>
          <w:rFonts w:ascii="Times New Roman" w:hAnsi="Times New Roman" w:cs="Times New Roman"/>
          <w:sz w:val="26"/>
          <w:szCs w:val="26"/>
        </w:rPr>
        <w:t>-</w:t>
      </w:r>
      <w:r w:rsidRPr="00C80D3A">
        <w:rPr>
          <w:rFonts w:ascii="Times New Roman" w:hAnsi="Times New Roman" w:cs="Times New Roman"/>
          <w:sz w:val="26"/>
          <w:szCs w:val="26"/>
        </w:rPr>
        <w:t xml:space="preserve">troubled:   </w:t>
      </w:r>
    </w:p>
    <w:p w14:paraId="5AB1F207" w14:textId="402C8AFD" w:rsidR="00506216" w:rsidRPr="00C80D3A" w:rsidRDefault="00506216" w:rsidP="00B811C1">
      <w:pPr>
        <w:spacing w:after="0" w:line="240" w:lineRule="auto"/>
        <w:contextualSpacing/>
        <w:rPr>
          <w:rFonts w:ascii="Times New Roman" w:hAnsi="Times New Roman" w:cs="Times New Roman"/>
          <w:sz w:val="26"/>
          <w:szCs w:val="26"/>
        </w:rPr>
      </w:pPr>
    </w:p>
    <w:p w14:paraId="779EEB0E" w14:textId="596F5426" w:rsidR="00506216" w:rsidRPr="00C80D3A" w:rsidRDefault="00506216" w:rsidP="00315DBC">
      <w:pPr>
        <w:spacing w:after="0"/>
        <w:ind w:left="720" w:right="720"/>
        <w:contextualSpacing/>
        <w:rPr>
          <w:rFonts w:ascii="Times New Roman" w:hAnsi="Times New Roman" w:cs="Times New Roman"/>
          <w:sz w:val="26"/>
          <w:szCs w:val="26"/>
        </w:rPr>
      </w:pPr>
      <w:r w:rsidRPr="00C80D3A">
        <w:rPr>
          <w:rFonts w:ascii="Times New Roman" w:hAnsi="Times New Roman" w:cs="Times New Roman"/>
          <w:sz w:val="26"/>
          <w:szCs w:val="26"/>
        </w:rPr>
        <w:t>(A)  A household whose housing and utility costs exceed 45% of the household</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total income. </w:t>
      </w:r>
      <w:r w:rsidR="00EB4A82"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Housing and utility costs are defined as rent or mortgage/taxes and [natural] gas, electric, water, oil, telephone and sewage. </w:t>
      </w:r>
    </w:p>
    <w:p w14:paraId="26AC633C" w14:textId="6D1246DD" w:rsidR="00506216" w:rsidRPr="00C80D3A" w:rsidRDefault="00506216" w:rsidP="00315DBC">
      <w:pPr>
        <w:spacing w:after="0"/>
        <w:ind w:left="720" w:right="720"/>
        <w:contextualSpacing/>
        <w:rPr>
          <w:rFonts w:ascii="Times New Roman" w:hAnsi="Times New Roman" w:cs="Times New Roman"/>
          <w:sz w:val="26"/>
          <w:szCs w:val="26"/>
        </w:rPr>
      </w:pPr>
      <w:r w:rsidRPr="00C80D3A">
        <w:rPr>
          <w:rFonts w:ascii="Times New Roman" w:hAnsi="Times New Roman" w:cs="Times New Roman"/>
          <w:sz w:val="26"/>
          <w:szCs w:val="26"/>
        </w:rPr>
        <w:t xml:space="preserve">(B)  A household who </w:t>
      </w:r>
      <w:r w:rsidR="00850ACA" w:rsidRPr="00C80D3A">
        <w:rPr>
          <w:rFonts w:ascii="Times New Roman" w:hAnsi="Times New Roman" w:cs="Times New Roman"/>
          <w:sz w:val="26"/>
          <w:szCs w:val="26"/>
        </w:rPr>
        <w:t>[</w:t>
      </w:r>
      <w:r w:rsidR="00850ACA" w:rsidRPr="00C80D3A">
        <w:rPr>
          <w:rFonts w:ascii="Times New Roman" w:hAnsi="Times New Roman" w:cs="Times New Roman"/>
          <w:i/>
          <w:sz w:val="26"/>
          <w:szCs w:val="26"/>
        </w:rPr>
        <w:t>sic</w:t>
      </w:r>
      <w:r w:rsidR="00850ACA"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has $100 or less disposable income after subtracting all household expenses from all household income. </w:t>
      </w:r>
    </w:p>
    <w:p w14:paraId="3E67C50C" w14:textId="56203C1D" w:rsidR="00506216" w:rsidRPr="00C80D3A" w:rsidRDefault="00506216" w:rsidP="00315DBC">
      <w:pPr>
        <w:spacing w:after="0"/>
        <w:ind w:left="720" w:right="720"/>
        <w:contextualSpacing/>
        <w:rPr>
          <w:rFonts w:ascii="Times New Roman" w:hAnsi="Times New Roman" w:cs="Times New Roman"/>
          <w:sz w:val="26"/>
          <w:szCs w:val="26"/>
        </w:rPr>
      </w:pPr>
      <w:r w:rsidRPr="00C80D3A">
        <w:rPr>
          <w:rFonts w:ascii="Times New Roman" w:hAnsi="Times New Roman" w:cs="Times New Roman"/>
          <w:sz w:val="26"/>
          <w:szCs w:val="26"/>
        </w:rPr>
        <w:t xml:space="preserve">(C)  A household who </w:t>
      </w:r>
      <w:r w:rsidR="00850ACA" w:rsidRPr="00C80D3A">
        <w:rPr>
          <w:rFonts w:ascii="Times New Roman" w:hAnsi="Times New Roman" w:cs="Times New Roman"/>
          <w:sz w:val="26"/>
          <w:szCs w:val="26"/>
        </w:rPr>
        <w:t>[</w:t>
      </w:r>
      <w:r w:rsidR="00850ACA" w:rsidRPr="00C80D3A">
        <w:rPr>
          <w:rFonts w:ascii="Times New Roman" w:hAnsi="Times New Roman" w:cs="Times New Roman"/>
          <w:i/>
          <w:sz w:val="26"/>
          <w:szCs w:val="26"/>
        </w:rPr>
        <w:t>sic</w:t>
      </w:r>
      <w:r w:rsidR="00850ACA"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has an arrearage. </w:t>
      </w:r>
      <w:r w:rsidR="002540EA"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The utility may define the amount of the arrearage. </w:t>
      </w:r>
    </w:p>
    <w:p w14:paraId="2DFF2571" w14:textId="27FF97BF" w:rsidR="00506216" w:rsidRPr="00C80D3A" w:rsidRDefault="00506216" w:rsidP="00315DBC">
      <w:pPr>
        <w:spacing w:after="0"/>
        <w:ind w:left="720" w:right="720"/>
        <w:contextualSpacing/>
        <w:rPr>
          <w:rFonts w:ascii="Times New Roman" w:hAnsi="Times New Roman" w:cs="Times New Roman"/>
          <w:sz w:val="26"/>
          <w:szCs w:val="26"/>
        </w:rPr>
      </w:pPr>
      <w:r w:rsidRPr="00C80D3A">
        <w:rPr>
          <w:rFonts w:ascii="Times New Roman" w:hAnsi="Times New Roman" w:cs="Times New Roman"/>
          <w:sz w:val="26"/>
          <w:szCs w:val="26"/>
        </w:rPr>
        <w:t xml:space="preserve">(D)  A household who </w:t>
      </w:r>
      <w:r w:rsidR="00850ACA" w:rsidRPr="00C80D3A">
        <w:rPr>
          <w:rFonts w:ascii="Times New Roman" w:hAnsi="Times New Roman" w:cs="Times New Roman"/>
          <w:sz w:val="26"/>
          <w:szCs w:val="26"/>
        </w:rPr>
        <w:t>[</w:t>
      </w:r>
      <w:r w:rsidR="00850ACA" w:rsidRPr="00C80D3A">
        <w:rPr>
          <w:rFonts w:ascii="Times New Roman" w:hAnsi="Times New Roman" w:cs="Times New Roman"/>
          <w:i/>
          <w:sz w:val="26"/>
          <w:szCs w:val="26"/>
        </w:rPr>
        <w:t>sic</w:t>
      </w:r>
      <w:r w:rsidR="00850ACA" w:rsidRPr="00C80D3A">
        <w:rPr>
          <w:rFonts w:ascii="Times New Roman" w:hAnsi="Times New Roman" w:cs="Times New Roman"/>
          <w:sz w:val="26"/>
          <w:szCs w:val="26"/>
        </w:rPr>
        <w:t xml:space="preserve">] </w:t>
      </w:r>
      <w:r w:rsidRPr="00C80D3A">
        <w:rPr>
          <w:rFonts w:ascii="Times New Roman" w:hAnsi="Times New Roman" w:cs="Times New Roman"/>
          <w:sz w:val="26"/>
          <w:szCs w:val="26"/>
        </w:rPr>
        <w:t>has received a termination notice or who has failed to maintain one payment arrangement.</w:t>
      </w:r>
    </w:p>
    <w:p w14:paraId="304C2FDA" w14:textId="77777777" w:rsidR="00506216" w:rsidRPr="00C80D3A" w:rsidRDefault="00506216" w:rsidP="00EC2691">
      <w:pPr>
        <w:spacing w:after="0" w:line="240" w:lineRule="auto"/>
        <w:contextualSpacing/>
        <w:rPr>
          <w:rFonts w:ascii="Times New Roman" w:hAnsi="Times New Roman" w:cs="Times New Roman"/>
          <w:sz w:val="26"/>
          <w:szCs w:val="26"/>
        </w:rPr>
      </w:pPr>
    </w:p>
    <w:p w14:paraId="75D482D4" w14:textId="60D3E630"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Section 69.265(4)(iii)(A</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D)</w:t>
      </w:r>
      <w:r w:rsidR="00FC5054" w:rsidRPr="00C80D3A">
        <w:rPr>
          <w:rFonts w:ascii="Times New Roman" w:hAnsi="Times New Roman" w:cs="Times New Roman"/>
          <w:sz w:val="26"/>
          <w:szCs w:val="26"/>
        </w:rPr>
        <w:t>.</w:t>
      </w:r>
    </w:p>
    <w:p w14:paraId="74ABE78A" w14:textId="2F229F78" w:rsidR="00506216" w:rsidRPr="00C80D3A" w:rsidRDefault="00506216" w:rsidP="00315DBC">
      <w:pPr>
        <w:spacing w:after="0" w:line="360" w:lineRule="auto"/>
        <w:contextualSpacing/>
        <w:rPr>
          <w:rFonts w:ascii="Times New Roman" w:hAnsi="Times New Roman" w:cs="Times New Roman"/>
          <w:sz w:val="26"/>
          <w:szCs w:val="26"/>
        </w:rPr>
      </w:pPr>
    </w:p>
    <w:p w14:paraId="01DE81F6" w14:textId="4465F568"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Most EDCs and NGDCs do not currently require income-eligible households to be payment</w:t>
      </w:r>
      <w:r w:rsidR="00FC5054" w:rsidRPr="00C80D3A">
        <w:rPr>
          <w:rFonts w:ascii="Times New Roman" w:hAnsi="Times New Roman" w:cs="Times New Roman"/>
          <w:sz w:val="26"/>
          <w:szCs w:val="26"/>
        </w:rPr>
        <w:t>-</w:t>
      </w:r>
      <w:r w:rsidRPr="00C80D3A">
        <w:rPr>
          <w:rFonts w:ascii="Times New Roman" w:hAnsi="Times New Roman" w:cs="Times New Roman"/>
          <w:sz w:val="26"/>
          <w:szCs w:val="26"/>
        </w:rPr>
        <w:t xml:space="preserve">troubled to qualify for </w:t>
      </w:r>
      <w:r w:rsidR="00FC5054" w:rsidRPr="00C80D3A">
        <w:rPr>
          <w:rFonts w:ascii="Times New Roman" w:hAnsi="Times New Roman" w:cs="Times New Roman"/>
          <w:sz w:val="26"/>
          <w:szCs w:val="26"/>
        </w:rPr>
        <w:t xml:space="preserve">their </w:t>
      </w:r>
      <w:r w:rsidRPr="00C80D3A">
        <w:rPr>
          <w:rFonts w:ascii="Times New Roman" w:hAnsi="Times New Roman" w:cs="Times New Roman"/>
          <w:sz w:val="26"/>
          <w:szCs w:val="26"/>
        </w:rPr>
        <w:t xml:space="preserve">CAPs.  </w:t>
      </w:r>
      <w:r w:rsidR="00835715" w:rsidRPr="00C80D3A">
        <w:rPr>
          <w:rFonts w:ascii="Times New Roman" w:hAnsi="Times New Roman" w:cs="Times New Roman"/>
          <w:sz w:val="26"/>
          <w:szCs w:val="26"/>
        </w:rPr>
        <w:t>T</w:t>
      </w:r>
      <w:r w:rsidR="0060790F" w:rsidRPr="00C80D3A">
        <w:rPr>
          <w:rFonts w:ascii="Times New Roman" w:hAnsi="Times New Roman" w:cs="Times New Roman"/>
          <w:sz w:val="26"/>
          <w:szCs w:val="26"/>
        </w:rPr>
        <w:t>he Commission</w:t>
      </w:r>
      <w:r w:rsidR="005E36FD" w:rsidRPr="00C80D3A">
        <w:rPr>
          <w:rFonts w:ascii="Times New Roman" w:hAnsi="Times New Roman" w:cs="Times New Roman"/>
          <w:sz w:val="26"/>
          <w:szCs w:val="26"/>
        </w:rPr>
        <w:t xml:space="preserve"> </w:t>
      </w:r>
      <w:r w:rsidRPr="00C80D3A">
        <w:rPr>
          <w:rFonts w:ascii="Times New Roman" w:hAnsi="Times New Roman" w:cs="Times New Roman"/>
          <w:sz w:val="26"/>
          <w:szCs w:val="26"/>
        </w:rPr>
        <w:t>is aware of only four utilities that maintain a payment-troubled eligibility criterion for their CAPs: Columbia Gas,</w:t>
      </w:r>
      <w:r w:rsidRPr="00C80D3A">
        <w:rPr>
          <w:rFonts w:ascii="Times New Roman" w:hAnsi="Times New Roman" w:cs="Times New Roman"/>
          <w:sz w:val="26"/>
          <w:szCs w:val="26"/>
          <w:vertAlign w:val="superscript"/>
        </w:rPr>
        <w:footnoteReference w:id="74"/>
      </w:r>
      <w:r w:rsidRPr="00C80D3A">
        <w:rPr>
          <w:rFonts w:ascii="Times New Roman" w:hAnsi="Times New Roman" w:cs="Times New Roman"/>
          <w:sz w:val="26"/>
          <w:szCs w:val="26"/>
        </w:rPr>
        <w:t xml:space="preserve"> NFG,</w:t>
      </w:r>
      <w:r w:rsidRPr="00C80D3A">
        <w:rPr>
          <w:rFonts w:ascii="Times New Roman" w:hAnsi="Times New Roman" w:cs="Times New Roman"/>
          <w:sz w:val="26"/>
          <w:szCs w:val="26"/>
          <w:vertAlign w:val="superscript"/>
        </w:rPr>
        <w:footnoteReference w:id="75"/>
      </w:r>
      <w:r w:rsidRPr="00C80D3A">
        <w:rPr>
          <w:rFonts w:ascii="Times New Roman" w:hAnsi="Times New Roman" w:cs="Times New Roman"/>
          <w:sz w:val="26"/>
          <w:szCs w:val="26"/>
        </w:rPr>
        <w:t xml:space="preserve"> Peoples Natural Gas, and Peoples-Equitable.</w:t>
      </w:r>
      <w:r w:rsidRPr="00C80D3A">
        <w:rPr>
          <w:rFonts w:ascii="Times New Roman" w:hAnsi="Times New Roman" w:cs="Times New Roman"/>
          <w:sz w:val="26"/>
          <w:szCs w:val="26"/>
          <w:vertAlign w:val="superscript"/>
        </w:rPr>
        <w:footnoteReference w:id="76"/>
      </w:r>
      <w:r w:rsidRPr="00C80D3A">
        <w:rPr>
          <w:rFonts w:ascii="Times New Roman" w:hAnsi="Times New Roman" w:cs="Times New Roman"/>
          <w:sz w:val="26"/>
          <w:szCs w:val="26"/>
          <w:vertAlign w:val="superscript"/>
        </w:rPr>
        <w:t xml:space="preserve">, </w:t>
      </w:r>
      <w:r w:rsidRPr="00C80D3A">
        <w:rPr>
          <w:rFonts w:ascii="Times New Roman" w:hAnsi="Times New Roman" w:cs="Times New Roman"/>
          <w:sz w:val="26"/>
          <w:szCs w:val="26"/>
          <w:vertAlign w:val="superscript"/>
        </w:rPr>
        <w:footnoteReference w:id="77"/>
      </w:r>
    </w:p>
    <w:p w14:paraId="502C7257" w14:textId="1DF91E17" w:rsidR="00506216" w:rsidRPr="00C80D3A" w:rsidRDefault="00506216" w:rsidP="00315DBC">
      <w:pPr>
        <w:spacing w:after="0" w:line="360" w:lineRule="auto"/>
        <w:contextualSpacing/>
        <w:rPr>
          <w:rFonts w:ascii="Times New Roman" w:hAnsi="Times New Roman" w:cs="Times New Roman"/>
          <w:sz w:val="26"/>
          <w:szCs w:val="26"/>
        </w:rPr>
      </w:pPr>
    </w:p>
    <w:p w14:paraId="542B4162" w14:textId="531D6F8D"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During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proceeding, many stakeholders recommended eliminat</w:t>
      </w:r>
      <w:r w:rsidR="00092388" w:rsidRPr="00C80D3A">
        <w:rPr>
          <w:rFonts w:ascii="Times New Roman" w:hAnsi="Times New Roman" w:cs="Times New Roman"/>
          <w:sz w:val="26"/>
          <w:szCs w:val="26"/>
        </w:rPr>
        <w:t>ing</w:t>
      </w:r>
      <w:r w:rsidRPr="00C80D3A">
        <w:rPr>
          <w:rFonts w:ascii="Times New Roman" w:hAnsi="Times New Roman" w:cs="Times New Roman"/>
          <w:sz w:val="26"/>
          <w:szCs w:val="26"/>
        </w:rPr>
        <w:t xml:space="preserve"> the payment-troubled criterion and allow</w:t>
      </w:r>
      <w:r w:rsidR="00453F6A" w:rsidRPr="00C80D3A">
        <w:rPr>
          <w:rFonts w:ascii="Times New Roman" w:hAnsi="Times New Roman" w:cs="Times New Roman"/>
          <w:sz w:val="26"/>
          <w:szCs w:val="26"/>
        </w:rPr>
        <w:t>ing</w:t>
      </w:r>
      <w:r w:rsidRPr="00C80D3A">
        <w:rPr>
          <w:rFonts w:ascii="Times New Roman" w:hAnsi="Times New Roman" w:cs="Times New Roman"/>
          <w:sz w:val="26"/>
          <w:szCs w:val="26"/>
        </w:rPr>
        <w:t xml:space="preserve"> all income-eligible customers to enroll in CAPs. </w:t>
      </w:r>
    </w:p>
    <w:p w14:paraId="1A782BEA" w14:textId="77777777" w:rsidR="00506216" w:rsidRPr="00C80D3A" w:rsidRDefault="00506216" w:rsidP="00315DBC">
      <w:pPr>
        <w:spacing w:after="0" w:line="360" w:lineRule="auto"/>
        <w:contextualSpacing/>
        <w:rPr>
          <w:rFonts w:ascii="Times New Roman" w:hAnsi="Times New Roman" w:cs="Times New Roman"/>
          <w:sz w:val="26"/>
          <w:szCs w:val="26"/>
        </w:rPr>
      </w:pPr>
    </w:p>
    <w:p w14:paraId="0F396549" w14:textId="0706AE5C" w:rsidR="00506216" w:rsidRPr="00C80D3A" w:rsidRDefault="00506216" w:rsidP="00EC2691">
      <w:pPr>
        <w:keepNext/>
        <w:spacing w:after="0" w:line="240" w:lineRule="auto"/>
        <w:contextualSpacing/>
        <w:rPr>
          <w:rFonts w:ascii="Times New Roman" w:hAnsi="Times New Roman" w:cs="Times New Roman"/>
          <w:sz w:val="26"/>
          <w:szCs w:val="26"/>
        </w:rPr>
      </w:pPr>
      <w:r w:rsidRPr="00C80D3A">
        <w:rPr>
          <w:rFonts w:ascii="Times New Roman" w:hAnsi="Times New Roman" w:cs="Times New Roman"/>
          <w:i/>
          <w:sz w:val="26"/>
          <w:szCs w:val="26"/>
        </w:rPr>
        <w:t>Review of Universal Service and Energy Conservation Programs, Docket No. M</w:t>
      </w:r>
      <w:r w:rsidR="00EC2691" w:rsidRPr="00C80D3A">
        <w:rPr>
          <w:rFonts w:ascii="Times New Roman" w:hAnsi="Times New Roman" w:cs="Times New Roman"/>
          <w:i/>
          <w:sz w:val="26"/>
          <w:szCs w:val="26"/>
        </w:rPr>
        <w:t>­</w:t>
      </w:r>
      <w:r w:rsidRPr="00C80D3A">
        <w:rPr>
          <w:rFonts w:ascii="Times New Roman" w:hAnsi="Times New Roman" w:cs="Times New Roman"/>
          <w:i/>
          <w:sz w:val="26"/>
          <w:szCs w:val="26"/>
        </w:rPr>
        <w:t>2017</w:t>
      </w:r>
      <w:r w:rsidR="00EC2691" w:rsidRPr="00C80D3A">
        <w:rPr>
          <w:rFonts w:ascii="Times New Roman" w:hAnsi="Times New Roman" w:cs="Times New Roman"/>
          <w:i/>
          <w:sz w:val="26"/>
          <w:szCs w:val="26"/>
        </w:rPr>
        <w:t>­</w:t>
      </w:r>
      <w:r w:rsidRPr="00C80D3A">
        <w:rPr>
          <w:rFonts w:ascii="Times New Roman" w:hAnsi="Times New Roman" w:cs="Times New Roman"/>
          <w:i/>
          <w:sz w:val="26"/>
          <w:szCs w:val="26"/>
        </w:rPr>
        <w:t>2596907</w:t>
      </w:r>
    </w:p>
    <w:p w14:paraId="27EF5A9E" w14:textId="77777777" w:rsidR="00506216" w:rsidRPr="00C80D3A" w:rsidRDefault="00506216" w:rsidP="00F04703">
      <w:pPr>
        <w:keepNext/>
        <w:spacing w:after="0" w:line="240" w:lineRule="auto"/>
        <w:contextualSpacing/>
        <w:rPr>
          <w:rFonts w:ascii="Times New Roman" w:hAnsi="Times New Roman" w:cs="Times New Roman"/>
          <w:sz w:val="26"/>
          <w:szCs w:val="26"/>
        </w:rPr>
      </w:pPr>
    </w:p>
    <w:p w14:paraId="2474229C" w14:textId="77777777" w:rsidR="00506216" w:rsidRPr="00C80D3A" w:rsidRDefault="00506216" w:rsidP="00EC2691">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of Parties</w:t>
      </w:r>
    </w:p>
    <w:p w14:paraId="11C99BCB" w14:textId="442FECB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Low Income Advocates maintain that all customers with household incomes less than 150% of the FPIG are payment</w:t>
      </w:r>
      <w:r w:rsidR="00F01459" w:rsidRPr="00C80D3A">
        <w:rPr>
          <w:rFonts w:ascii="Times New Roman" w:hAnsi="Times New Roman" w:cs="Times New Roman"/>
          <w:sz w:val="26"/>
          <w:szCs w:val="26"/>
        </w:rPr>
        <w:t>-</w:t>
      </w:r>
      <w:r w:rsidRPr="00C80D3A">
        <w:rPr>
          <w:rFonts w:ascii="Times New Roman" w:hAnsi="Times New Roman" w:cs="Times New Roman"/>
          <w:sz w:val="26"/>
          <w:szCs w:val="26"/>
        </w:rPr>
        <w:t>troubled.  Low Income Advocate</w:t>
      </w:r>
      <w:r w:rsidR="007972F0" w:rsidRPr="00C80D3A">
        <w:rPr>
          <w:rFonts w:ascii="Times New Roman" w:hAnsi="Times New Roman" w:cs="Times New Roman"/>
          <w:sz w:val="26"/>
          <w:szCs w:val="26"/>
        </w:rPr>
        <w:t>s</w:t>
      </w:r>
      <w:r w:rsidRPr="00C80D3A">
        <w:rPr>
          <w:rFonts w:ascii="Times New Roman" w:hAnsi="Times New Roman" w:cs="Times New Roman"/>
          <w:sz w:val="26"/>
          <w:szCs w:val="26"/>
        </w:rPr>
        <w:t xml:space="preserve"> Comments at</w:t>
      </w:r>
      <w:r w:rsidR="00F01459" w:rsidRPr="00C80D3A">
        <w:rPr>
          <w:rFonts w:ascii="Times New Roman" w:hAnsi="Times New Roman" w:cs="Times New Roman"/>
          <w:sz w:val="26"/>
          <w:szCs w:val="26"/>
        </w:rPr>
        <w:t> </w:t>
      </w:r>
      <w:r w:rsidRPr="00C80D3A">
        <w:rPr>
          <w:rFonts w:ascii="Times New Roman" w:hAnsi="Times New Roman" w:cs="Times New Roman"/>
          <w:sz w:val="26"/>
          <w:szCs w:val="26"/>
        </w:rPr>
        <w:t xml:space="preserve">34.  The Advocates </w:t>
      </w:r>
      <w:r w:rsidR="005A2FF0" w:rsidRPr="00C80D3A">
        <w:rPr>
          <w:rFonts w:ascii="Times New Roman" w:hAnsi="Times New Roman" w:cs="Times New Roman"/>
          <w:sz w:val="26"/>
          <w:szCs w:val="26"/>
        </w:rPr>
        <w:t xml:space="preserve">opine </w:t>
      </w:r>
      <w:r w:rsidRPr="00C80D3A">
        <w:rPr>
          <w:rFonts w:ascii="Times New Roman" w:hAnsi="Times New Roman" w:cs="Times New Roman"/>
          <w:sz w:val="26"/>
          <w:szCs w:val="26"/>
        </w:rPr>
        <w:t xml:space="preserve">that allowing all low-income customers to enroll in a CAP before accruing arrears will likely significantly improve payment behaviors – reducing debt management, collections, and uncollectible costs.  The Advocates contend that improved affordability significantly improves payment behavior, noting that when a household receives an affordable bill, </w:t>
      </w:r>
      <w:r w:rsidR="00971FE8" w:rsidRPr="00C80D3A">
        <w:rPr>
          <w:rFonts w:ascii="Times New Roman" w:hAnsi="Times New Roman" w:cs="Times New Roman"/>
          <w:sz w:val="26"/>
          <w:szCs w:val="26"/>
        </w:rPr>
        <w:t>i</w:t>
      </w:r>
      <w:r w:rsidRPr="00C80D3A">
        <w:rPr>
          <w:rFonts w:ascii="Times New Roman" w:hAnsi="Times New Roman" w:cs="Times New Roman"/>
          <w:sz w:val="26"/>
          <w:szCs w:val="26"/>
        </w:rPr>
        <w:t xml:space="preserve">t </w:t>
      </w:r>
      <w:r w:rsidR="00971FE8" w:rsidRPr="00C80D3A">
        <w:rPr>
          <w:rFonts w:ascii="Times New Roman" w:hAnsi="Times New Roman" w:cs="Times New Roman"/>
          <w:sz w:val="26"/>
          <w:szCs w:val="26"/>
        </w:rPr>
        <w:t xml:space="preserve">is </w:t>
      </w:r>
      <w:r w:rsidRPr="00C80D3A">
        <w:rPr>
          <w:rFonts w:ascii="Times New Roman" w:hAnsi="Times New Roman" w:cs="Times New Roman"/>
          <w:sz w:val="26"/>
          <w:szCs w:val="26"/>
        </w:rPr>
        <w:t>far more likely to pay the bill.  Low Income Advocates Reply Comments at 7</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 xml:space="preserve">8. </w:t>
      </w:r>
    </w:p>
    <w:p w14:paraId="7E6A648D" w14:textId="77777777" w:rsidR="00506216" w:rsidRPr="00C80D3A" w:rsidRDefault="00506216" w:rsidP="00315DBC">
      <w:pPr>
        <w:spacing w:after="0" w:line="360" w:lineRule="auto"/>
        <w:contextualSpacing/>
        <w:rPr>
          <w:rFonts w:ascii="Times New Roman" w:hAnsi="Times New Roman" w:cs="Times New Roman"/>
          <w:sz w:val="26"/>
          <w:szCs w:val="26"/>
        </w:rPr>
      </w:pPr>
    </w:p>
    <w:p w14:paraId="52A08310" w14:textId="5A731D79"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OCA recommends that when a confirmed low-income customer misses a monthly utility bill, th</w:t>
      </w:r>
      <w:r w:rsidR="000B743B" w:rsidRPr="00C80D3A">
        <w:rPr>
          <w:rFonts w:ascii="Times New Roman" w:hAnsi="Times New Roman" w:cs="Times New Roman"/>
          <w:sz w:val="26"/>
          <w:szCs w:val="26"/>
        </w:rPr>
        <w:t>e</w:t>
      </w:r>
      <w:r w:rsidRPr="00C80D3A">
        <w:rPr>
          <w:rFonts w:ascii="Times New Roman" w:hAnsi="Times New Roman" w:cs="Times New Roman"/>
          <w:sz w:val="26"/>
          <w:szCs w:val="26"/>
        </w:rPr>
        <w:t xml:space="preserve"> utility should initiate a process to enroll that customer in CAP.  Utilities should not wait until a customer defaults on a payment agreement.  OCA Comments at</w:t>
      </w:r>
      <w:r w:rsidR="009B7BD4">
        <w:rPr>
          <w:rFonts w:ascii="Times New Roman" w:hAnsi="Times New Roman" w:cs="Times New Roman"/>
          <w:sz w:val="26"/>
          <w:szCs w:val="26"/>
        </w:rPr>
        <w:t> </w:t>
      </w:r>
      <w:r w:rsidRPr="00C80D3A">
        <w:rPr>
          <w:rFonts w:ascii="Times New Roman" w:hAnsi="Times New Roman" w:cs="Times New Roman"/>
          <w:sz w:val="26"/>
          <w:szCs w:val="26"/>
        </w:rPr>
        <w:t>9</w:t>
      </w:r>
      <w:r w:rsidR="009B7BD4">
        <w:rPr>
          <w:rFonts w:ascii="Times New Roman" w:hAnsi="Times New Roman" w:cs="Times New Roman"/>
          <w:sz w:val="26"/>
          <w:szCs w:val="26"/>
        </w:rPr>
        <w:noBreakHyphen/>
      </w:r>
      <w:r w:rsidRPr="00C80D3A">
        <w:rPr>
          <w:rFonts w:ascii="Times New Roman" w:hAnsi="Times New Roman" w:cs="Times New Roman"/>
          <w:sz w:val="26"/>
          <w:szCs w:val="26"/>
        </w:rPr>
        <w:t xml:space="preserve">10. </w:t>
      </w:r>
    </w:p>
    <w:p w14:paraId="72D0D0CE" w14:textId="77777777" w:rsidR="00506216" w:rsidRPr="00C80D3A" w:rsidRDefault="00506216" w:rsidP="00315DBC">
      <w:pPr>
        <w:spacing w:after="0" w:line="360" w:lineRule="auto"/>
        <w:contextualSpacing/>
        <w:rPr>
          <w:rFonts w:ascii="Times New Roman" w:hAnsi="Times New Roman" w:cs="Times New Roman"/>
          <w:sz w:val="26"/>
          <w:szCs w:val="26"/>
        </w:rPr>
      </w:pPr>
    </w:p>
    <w:p w14:paraId="4FE7606D" w14:textId="5405FA1E"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Duquesne and Peoples contend there is no need for a payment-troubled requirement for CAP eligibility.  Duquesne Reply Comments at 17</w:t>
      </w:r>
      <w:r w:rsidR="007B1101" w:rsidRPr="00C80D3A">
        <w:rPr>
          <w:rFonts w:ascii="Times New Roman" w:hAnsi="Times New Roman" w:cs="Times New Roman"/>
          <w:sz w:val="26"/>
          <w:szCs w:val="26"/>
        </w:rPr>
        <w:t>;</w:t>
      </w:r>
      <w:r w:rsidRPr="00C80D3A">
        <w:rPr>
          <w:rFonts w:ascii="Times New Roman" w:hAnsi="Times New Roman" w:cs="Times New Roman"/>
          <w:sz w:val="26"/>
          <w:szCs w:val="26"/>
        </w:rPr>
        <w:t xml:space="preserve"> Peoples Reply Comments at 3.</w:t>
      </w:r>
    </w:p>
    <w:p w14:paraId="7A6B1D85" w14:textId="77777777" w:rsidR="00506216" w:rsidRPr="00C80D3A" w:rsidRDefault="00506216" w:rsidP="00315DBC">
      <w:pPr>
        <w:spacing w:after="0" w:line="360" w:lineRule="auto"/>
        <w:contextualSpacing/>
        <w:rPr>
          <w:rFonts w:ascii="Times New Roman" w:hAnsi="Times New Roman" w:cs="Times New Roman"/>
          <w:sz w:val="26"/>
          <w:szCs w:val="26"/>
        </w:rPr>
      </w:pPr>
    </w:p>
    <w:p w14:paraId="7A58750B" w14:textId="243E6169"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PPL asserts that a payment-troubled requirement is a barrier to CAP enrollment.  It agrees with the Low Income Advocates that all income-qualified customers should be eligible for CAP.  PPL Reply Comments at 3.</w:t>
      </w:r>
    </w:p>
    <w:p w14:paraId="2E8F1F68" w14:textId="77777777" w:rsidR="00506216" w:rsidRPr="00C80D3A" w:rsidRDefault="00506216" w:rsidP="00315DBC">
      <w:pPr>
        <w:spacing w:after="0" w:line="360" w:lineRule="auto"/>
        <w:contextualSpacing/>
        <w:rPr>
          <w:rFonts w:ascii="Times New Roman" w:hAnsi="Times New Roman" w:cs="Times New Roman"/>
          <w:sz w:val="26"/>
          <w:szCs w:val="26"/>
        </w:rPr>
      </w:pPr>
    </w:p>
    <w:p w14:paraId="43B4AEB9" w14:textId="4B0D0F48"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EAP agrees that CAP eligibility could be redefined to include those who meet the program</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income guidelines in an effort to avoid increasing arrearages.  However, it does not support automatically enrolling all low-income customers into a CAP because that assistance may not be needed by all low-income customers and </w:t>
      </w:r>
      <w:r w:rsidR="00D010CE" w:rsidRPr="00C80D3A">
        <w:rPr>
          <w:rFonts w:ascii="Times New Roman" w:hAnsi="Times New Roman" w:cs="Times New Roman"/>
          <w:sz w:val="26"/>
          <w:szCs w:val="26"/>
        </w:rPr>
        <w:t xml:space="preserve">because </w:t>
      </w:r>
      <w:r w:rsidRPr="00C80D3A">
        <w:rPr>
          <w:rFonts w:ascii="Times New Roman" w:hAnsi="Times New Roman" w:cs="Times New Roman"/>
          <w:sz w:val="26"/>
          <w:szCs w:val="26"/>
        </w:rPr>
        <w:t>the increased costs to the program would further burden residential ratepayers.  EAP Reply Comments at 5</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 xml:space="preserve">6. </w:t>
      </w:r>
    </w:p>
    <w:p w14:paraId="059FD62A" w14:textId="77777777" w:rsidR="00506216" w:rsidRPr="00C80D3A" w:rsidRDefault="00506216" w:rsidP="00315DBC">
      <w:pPr>
        <w:spacing w:after="0" w:line="360" w:lineRule="auto"/>
        <w:contextualSpacing/>
        <w:rPr>
          <w:rFonts w:ascii="Times New Roman" w:hAnsi="Times New Roman" w:cs="Times New Roman"/>
          <w:sz w:val="26"/>
          <w:szCs w:val="26"/>
        </w:rPr>
      </w:pPr>
    </w:p>
    <w:p w14:paraId="5FE7AC66" w14:textId="43FAC869"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Columbia proposes that CAPs should be restricted to income-eligible customers who demonstrate they cannot afford their utility bills.  Columbia recommends requiring customers to apply for LIHEAP and Hardship Funds before enrolling in CAP.  </w:t>
      </w:r>
      <w:r w:rsidR="00643EE6" w:rsidRPr="00C80D3A">
        <w:rPr>
          <w:rFonts w:ascii="Times New Roman" w:hAnsi="Times New Roman" w:cs="Times New Roman"/>
          <w:sz w:val="26"/>
          <w:szCs w:val="26"/>
        </w:rPr>
        <w:t>According to Columbia, s</w:t>
      </w:r>
      <w:r w:rsidRPr="00C80D3A">
        <w:rPr>
          <w:rFonts w:ascii="Times New Roman" w:hAnsi="Times New Roman" w:cs="Times New Roman"/>
          <w:sz w:val="26"/>
          <w:szCs w:val="26"/>
        </w:rPr>
        <w:t xml:space="preserve">ometimes, either Hardship Fund grants or LIHEAP grants may resolve a crisis for a low-income customer, making CAP unnecessary.  This could help keep CAP costs down.  Columbia Comments at 3.   </w:t>
      </w:r>
    </w:p>
    <w:p w14:paraId="55CDA629" w14:textId="77777777" w:rsidR="00506216" w:rsidRPr="00C80D3A" w:rsidRDefault="00506216" w:rsidP="00315DBC">
      <w:pPr>
        <w:spacing w:after="0" w:line="360" w:lineRule="auto"/>
        <w:contextualSpacing/>
        <w:rPr>
          <w:rFonts w:ascii="Times New Roman" w:hAnsi="Times New Roman" w:cs="Times New Roman"/>
          <w:sz w:val="26"/>
          <w:szCs w:val="26"/>
        </w:rPr>
      </w:pPr>
    </w:p>
    <w:p w14:paraId="4D6C5C51" w14:textId="5E4A3175"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PGW does not currently require customers to be payment</w:t>
      </w:r>
      <w:r w:rsidR="00011D91" w:rsidRPr="00C80D3A">
        <w:rPr>
          <w:rFonts w:ascii="Times New Roman" w:hAnsi="Times New Roman" w:cs="Times New Roman"/>
          <w:sz w:val="26"/>
          <w:szCs w:val="26"/>
        </w:rPr>
        <w:t>-</w:t>
      </w:r>
      <w:r w:rsidRPr="00C80D3A">
        <w:rPr>
          <w:rFonts w:ascii="Times New Roman" w:hAnsi="Times New Roman" w:cs="Times New Roman"/>
          <w:sz w:val="26"/>
          <w:szCs w:val="26"/>
        </w:rPr>
        <w:t xml:space="preserve">troubled to qualify for its CAP but is willing to consider adding this requirement.  PGW Reply Comments at 3. </w:t>
      </w:r>
    </w:p>
    <w:p w14:paraId="511E7F11" w14:textId="77777777" w:rsidR="00506216" w:rsidRPr="00C80D3A" w:rsidRDefault="00506216" w:rsidP="00315DBC">
      <w:pPr>
        <w:spacing w:after="0" w:line="360" w:lineRule="auto"/>
        <w:contextualSpacing/>
        <w:rPr>
          <w:rFonts w:ascii="Times New Roman" w:hAnsi="Times New Roman" w:cs="Times New Roman"/>
          <w:sz w:val="26"/>
          <w:szCs w:val="26"/>
        </w:rPr>
      </w:pPr>
    </w:p>
    <w:p w14:paraId="19FDA1BE" w14:textId="77777777" w:rsidR="00506216" w:rsidRPr="00C80D3A" w:rsidRDefault="00506216" w:rsidP="00F04703">
      <w:pPr>
        <w:keepNext/>
        <w:spacing w:after="0" w:line="240" w:lineRule="auto"/>
        <w:contextualSpacing/>
        <w:rPr>
          <w:rFonts w:ascii="Times New Roman" w:hAnsi="Times New Roman" w:cs="Times New Roman"/>
          <w:i/>
          <w:sz w:val="26"/>
          <w:szCs w:val="26"/>
        </w:rPr>
      </w:pPr>
      <w:r w:rsidRPr="00C80D3A">
        <w:rPr>
          <w:rFonts w:ascii="Times New Roman" w:hAnsi="Times New Roman" w:cs="Times New Roman"/>
          <w:i/>
          <w:sz w:val="26"/>
          <w:szCs w:val="26"/>
        </w:rPr>
        <w:t>Energy Affordability Report and January 2019 Order, Docket No. M-2017-2587711</w:t>
      </w:r>
    </w:p>
    <w:p w14:paraId="3232C573" w14:textId="77777777" w:rsidR="00506216" w:rsidRPr="00C80D3A" w:rsidRDefault="00506216" w:rsidP="00F04703">
      <w:pPr>
        <w:keepNext/>
        <w:spacing w:after="0" w:line="240" w:lineRule="auto"/>
        <w:contextualSpacing/>
        <w:rPr>
          <w:rFonts w:ascii="Times New Roman" w:hAnsi="Times New Roman" w:cs="Times New Roman"/>
          <w:sz w:val="26"/>
          <w:szCs w:val="26"/>
        </w:rPr>
      </w:pPr>
    </w:p>
    <w:p w14:paraId="60CD94EE" w14:textId="004F0F4F"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The </w:t>
      </w:r>
      <w:r w:rsidRPr="00C80D3A">
        <w:rPr>
          <w:rFonts w:ascii="Times New Roman" w:hAnsi="Times New Roman" w:cs="Times New Roman"/>
          <w:i/>
          <w:sz w:val="26"/>
          <w:szCs w:val="26"/>
        </w:rPr>
        <w:t>Energy Affordability</w:t>
      </w:r>
      <w:r w:rsidRPr="00C80D3A">
        <w:rPr>
          <w:rFonts w:ascii="Times New Roman" w:hAnsi="Times New Roman" w:cs="Times New Roman"/>
          <w:sz w:val="26"/>
          <w:szCs w:val="26"/>
        </w:rPr>
        <w:t xml:space="preserve"> Report noted that utilities that restricted CAP enrollment to payment</w:t>
      </w:r>
      <w:r w:rsidR="00011D91" w:rsidRPr="00C80D3A">
        <w:rPr>
          <w:rFonts w:ascii="Times New Roman" w:hAnsi="Times New Roman" w:cs="Times New Roman"/>
          <w:sz w:val="26"/>
          <w:szCs w:val="26"/>
        </w:rPr>
        <w:noBreakHyphen/>
      </w:r>
      <w:r w:rsidRPr="00C80D3A">
        <w:rPr>
          <w:rFonts w:ascii="Times New Roman" w:hAnsi="Times New Roman" w:cs="Times New Roman"/>
          <w:sz w:val="26"/>
          <w:szCs w:val="26"/>
        </w:rPr>
        <w:t xml:space="preserve">troubled customers had higher average PPA balances than utilities whose CAPs were not so restricted.  </w:t>
      </w:r>
      <w:r w:rsidR="00951069" w:rsidRPr="00C80D3A">
        <w:rPr>
          <w:rFonts w:ascii="Times New Roman" w:eastAsia="Calibri" w:hAnsi="Times New Roman" w:cs="Times New Roman"/>
          <w:sz w:val="26"/>
          <w:szCs w:val="26"/>
        </w:rPr>
        <w:t xml:space="preserve">Energy Affordability </w:t>
      </w:r>
      <w:r w:rsidRPr="00C80D3A">
        <w:rPr>
          <w:rFonts w:ascii="Times New Roman" w:hAnsi="Times New Roman" w:cs="Times New Roman"/>
          <w:sz w:val="26"/>
          <w:szCs w:val="26"/>
        </w:rPr>
        <w:t xml:space="preserve">Report at </w:t>
      </w:r>
      <w:r w:rsidR="00767B27" w:rsidRPr="00C80D3A">
        <w:rPr>
          <w:rFonts w:ascii="Times New Roman" w:hAnsi="Times New Roman" w:cs="Times New Roman"/>
          <w:sz w:val="26"/>
          <w:szCs w:val="26"/>
        </w:rPr>
        <w:t>50</w:t>
      </w:r>
      <w:r w:rsidRPr="00C80D3A">
        <w:rPr>
          <w:rFonts w:ascii="Times New Roman" w:hAnsi="Times New Roman" w:cs="Times New Roman"/>
          <w:sz w:val="26"/>
          <w:szCs w:val="26"/>
        </w:rPr>
        <w:t>.  Further, customers who enroll in payment assistance programs with higher PPA balances tend to be less successful than customers who enroll before amassing high PPA balances.</w:t>
      </w:r>
      <w:r w:rsidRPr="00C80D3A">
        <w:rPr>
          <w:rFonts w:ascii="Times New Roman" w:hAnsi="Times New Roman" w:cs="Times New Roman"/>
          <w:sz w:val="26"/>
          <w:szCs w:val="26"/>
          <w:vertAlign w:val="superscript"/>
        </w:rPr>
        <w:footnoteReference w:id="78"/>
      </w:r>
      <w:r w:rsidRPr="00C80D3A">
        <w:rPr>
          <w:rFonts w:ascii="Times New Roman" w:hAnsi="Times New Roman" w:cs="Times New Roman"/>
          <w:sz w:val="26"/>
          <w:szCs w:val="26"/>
        </w:rPr>
        <w:t xml:space="preserve">  </w:t>
      </w:r>
    </w:p>
    <w:p w14:paraId="49D76B97" w14:textId="77777777" w:rsidR="00506216" w:rsidRPr="00C80D3A" w:rsidRDefault="00506216" w:rsidP="00315DBC">
      <w:pPr>
        <w:spacing w:after="0" w:line="360" w:lineRule="auto"/>
        <w:contextualSpacing/>
        <w:rPr>
          <w:rFonts w:ascii="Times New Roman" w:hAnsi="Times New Roman" w:cs="Times New Roman"/>
          <w:sz w:val="26"/>
          <w:szCs w:val="26"/>
        </w:rPr>
      </w:pPr>
    </w:p>
    <w:p w14:paraId="684766BB" w14:textId="356C1C09" w:rsidR="00506216" w:rsidRPr="00C80D3A" w:rsidRDefault="00506216" w:rsidP="00886E0D">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In </w:t>
      </w:r>
      <w:r w:rsidR="00846CF5" w:rsidRPr="00C80D3A">
        <w:rPr>
          <w:rFonts w:ascii="Times New Roman" w:hAnsi="Times New Roman" w:cs="Times New Roman"/>
          <w:sz w:val="26"/>
          <w:szCs w:val="26"/>
        </w:rPr>
        <w:t>our</w:t>
      </w:r>
      <w:r w:rsidRPr="00C80D3A">
        <w:rPr>
          <w:rFonts w:ascii="Times New Roman" w:hAnsi="Times New Roman" w:cs="Times New Roman"/>
          <w:sz w:val="26"/>
          <w:szCs w:val="26"/>
        </w:rPr>
        <w:t xml:space="preserve"> January 2019 Order, </w:t>
      </w:r>
      <w:r w:rsidR="00B679BC" w:rsidRPr="00C80D3A">
        <w:rPr>
          <w:rFonts w:ascii="Times New Roman" w:hAnsi="Times New Roman" w:cs="Times New Roman"/>
          <w:sz w:val="26"/>
          <w:szCs w:val="26"/>
        </w:rPr>
        <w:t>we</w:t>
      </w:r>
      <w:r w:rsidRPr="00C80D3A">
        <w:rPr>
          <w:rFonts w:ascii="Times New Roman" w:hAnsi="Times New Roman" w:cs="Times New Roman"/>
          <w:sz w:val="26"/>
          <w:szCs w:val="26"/>
        </w:rPr>
        <w:t xml:space="preserve"> expressed concern that low-income customers may develop poor payment habits before they meet a utility</w:t>
      </w:r>
      <w:r w:rsidR="001529C6">
        <w:rPr>
          <w:rFonts w:ascii="Times New Roman" w:hAnsi="Times New Roman" w:cs="Times New Roman"/>
          <w:sz w:val="26"/>
          <w:szCs w:val="26"/>
        </w:rPr>
        <w:t>’</w:t>
      </w:r>
      <w:r w:rsidRPr="00C80D3A">
        <w:rPr>
          <w:rFonts w:ascii="Times New Roman" w:hAnsi="Times New Roman" w:cs="Times New Roman"/>
          <w:sz w:val="26"/>
          <w:szCs w:val="26"/>
        </w:rPr>
        <w:t>s definition of payment</w:t>
      </w:r>
      <w:r w:rsidR="00846CF5" w:rsidRPr="00C80D3A">
        <w:rPr>
          <w:rFonts w:ascii="Times New Roman" w:hAnsi="Times New Roman" w:cs="Times New Roman"/>
          <w:sz w:val="26"/>
          <w:szCs w:val="26"/>
        </w:rPr>
        <w:t>-</w:t>
      </w:r>
      <w:r w:rsidRPr="00C80D3A">
        <w:rPr>
          <w:rFonts w:ascii="Times New Roman" w:hAnsi="Times New Roman" w:cs="Times New Roman"/>
          <w:sz w:val="26"/>
          <w:szCs w:val="26"/>
        </w:rPr>
        <w:t xml:space="preserve">troubled and are finally </w:t>
      </w:r>
      <w:r w:rsidR="00846CF5" w:rsidRPr="00C80D3A">
        <w:rPr>
          <w:rFonts w:ascii="Times New Roman" w:hAnsi="Times New Roman" w:cs="Times New Roman"/>
          <w:sz w:val="26"/>
          <w:szCs w:val="26"/>
        </w:rPr>
        <w:t xml:space="preserve">eligible </w:t>
      </w:r>
      <w:r w:rsidRPr="00C80D3A">
        <w:rPr>
          <w:rFonts w:ascii="Times New Roman" w:hAnsi="Times New Roman" w:cs="Times New Roman"/>
          <w:sz w:val="26"/>
          <w:szCs w:val="26"/>
        </w:rPr>
        <w:t xml:space="preserve">to enroll in a CAP.  Prior to considering eliminating the payment-troubled requirement from the CAP Policy Statement, </w:t>
      </w:r>
      <w:r w:rsidR="001F5D19" w:rsidRPr="00C80D3A">
        <w:rPr>
          <w:rFonts w:ascii="Times New Roman" w:hAnsi="Times New Roman" w:cs="Times New Roman"/>
          <w:sz w:val="26"/>
          <w:szCs w:val="26"/>
        </w:rPr>
        <w:t xml:space="preserve">however, </w:t>
      </w:r>
      <w:r w:rsidR="00B679BC" w:rsidRPr="00C80D3A">
        <w:rPr>
          <w:rFonts w:ascii="Times New Roman" w:hAnsi="Times New Roman" w:cs="Times New Roman"/>
          <w:sz w:val="26"/>
          <w:szCs w:val="26"/>
        </w:rPr>
        <w:t>we</w:t>
      </w:r>
      <w:r w:rsidRPr="00C80D3A">
        <w:rPr>
          <w:rFonts w:ascii="Times New Roman" w:hAnsi="Times New Roman" w:cs="Times New Roman"/>
          <w:sz w:val="26"/>
          <w:szCs w:val="26"/>
        </w:rPr>
        <w:t xml:space="preserve"> requested </w:t>
      </w:r>
      <w:r w:rsidR="001F5D19" w:rsidRPr="00C80D3A">
        <w:rPr>
          <w:rFonts w:ascii="Times New Roman" w:hAnsi="Times New Roman" w:cs="Times New Roman"/>
          <w:sz w:val="26"/>
          <w:szCs w:val="26"/>
        </w:rPr>
        <w:t xml:space="preserve">that the </w:t>
      </w:r>
      <w:r w:rsidRPr="00C80D3A">
        <w:rPr>
          <w:rFonts w:ascii="Times New Roman" w:hAnsi="Times New Roman" w:cs="Times New Roman"/>
          <w:sz w:val="26"/>
          <w:szCs w:val="26"/>
        </w:rPr>
        <w:t>EDCs and NGDCs identify the potential impact of this change.  January 2019 Order at</w:t>
      </w:r>
      <w:r w:rsidR="001F5D19" w:rsidRPr="00C80D3A">
        <w:rPr>
          <w:rFonts w:ascii="Times New Roman" w:hAnsi="Times New Roman" w:cs="Times New Roman"/>
          <w:sz w:val="26"/>
          <w:szCs w:val="26"/>
        </w:rPr>
        <w:t> </w:t>
      </w:r>
      <w:r w:rsidRPr="00C80D3A">
        <w:rPr>
          <w:rFonts w:ascii="Times New Roman" w:hAnsi="Times New Roman" w:cs="Times New Roman"/>
          <w:sz w:val="26"/>
          <w:szCs w:val="26"/>
        </w:rPr>
        <w:t>15</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16.</w:t>
      </w:r>
    </w:p>
    <w:p w14:paraId="163CFCD6" w14:textId="77777777" w:rsidR="00506216" w:rsidRPr="00C80D3A" w:rsidRDefault="00506216">
      <w:pPr>
        <w:spacing w:after="0" w:line="360" w:lineRule="auto"/>
        <w:contextualSpacing/>
        <w:rPr>
          <w:rFonts w:ascii="Times New Roman" w:hAnsi="Times New Roman" w:cs="Times New Roman"/>
          <w:sz w:val="26"/>
          <w:szCs w:val="26"/>
        </w:rPr>
      </w:pPr>
    </w:p>
    <w:p w14:paraId="3CBC5C9C" w14:textId="77777777" w:rsidR="00506216" w:rsidRPr="00C80D3A" w:rsidRDefault="00506216" w:rsidP="00EC2691">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from Parties</w:t>
      </w:r>
    </w:p>
    <w:p w14:paraId="383D8939" w14:textId="3E7D7AC2" w:rsidR="00506216" w:rsidRPr="00C80D3A" w:rsidRDefault="00506216">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If the payment-troubled requirement were eliminated, Columbia estimates 104,000 customers would be eligible for CAP.  Approximately 39,000 of this group have a budget bill that is less than 6% of their reported income and would not benefit from CAP.  If the remaining 65,000 low</w:t>
      </w:r>
      <w:r w:rsidRPr="00C80D3A">
        <w:rPr>
          <w:rFonts w:ascii="Times New Roman" w:hAnsi="Times New Roman" w:cs="Times New Roman"/>
          <w:sz w:val="26"/>
          <w:szCs w:val="26"/>
        </w:rPr>
        <w:noBreakHyphen/>
        <w:t>income customers enrolled in CAP on a staggered basis – based on current minimum payments and co-payment requirements – Columbia estimates that CAP costs would increase up to $63,131,468 by 2021.  Columbia estimates this change would increase costs to non-CAP residential customers up to $194.25 annually ($16.19 monthly) by 2021.  Columbia Gas Supplemental Information Request No. 3 at 1.</w:t>
      </w:r>
    </w:p>
    <w:p w14:paraId="2BC63084" w14:textId="77777777" w:rsidR="00506216" w:rsidRPr="00C80D3A" w:rsidRDefault="00506216" w:rsidP="00315DBC">
      <w:pPr>
        <w:spacing w:after="0" w:line="360" w:lineRule="auto"/>
        <w:contextualSpacing/>
        <w:rPr>
          <w:rFonts w:ascii="Times New Roman" w:hAnsi="Times New Roman" w:cs="Times New Roman"/>
          <w:sz w:val="26"/>
          <w:szCs w:val="26"/>
        </w:rPr>
      </w:pPr>
    </w:p>
    <w:p w14:paraId="6D400580" w14:textId="318D4484"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Table </w:t>
      </w:r>
      <w:r w:rsidR="00BE6EB3">
        <w:rPr>
          <w:rFonts w:ascii="Times New Roman" w:hAnsi="Times New Roman" w:cs="Times New Roman"/>
          <w:sz w:val="26"/>
          <w:szCs w:val="26"/>
        </w:rPr>
        <w:t xml:space="preserve">5 </w:t>
      </w:r>
      <w:r w:rsidRPr="00C80D3A">
        <w:rPr>
          <w:rFonts w:ascii="Times New Roman" w:hAnsi="Times New Roman" w:cs="Times New Roman"/>
          <w:sz w:val="26"/>
          <w:szCs w:val="26"/>
        </w:rPr>
        <w:t>below identifies Columbia</w:t>
      </w:r>
      <w:r w:rsidR="001529C6">
        <w:rPr>
          <w:rFonts w:ascii="Times New Roman" w:hAnsi="Times New Roman" w:cs="Times New Roman"/>
          <w:sz w:val="26"/>
          <w:szCs w:val="26"/>
        </w:rPr>
        <w:t>’</w:t>
      </w:r>
      <w:r w:rsidRPr="00C80D3A">
        <w:rPr>
          <w:rFonts w:ascii="Times New Roman" w:hAnsi="Times New Roman" w:cs="Times New Roman"/>
          <w:sz w:val="26"/>
          <w:szCs w:val="26"/>
        </w:rPr>
        <w:t>s estimated increases in CAP costs from 2017</w:t>
      </w:r>
      <w:r w:rsidR="00A45138" w:rsidRPr="00C80D3A">
        <w:rPr>
          <w:rFonts w:ascii="Times New Roman" w:hAnsi="Times New Roman" w:cs="Times New Roman"/>
          <w:sz w:val="26"/>
          <w:szCs w:val="26"/>
        </w:rPr>
        <w:t>­</w:t>
      </w:r>
      <w:r w:rsidRPr="00C80D3A">
        <w:rPr>
          <w:rFonts w:ascii="Times New Roman" w:hAnsi="Times New Roman" w:cs="Times New Roman"/>
          <w:sz w:val="26"/>
          <w:szCs w:val="26"/>
        </w:rPr>
        <w:t>2021 based on the elimination of the payment-troubled criterion:</w:t>
      </w:r>
    </w:p>
    <w:p w14:paraId="4C1FFFA1" w14:textId="77777777" w:rsidR="00506216" w:rsidRPr="00C80D3A" w:rsidRDefault="00506216" w:rsidP="00315DBC">
      <w:pPr>
        <w:spacing w:after="0" w:line="360" w:lineRule="auto"/>
        <w:contextualSpacing/>
        <w:rPr>
          <w:rFonts w:ascii="Times New Roman" w:hAnsi="Times New Roman" w:cs="Times New Roman"/>
          <w:sz w:val="26"/>
          <w:szCs w:val="26"/>
        </w:rPr>
      </w:pPr>
    </w:p>
    <w:p w14:paraId="029E8E59" w14:textId="4726E8F3" w:rsidR="00506216" w:rsidRPr="00C80D3A" w:rsidRDefault="00506216" w:rsidP="00BE0020">
      <w:pPr>
        <w:keepNext/>
        <w:spacing w:after="0" w:line="240" w:lineRule="auto"/>
        <w:contextualSpacing/>
        <w:jc w:val="center"/>
        <w:rPr>
          <w:rFonts w:ascii="Times New Roman" w:hAnsi="Times New Roman" w:cs="Times New Roman"/>
          <w:b/>
          <w:sz w:val="26"/>
          <w:szCs w:val="26"/>
        </w:rPr>
      </w:pPr>
      <w:r w:rsidRPr="00C80D3A">
        <w:rPr>
          <w:rFonts w:ascii="Times New Roman" w:hAnsi="Times New Roman" w:cs="Times New Roman"/>
          <w:b/>
          <w:sz w:val="26"/>
          <w:szCs w:val="26"/>
        </w:rPr>
        <w:t xml:space="preserve">Table </w:t>
      </w:r>
      <w:r w:rsidR="00BE6EB3">
        <w:rPr>
          <w:rFonts w:ascii="Times New Roman" w:hAnsi="Times New Roman" w:cs="Times New Roman"/>
          <w:b/>
          <w:sz w:val="26"/>
          <w:szCs w:val="26"/>
        </w:rPr>
        <w:t>5</w:t>
      </w:r>
    </w:p>
    <w:p w14:paraId="079CC024" w14:textId="27DCCCF0" w:rsidR="00E029DA" w:rsidRPr="00C80D3A" w:rsidRDefault="00506216" w:rsidP="00BE0020">
      <w:pPr>
        <w:keepNext/>
        <w:spacing w:after="0" w:line="240" w:lineRule="auto"/>
        <w:contextualSpacing/>
        <w:jc w:val="center"/>
        <w:rPr>
          <w:rFonts w:ascii="Times New Roman" w:hAnsi="Times New Roman" w:cs="Times New Roman"/>
          <w:b/>
          <w:sz w:val="26"/>
          <w:szCs w:val="26"/>
        </w:rPr>
      </w:pPr>
      <w:r w:rsidRPr="00C80D3A">
        <w:rPr>
          <w:rFonts w:ascii="Times New Roman" w:hAnsi="Times New Roman" w:cs="Times New Roman"/>
          <w:b/>
          <w:sz w:val="26"/>
          <w:szCs w:val="26"/>
        </w:rPr>
        <w:t>Columbia Gas Estimate</w:t>
      </w:r>
      <w:r w:rsidR="00E029DA" w:rsidRPr="00C80D3A">
        <w:rPr>
          <w:rFonts w:ascii="Times New Roman" w:hAnsi="Times New Roman" w:cs="Times New Roman"/>
          <w:b/>
          <w:sz w:val="26"/>
          <w:szCs w:val="26"/>
        </w:rPr>
        <w:t>s</w:t>
      </w:r>
    </w:p>
    <w:p w14:paraId="17C78B0E" w14:textId="44478A98" w:rsidR="00506216" w:rsidRPr="00C80D3A" w:rsidRDefault="00506216" w:rsidP="00BE0020">
      <w:pPr>
        <w:keepNext/>
        <w:spacing w:after="0" w:line="240" w:lineRule="auto"/>
        <w:contextualSpacing/>
        <w:jc w:val="center"/>
        <w:rPr>
          <w:rFonts w:ascii="Times New Roman" w:hAnsi="Times New Roman" w:cs="Times New Roman"/>
          <w:b/>
          <w:sz w:val="26"/>
          <w:szCs w:val="26"/>
        </w:rPr>
      </w:pPr>
      <w:r w:rsidRPr="00C80D3A">
        <w:rPr>
          <w:rFonts w:ascii="Times New Roman" w:hAnsi="Times New Roman" w:cs="Times New Roman"/>
          <w:b/>
          <w:sz w:val="26"/>
          <w:szCs w:val="26"/>
        </w:rPr>
        <w:t>Cost of Removing Payment-Troubled Requirement for CAP Applicants 2017-2021</w:t>
      </w:r>
    </w:p>
    <w:tbl>
      <w:tblPr>
        <w:tblStyle w:val="TableGrid"/>
        <w:tblW w:w="9625" w:type="dxa"/>
        <w:tblLook w:val="04A0" w:firstRow="1" w:lastRow="0" w:firstColumn="1" w:lastColumn="0" w:noHBand="0" w:noVBand="1"/>
      </w:tblPr>
      <w:tblGrid>
        <w:gridCol w:w="1941"/>
        <w:gridCol w:w="1536"/>
        <w:gridCol w:w="1537"/>
        <w:gridCol w:w="1537"/>
        <w:gridCol w:w="1537"/>
        <w:gridCol w:w="1537"/>
      </w:tblGrid>
      <w:tr w:rsidR="00F71C8B" w:rsidRPr="00C80D3A" w14:paraId="10CD4AF8" w14:textId="77777777" w:rsidTr="00BE6EB3">
        <w:tc>
          <w:tcPr>
            <w:tcW w:w="1941" w:type="dxa"/>
            <w:tcBorders>
              <w:bottom w:val="double" w:sz="4" w:space="0" w:color="auto"/>
            </w:tcBorders>
          </w:tcPr>
          <w:p w14:paraId="5D2E5DB2" w14:textId="77777777" w:rsidR="00506216" w:rsidRPr="00BE6EB3" w:rsidRDefault="00506216" w:rsidP="00315DBC">
            <w:pPr>
              <w:keepNext/>
              <w:contextualSpacing/>
              <w:rPr>
                <w:sz w:val="24"/>
                <w:szCs w:val="24"/>
              </w:rPr>
            </w:pPr>
          </w:p>
        </w:tc>
        <w:tc>
          <w:tcPr>
            <w:tcW w:w="1536" w:type="dxa"/>
            <w:tcBorders>
              <w:bottom w:val="double" w:sz="4" w:space="0" w:color="auto"/>
            </w:tcBorders>
          </w:tcPr>
          <w:p w14:paraId="56CD5CB0" w14:textId="77777777" w:rsidR="00506216" w:rsidRPr="00BE6EB3" w:rsidRDefault="00506216" w:rsidP="00315DBC">
            <w:pPr>
              <w:keepNext/>
              <w:contextualSpacing/>
              <w:jc w:val="center"/>
              <w:rPr>
                <w:b/>
                <w:sz w:val="24"/>
                <w:szCs w:val="24"/>
              </w:rPr>
            </w:pPr>
            <w:r w:rsidRPr="00BE6EB3">
              <w:rPr>
                <w:b/>
                <w:sz w:val="24"/>
                <w:szCs w:val="24"/>
              </w:rPr>
              <w:t>2017</w:t>
            </w:r>
          </w:p>
        </w:tc>
        <w:tc>
          <w:tcPr>
            <w:tcW w:w="1537" w:type="dxa"/>
            <w:tcBorders>
              <w:bottom w:val="double" w:sz="4" w:space="0" w:color="auto"/>
            </w:tcBorders>
          </w:tcPr>
          <w:p w14:paraId="1F69C2C7" w14:textId="77777777" w:rsidR="00506216" w:rsidRPr="00BE6EB3" w:rsidRDefault="00506216" w:rsidP="00315DBC">
            <w:pPr>
              <w:keepNext/>
              <w:contextualSpacing/>
              <w:jc w:val="center"/>
              <w:rPr>
                <w:b/>
                <w:sz w:val="24"/>
                <w:szCs w:val="24"/>
              </w:rPr>
            </w:pPr>
            <w:r w:rsidRPr="00BE6EB3">
              <w:rPr>
                <w:b/>
                <w:sz w:val="24"/>
                <w:szCs w:val="24"/>
              </w:rPr>
              <w:t>2018</w:t>
            </w:r>
          </w:p>
        </w:tc>
        <w:tc>
          <w:tcPr>
            <w:tcW w:w="1537" w:type="dxa"/>
            <w:tcBorders>
              <w:bottom w:val="double" w:sz="4" w:space="0" w:color="auto"/>
            </w:tcBorders>
          </w:tcPr>
          <w:p w14:paraId="376202EB" w14:textId="77777777" w:rsidR="00506216" w:rsidRPr="00BE6EB3" w:rsidRDefault="00506216" w:rsidP="00315DBC">
            <w:pPr>
              <w:keepNext/>
              <w:contextualSpacing/>
              <w:jc w:val="center"/>
              <w:rPr>
                <w:b/>
                <w:sz w:val="24"/>
                <w:szCs w:val="24"/>
              </w:rPr>
            </w:pPr>
            <w:r w:rsidRPr="00BE6EB3">
              <w:rPr>
                <w:b/>
                <w:sz w:val="24"/>
                <w:szCs w:val="24"/>
              </w:rPr>
              <w:t>2019</w:t>
            </w:r>
          </w:p>
        </w:tc>
        <w:tc>
          <w:tcPr>
            <w:tcW w:w="1537" w:type="dxa"/>
            <w:tcBorders>
              <w:bottom w:val="double" w:sz="4" w:space="0" w:color="auto"/>
            </w:tcBorders>
          </w:tcPr>
          <w:p w14:paraId="4616B4CE" w14:textId="77777777" w:rsidR="00506216" w:rsidRPr="00BE6EB3" w:rsidRDefault="00506216" w:rsidP="00315DBC">
            <w:pPr>
              <w:keepNext/>
              <w:contextualSpacing/>
              <w:jc w:val="center"/>
              <w:rPr>
                <w:b/>
                <w:sz w:val="24"/>
                <w:szCs w:val="24"/>
              </w:rPr>
            </w:pPr>
            <w:r w:rsidRPr="00BE6EB3">
              <w:rPr>
                <w:b/>
                <w:sz w:val="24"/>
                <w:szCs w:val="24"/>
              </w:rPr>
              <w:t>2020</w:t>
            </w:r>
          </w:p>
        </w:tc>
        <w:tc>
          <w:tcPr>
            <w:tcW w:w="1537" w:type="dxa"/>
            <w:tcBorders>
              <w:bottom w:val="double" w:sz="4" w:space="0" w:color="auto"/>
            </w:tcBorders>
          </w:tcPr>
          <w:p w14:paraId="70232EF4" w14:textId="77777777" w:rsidR="00506216" w:rsidRPr="00BE6EB3" w:rsidRDefault="00506216" w:rsidP="00315DBC">
            <w:pPr>
              <w:keepNext/>
              <w:contextualSpacing/>
              <w:jc w:val="center"/>
              <w:rPr>
                <w:b/>
                <w:sz w:val="24"/>
                <w:szCs w:val="24"/>
              </w:rPr>
            </w:pPr>
            <w:r w:rsidRPr="00BE6EB3">
              <w:rPr>
                <w:b/>
                <w:sz w:val="24"/>
                <w:szCs w:val="24"/>
              </w:rPr>
              <w:t>2021</w:t>
            </w:r>
          </w:p>
        </w:tc>
      </w:tr>
      <w:tr w:rsidR="00F71C8B" w:rsidRPr="00C80D3A" w14:paraId="2E2B4C35" w14:textId="77777777" w:rsidTr="00BE6EB3">
        <w:trPr>
          <w:trHeight w:val="432"/>
        </w:trPr>
        <w:tc>
          <w:tcPr>
            <w:tcW w:w="1941" w:type="dxa"/>
            <w:tcBorders>
              <w:top w:val="double" w:sz="4" w:space="0" w:color="auto"/>
              <w:bottom w:val="single" w:sz="12" w:space="0" w:color="auto"/>
            </w:tcBorders>
            <w:vAlign w:val="center"/>
          </w:tcPr>
          <w:p w14:paraId="68BB94D4" w14:textId="77777777" w:rsidR="00F71C8B" w:rsidRDefault="00F71C8B" w:rsidP="00F71C8B">
            <w:pPr>
              <w:keepNext/>
              <w:contextualSpacing/>
              <w:rPr>
                <w:b/>
                <w:sz w:val="24"/>
                <w:szCs w:val="24"/>
              </w:rPr>
            </w:pPr>
            <w:r>
              <w:rPr>
                <w:b/>
                <w:sz w:val="24"/>
                <w:szCs w:val="24"/>
              </w:rPr>
              <w:t xml:space="preserve">Total </w:t>
            </w:r>
            <w:r w:rsidR="00506216" w:rsidRPr="00BE6EB3">
              <w:rPr>
                <w:b/>
                <w:sz w:val="24"/>
                <w:szCs w:val="24"/>
              </w:rPr>
              <w:t xml:space="preserve">Current </w:t>
            </w:r>
          </w:p>
          <w:p w14:paraId="2EC1B72E" w14:textId="453DA3A4" w:rsidR="00506216" w:rsidRPr="00BE6EB3" w:rsidRDefault="00506216" w:rsidP="00BE6EB3">
            <w:pPr>
              <w:keepNext/>
              <w:contextualSpacing/>
              <w:rPr>
                <w:b/>
                <w:sz w:val="24"/>
                <w:szCs w:val="24"/>
              </w:rPr>
            </w:pPr>
            <w:r w:rsidRPr="00BE6EB3">
              <w:rPr>
                <w:b/>
                <w:sz w:val="24"/>
                <w:szCs w:val="24"/>
              </w:rPr>
              <w:t>CAP Costs</w:t>
            </w:r>
          </w:p>
        </w:tc>
        <w:tc>
          <w:tcPr>
            <w:tcW w:w="1536" w:type="dxa"/>
            <w:tcBorders>
              <w:top w:val="double" w:sz="4" w:space="0" w:color="auto"/>
              <w:bottom w:val="single" w:sz="12" w:space="0" w:color="auto"/>
            </w:tcBorders>
            <w:vAlign w:val="center"/>
          </w:tcPr>
          <w:p w14:paraId="589D2432" w14:textId="77777777" w:rsidR="00506216" w:rsidRPr="00BE6EB3" w:rsidRDefault="00506216" w:rsidP="00315DBC">
            <w:pPr>
              <w:keepNext/>
              <w:contextualSpacing/>
              <w:jc w:val="right"/>
              <w:rPr>
                <w:sz w:val="24"/>
                <w:szCs w:val="24"/>
              </w:rPr>
            </w:pPr>
            <w:r w:rsidRPr="00BE6EB3">
              <w:rPr>
                <w:sz w:val="24"/>
                <w:szCs w:val="24"/>
              </w:rPr>
              <w:t>$19,668,705</w:t>
            </w:r>
          </w:p>
        </w:tc>
        <w:tc>
          <w:tcPr>
            <w:tcW w:w="1537" w:type="dxa"/>
            <w:tcBorders>
              <w:top w:val="double" w:sz="4" w:space="0" w:color="auto"/>
              <w:bottom w:val="single" w:sz="12" w:space="0" w:color="auto"/>
            </w:tcBorders>
            <w:vAlign w:val="center"/>
          </w:tcPr>
          <w:p w14:paraId="1F826CC1" w14:textId="77777777" w:rsidR="00506216" w:rsidRPr="00BE6EB3" w:rsidRDefault="00506216" w:rsidP="00315DBC">
            <w:pPr>
              <w:keepNext/>
              <w:contextualSpacing/>
              <w:jc w:val="right"/>
              <w:rPr>
                <w:sz w:val="24"/>
                <w:szCs w:val="24"/>
              </w:rPr>
            </w:pPr>
            <w:r w:rsidRPr="00BE6EB3">
              <w:rPr>
                <w:sz w:val="24"/>
                <w:szCs w:val="24"/>
              </w:rPr>
              <w:t>$22,756,561</w:t>
            </w:r>
          </w:p>
        </w:tc>
        <w:tc>
          <w:tcPr>
            <w:tcW w:w="1537" w:type="dxa"/>
            <w:tcBorders>
              <w:top w:val="double" w:sz="4" w:space="0" w:color="auto"/>
              <w:bottom w:val="single" w:sz="12" w:space="0" w:color="auto"/>
            </w:tcBorders>
            <w:vAlign w:val="center"/>
          </w:tcPr>
          <w:p w14:paraId="6992F2BD" w14:textId="77777777" w:rsidR="00506216" w:rsidRPr="00BE6EB3" w:rsidRDefault="00506216" w:rsidP="00315DBC">
            <w:pPr>
              <w:keepNext/>
              <w:contextualSpacing/>
              <w:jc w:val="right"/>
              <w:rPr>
                <w:sz w:val="24"/>
                <w:szCs w:val="24"/>
              </w:rPr>
            </w:pPr>
            <w:r w:rsidRPr="00BE6EB3">
              <w:rPr>
                <w:sz w:val="24"/>
                <w:szCs w:val="24"/>
              </w:rPr>
              <w:t>$20,416,320</w:t>
            </w:r>
          </w:p>
        </w:tc>
        <w:tc>
          <w:tcPr>
            <w:tcW w:w="1537" w:type="dxa"/>
            <w:tcBorders>
              <w:top w:val="double" w:sz="4" w:space="0" w:color="auto"/>
              <w:bottom w:val="single" w:sz="12" w:space="0" w:color="auto"/>
            </w:tcBorders>
            <w:vAlign w:val="center"/>
          </w:tcPr>
          <w:p w14:paraId="45773991" w14:textId="77777777" w:rsidR="00506216" w:rsidRPr="00BE6EB3" w:rsidRDefault="00506216" w:rsidP="00315DBC">
            <w:pPr>
              <w:keepNext/>
              <w:contextualSpacing/>
              <w:jc w:val="right"/>
              <w:rPr>
                <w:sz w:val="24"/>
                <w:szCs w:val="24"/>
              </w:rPr>
            </w:pPr>
            <w:r w:rsidRPr="00BE6EB3">
              <w:rPr>
                <w:sz w:val="24"/>
                <w:szCs w:val="24"/>
              </w:rPr>
              <w:t>$20,416,320</w:t>
            </w:r>
          </w:p>
        </w:tc>
        <w:tc>
          <w:tcPr>
            <w:tcW w:w="1537" w:type="dxa"/>
            <w:tcBorders>
              <w:top w:val="double" w:sz="4" w:space="0" w:color="auto"/>
              <w:bottom w:val="single" w:sz="12" w:space="0" w:color="auto"/>
            </w:tcBorders>
            <w:vAlign w:val="center"/>
          </w:tcPr>
          <w:p w14:paraId="09E841A7" w14:textId="77777777" w:rsidR="00506216" w:rsidRPr="00BE6EB3" w:rsidRDefault="00506216" w:rsidP="00315DBC">
            <w:pPr>
              <w:keepNext/>
              <w:contextualSpacing/>
              <w:jc w:val="right"/>
              <w:rPr>
                <w:sz w:val="24"/>
                <w:szCs w:val="24"/>
              </w:rPr>
            </w:pPr>
            <w:r w:rsidRPr="00BE6EB3">
              <w:rPr>
                <w:sz w:val="24"/>
                <w:szCs w:val="24"/>
              </w:rPr>
              <w:t>$20,416,320</w:t>
            </w:r>
          </w:p>
        </w:tc>
      </w:tr>
      <w:tr w:rsidR="00506216" w:rsidRPr="00C80D3A" w14:paraId="6EA4E5E3" w14:textId="77777777" w:rsidTr="00BE6EB3">
        <w:trPr>
          <w:trHeight w:val="432"/>
        </w:trPr>
        <w:tc>
          <w:tcPr>
            <w:tcW w:w="9625" w:type="dxa"/>
            <w:gridSpan w:val="6"/>
            <w:tcBorders>
              <w:top w:val="single" w:sz="12" w:space="0" w:color="auto"/>
            </w:tcBorders>
            <w:vAlign w:val="center"/>
          </w:tcPr>
          <w:p w14:paraId="4E174AFF" w14:textId="1A10E0C9" w:rsidR="00506216" w:rsidRPr="00BE6EB3" w:rsidRDefault="00506216" w:rsidP="00315DBC">
            <w:pPr>
              <w:keepNext/>
              <w:contextualSpacing/>
              <w:jc w:val="center"/>
              <w:rPr>
                <w:b/>
                <w:bCs/>
                <w:sz w:val="24"/>
                <w:szCs w:val="24"/>
              </w:rPr>
            </w:pPr>
            <w:r w:rsidRPr="00BE6EB3">
              <w:rPr>
                <w:b/>
                <w:bCs/>
                <w:sz w:val="24"/>
                <w:szCs w:val="24"/>
              </w:rPr>
              <w:t>Estimate</w:t>
            </w:r>
            <w:r w:rsidR="00FF270A" w:rsidRPr="00BE6EB3">
              <w:rPr>
                <w:b/>
                <w:bCs/>
                <w:sz w:val="24"/>
                <w:szCs w:val="24"/>
              </w:rPr>
              <w:t>s of</w:t>
            </w:r>
            <w:r w:rsidRPr="00BE6EB3">
              <w:rPr>
                <w:b/>
                <w:bCs/>
                <w:sz w:val="24"/>
                <w:szCs w:val="24"/>
              </w:rPr>
              <w:t xml:space="preserve"> CAP Costs Based on the Elimination of Payment-Troubled Criterion</w:t>
            </w:r>
          </w:p>
        </w:tc>
      </w:tr>
      <w:tr w:rsidR="00F71C8B" w:rsidRPr="00C80D3A" w14:paraId="69CEC225" w14:textId="77777777" w:rsidTr="00BE6EB3">
        <w:trPr>
          <w:trHeight w:val="432"/>
        </w:trPr>
        <w:tc>
          <w:tcPr>
            <w:tcW w:w="1941" w:type="dxa"/>
            <w:vAlign w:val="center"/>
          </w:tcPr>
          <w:p w14:paraId="471419B8" w14:textId="77777777" w:rsidR="00506216" w:rsidRPr="00BE6EB3" w:rsidRDefault="00506216" w:rsidP="00315DBC">
            <w:pPr>
              <w:keepNext/>
              <w:contextualSpacing/>
              <w:rPr>
                <w:b/>
                <w:sz w:val="24"/>
                <w:szCs w:val="24"/>
              </w:rPr>
            </w:pPr>
            <w:r w:rsidRPr="00BE6EB3">
              <w:rPr>
                <w:b/>
                <w:sz w:val="24"/>
                <w:szCs w:val="24"/>
              </w:rPr>
              <w:t>Shortfall</w:t>
            </w:r>
          </w:p>
        </w:tc>
        <w:tc>
          <w:tcPr>
            <w:tcW w:w="1536" w:type="dxa"/>
            <w:vAlign w:val="center"/>
          </w:tcPr>
          <w:p w14:paraId="692B832E" w14:textId="77777777" w:rsidR="00506216" w:rsidRPr="00BE6EB3" w:rsidRDefault="00506216" w:rsidP="00315DBC">
            <w:pPr>
              <w:keepNext/>
              <w:contextualSpacing/>
              <w:jc w:val="right"/>
              <w:rPr>
                <w:sz w:val="24"/>
                <w:szCs w:val="24"/>
              </w:rPr>
            </w:pPr>
            <w:r w:rsidRPr="00BE6EB3">
              <w:rPr>
                <w:sz w:val="24"/>
                <w:szCs w:val="24"/>
              </w:rPr>
              <w:t>$22,173,457</w:t>
            </w:r>
          </w:p>
        </w:tc>
        <w:tc>
          <w:tcPr>
            <w:tcW w:w="1537" w:type="dxa"/>
            <w:vAlign w:val="center"/>
          </w:tcPr>
          <w:p w14:paraId="455465A9" w14:textId="77777777" w:rsidR="00506216" w:rsidRPr="00BE6EB3" w:rsidRDefault="00506216" w:rsidP="00315DBC">
            <w:pPr>
              <w:keepNext/>
              <w:contextualSpacing/>
              <w:jc w:val="right"/>
              <w:rPr>
                <w:sz w:val="24"/>
                <w:szCs w:val="24"/>
              </w:rPr>
            </w:pPr>
            <w:r w:rsidRPr="00BE6EB3">
              <w:rPr>
                <w:sz w:val="24"/>
                <w:szCs w:val="24"/>
              </w:rPr>
              <w:t>$27,820,114</w:t>
            </w:r>
          </w:p>
        </w:tc>
        <w:tc>
          <w:tcPr>
            <w:tcW w:w="1537" w:type="dxa"/>
            <w:vAlign w:val="center"/>
          </w:tcPr>
          <w:p w14:paraId="51CCD817" w14:textId="77777777" w:rsidR="00506216" w:rsidRPr="00BE6EB3" w:rsidRDefault="00506216" w:rsidP="00315DBC">
            <w:pPr>
              <w:keepNext/>
              <w:contextualSpacing/>
              <w:jc w:val="right"/>
              <w:rPr>
                <w:sz w:val="24"/>
                <w:szCs w:val="24"/>
              </w:rPr>
            </w:pPr>
            <w:r w:rsidRPr="00BE6EB3">
              <w:rPr>
                <w:sz w:val="24"/>
                <w:szCs w:val="24"/>
              </w:rPr>
              <w:t>$33,466,771</w:t>
            </w:r>
          </w:p>
        </w:tc>
        <w:tc>
          <w:tcPr>
            <w:tcW w:w="1537" w:type="dxa"/>
            <w:vAlign w:val="center"/>
          </w:tcPr>
          <w:p w14:paraId="3A8AC013" w14:textId="77777777" w:rsidR="00506216" w:rsidRPr="00BE6EB3" w:rsidRDefault="00506216" w:rsidP="00315DBC">
            <w:pPr>
              <w:keepNext/>
              <w:contextualSpacing/>
              <w:jc w:val="right"/>
              <w:rPr>
                <w:sz w:val="24"/>
                <w:szCs w:val="24"/>
              </w:rPr>
            </w:pPr>
            <w:r w:rsidRPr="00BE6EB3">
              <w:rPr>
                <w:sz w:val="24"/>
                <w:szCs w:val="24"/>
              </w:rPr>
              <w:t>$39,113,427</w:t>
            </w:r>
          </w:p>
        </w:tc>
        <w:tc>
          <w:tcPr>
            <w:tcW w:w="1537" w:type="dxa"/>
            <w:vAlign w:val="center"/>
          </w:tcPr>
          <w:p w14:paraId="77F76AF2" w14:textId="77777777" w:rsidR="00506216" w:rsidRPr="00BE6EB3" w:rsidRDefault="00506216" w:rsidP="00315DBC">
            <w:pPr>
              <w:keepNext/>
              <w:contextualSpacing/>
              <w:jc w:val="right"/>
              <w:rPr>
                <w:sz w:val="24"/>
                <w:szCs w:val="24"/>
              </w:rPr>
            </w:pPr>
            <w:r w:rsidRPr="00BE6EB3">
              <w:rPr>
                <w:sz w:val="24"/>
                <w:szCs w:val="24"/>
              </w:rPr>
              <w:t>$44,761,084</w:t>
            </w:r>
          </w:p>
        </w:tc>
      </w:tr>
      <w:tr w:rsidR="00F71C8B" w:rsidRPr="00C80D3A" w14:paraId="1FF74320" w14:textId="77777777" w:rsidTr="00BE6EB3">
        <w:trPr>
          <w:trHeight w:val="432"/>
        </w:trPr>
        <w:tc>
          <w:tcPr>
            <w:tcW w:w="1941" w:type="dxa"/>
            <w:vAlign w:val="center"/>
          </w:tcPr>
          <w:p w14:paraId="3BFAE593" w14:textId="77777777" w:rsidR="00506216" w:rsidRPr="00BE6EB3" w:rsidRDefault="00506216" w:rsidP="00315DBC">
            <w:pPr>
              <w:keepNext/>
              <w:contextualSpacing/>
              <w:rPr>
                <w:b/>
                <w:sz w:val="24"/>
                <w:szCs w:val="24"/>
              </w:rPr>
            </w:pPr>
            <w:r w:rsidRPr="00BE6EB3">
              <w:rPr>
                <w:b/>
                <w:sz w:val="24"/>
                <w:szCs w:val="24"/>
              </w:rPr>
              <w:t>Arrears</w:t>
            </w:r>
          </w:p>
        </w:tc>
        <w:tc>
          <w:tcPr>
            <w:tcW w:w="1536" w:type="dxa"/>
            <w:vAlign w:val="center"/>
          </w:tcPr>
          <w:p w14:paraId="234613F7" w14:textId="77777777" w:rsidR="00506216" w:rsidRPr="00BE6EB3" w:rsidRDefault="00506216" w:rsidP="00315DBC">
            <w:pPr>
              <w:keepNext/>
              <w:contextualSpacing/>
              <w:jc w:val="right"/>
              <w:rPr>
                <w:sz w:val="24"/>
                <w:szCs w:val="24"/>
              </w:rPr>
            </w:pPr>
            <w:r w:rsidRPr="00BE6EB3">
              <w:rPr>
                <w:sz w:val="24"/>
                <w:szCs w:val="24"/>
              </w:rPr>
              <w:t>$7,904,727</w:t>
            </w:r>
          </w:p>
        </w:tc>
        <w:tc>
          <w:tcPr>
            <w:tcW w:w="1537" w:type="dxa"/>
            <w:vAlign w:val="center"/>
          </w:tcPr>
          <w:p w14:paraId="5278C338" w14:textId="77777777" w:rsidR="00506216" w:rsidRPr="00BE6EB3" w:rsidRDefault="00506216" w:rsidP="00315DBC">
            <w:pPr>
              <w:keepNext/>
              <w:contextualSpacing/>
              <w:jc w:val="right"/>
              <w:rPr>
                <w:sz w:val="24"/>
                <w:szCs w:val="24"/>
              </w:rPr>
            </w:pPr>
            <w:r w:rsidRPr="00BE6EB3">
              <w:rPr>
                <w:sz w:val="24"/>
                <w:szCs w:val="24"/>
              </w:rPr>
              <w:t>$9,917,732</w:t>
            </w:r>
          </w:p>
        </w:tc>
        <w:tc>
          <w:tcPr>
            <w:tcW w:w="1537" w:type="dxa"/>
            <w:vAlign w:val="center"/>
          </w:tcPr>
          <w:p w14:paraId="7DE62909" w14:textId="77777777" w:rsidR="00506216" w:rsidRPr="00BE6EB3" w:rsidRDefault="00506216" w:rsidP="00315DBC">
            <w:pPr>
              <w:keepNext/>
              <w:contextualSpacing/>
              <w:jc w:val="right"/>
              <w:rPr>
                <w:sz w:val="24"/>
                <w:szCs w:val="24"/>
              </w:rPr>
            </w:pPr>
            <w:r w:rsidRPr="00BE6EB3">
              <w:rPr>
                <w:sz w:val="24"/>
                <w:szCs w:val="24"/>
              </w:rPr>
              <w:t>$11,930,737</w:t>
            </w:r>
          </w:p>
        </w:tc>
        <w:tc>
          <w:tcPr>
            <w:tcW w:w="1537" w:type="dxa"/>
            <w:vAlign w:val="center"/>
          </w:tcPr>
          <w:p w14:paraId="01C13B7B" w14:textId="77777777" w:rsidR="00506216" w:rsidRPr="00BE6EB3" w:rsidRDefault="00506216" w:rsidP="00315DBC">
            <w:pPr>
              <w:keepNext/>
              <w:contextualSpacing/>
              <w:jc w:val="right"/>
              <w:rPr>
                <w:sz w:val="24"/>
                <w:szCs w:val="24"/>
              </w:rPr>
            </w:pPr>
            <w:r w:rsidRPr="00BE6EB3">
              <w:rPr>
                <w:sz w:val="24"/>
                <w:szCs w:val="24"/>
              </w:rPr>
              <w:t>$13,943,742</w:t>
            </w:r>
          </w:p>
        </w:tc>
        <w:tc>
          <w:tcPr>
            <w:tcW w:w="1537" w:type="dxa"/>
            <w:vAlign w:val="center"/>
          </w:tcPr>
          <w:p w14:paraId="6D137EE0" w14:textId="77777777" w:rsidR="00506216" w:rsidRPr="00BE6EB3" w:rsidRDefault="00506216" w:rsidP="00315DBC">
            <w:pPr>
              <w:keepNext/>
              <w:contextualSpacing/>
              <w:jc w:val="right"/>
              <w:rPr>
                <w:sz w:val="24"/>
                <w:szCs w:val="24"/>
              </w:rPr>
            </w:pPr>
            <w:r w:rsidRPr="00BE6EB3">
              <w:rPr>
                <w:sz w:val="24"/>
                <w:szCs w:val="24"/>
              </w:rPr>
              <w:t>$15,956,747</w:t>
            </w:r>
          </w:p>
        </w:tc>
      </w:tr>
      <w:tr w:rsidR="00F71C8B" w:rsidRPr="00C80D3A" w14:paraId="310DA40B" w14:textId="77777777" w:rsidTr="00BE6EB3">
        <w:trPr>
          <w:trHeight w:val="432"/>
        </w:trPr>
        <w:tc>
          <w:tcPr>
            <w:tcW w:w="1941" w:type="dxa"/>
            <w:tcBorders>
              <w:bottom w:val="double" w:sz="4" w:space="0" w:color="auto"/>
            </w:tcBorders>
            <w:vAlign w:val="center"/>
          </w:tcPr>
          <w:p w14:paraId="6BD6F4D2" w14:textId="77777777" w:rsidR="00506216" w:rsidRPr="00BE6EB3" w:rsidRDefault="00506216" w:rsidP="00315DBC">
            <w:pPr>
              <w:keepNext/>
              <w:contextualSpacing/>
              <w:rPr>
                <w:b/>
                <w:sz w:val="24"/>
                <w:szCs w:val="24"/>
              </w:rPr>
            </w:pPr>
            <w:r w:rsidRPr="00BE6EB3">
              <w:rPr>
                <w:b/>
                <w:sz w:val="24"/>
                <w:szCs w:val="24"/>
              </w:rPr>
              <w:t>Administration</w:t>
            </w:r>
          </w:p>
        </w:tc>
        <w:tc>
          <w:tcPr>
            <w:tcW w:w="1536" w:type="dxa"/>
            <w:tcBorders>
              <w:bottom w:val="double" w:sz="4" w:space="0" w:color="auto"/>
            </w:tcBorders>
            <w:vAlign w:val="center"/>
          </w:tcPr>
          <w:p w14:paraId="307B0018" w14:textId="77777777" w:rsidR="00506216" w:rsidRPr="00BE6EB3" w:rsidRDefault="00506216" w:rsidP="00315DBC">
            <w:pPr>
              <w:keepNext/>
              <w:contextualSpacing/>
              <w:jc w:val="right"/>
              <w:rPr>
                <w:sz w:val="24"/>
                <w:szCs w:val="24"/>
              </w:rPr>
            </w:pPr>
            <w:r w:rsidRPr="00BE6EB3">
              <w:rPr>
                <w:sz w:val="24"/>
                <w:szCs w:val="24"/>
              </w:rPr>
              <w:t>$1,600,000</w:t>
            </w:r>
          </w:p>
        </w:tc>
        <w:tc>
          <w:tcPr>
            <w:tcW w:w="1537" w:type="dxa"/>
            <w:tcBorders>
              <w:bottom w:val="double" w:sz="4" w:space="0" w:color="auto"/>
            </w:tcBorders>
            <w:vAlign w:val="center"/>
          </w:tcPr>
          <w:p w14:paraId="79BF7075" w14:textId="77777777" w:rsidR="00506216" w:rsidRPr="00BE6EB3" w:rsidRDefault="00506216" w:rsidP="00315DBC">
            <w:pPr>
              <w:keepNext/>
              <w:contextualSpacing/>
              <w:jc w:val="right"/>
              <w:rPr>
                <w:sz w:val="24"/>
                <w:szCs w:val="24"/>
              </w:rPr>
            </w:pPr>
            <w:r w:rsidRPr="00BE6EB3">
              <w:rPr>
                <w:sz w:val="24"/>
                <w:szCs w:val="24"/>
              </w:rPr>
              <w:t>$1,600,000</w:t>
            </w:r>
          </w:p>
        </w:tc>
        <w:tc>
          <w:tcPr>
            <w:tcW w:w="1537" w:type="dxa"/>
            <w:tcBorders>
              <w:bottom w:val="double" w:sz="4" w:space="0" w:color="auto"/>
            </w:tcBorders>
            <w:vAlign w:val="center"/>
          </w:tcPr>
          <w:p w14:paraId="404A2D3E" w14:textId="77777777" w:rsidR="00506216" w:rsidRPr="00BE6EB3" w:rsidRDefault="00506216" w:rsidP="00315DBC">
            <w:pPr>
              <w:keepNext/>
              <w:contextualSpacing/>
              <w:jc w:val="right"/>
              <w:rPr>
                <w:sz w:val="24"/>
                <w:szCs w:val="24"/>
              </w:rPr>
            </w:pPr>
            <w:r w:rsidRPr="00BE6EB3">
              <w:rPr>
                <w:sz w:val="24"/>
                <w:szCs w:val="24"/>
              </w:rPr>
              <w:t>$1,600,000</w:t>
            </w:r>
          </w:p>
        </w:tc>
        <w:tc>
          <w:tcPr>
            <w:tcW w:w="1537" w:type="dxa"/>
            <w:tcBorders>
              <w:bottom w:val="double" w:sz="4" w:space="0" w:color="auto"/>
            </w:tcBorders>
            <w:vAlign w:val="center"/>
          </w:tcPr>
          <w:p w14:paraId="78B67D5C" w14:textId="77777777" w:rsidR="00506216" w:rsidRPr="00BE6EB3" w:rsidRDefault="00506216" w:rsidP="00315DBC">
            <w:pPr>
              <w:keepNext/>
              <w:contextualSpacing/>
              <w:jc w:val="right"/>
              <w:rPr>
                <w:sz w:val="24"/>
                <w:szCs w:val="24"/>
              </w:rPr>
            </w:pPr>
            <w:r w:rsidRPr="00BE6EB3">
              <w:rPr>
                <w:sz w:val="24"/>
                <w:szCs w:val="24"/>
              </w:rPr>
              <w:t>$1,600,000</w:t>
            </w:r>
          </w:p>
        </w:tc>
        <w:tc>
          <w:tcPr>
            <w:tcW w:w="1537" w:type="dxa"/>
            <w:tcBorders>
              <w:bottom w:val="double" w:sz="4" w:space="0" w:color="auto"/>
            </w:tcBorders>
            <w:vAlign w:val="center"/>
          </w:tcPr>
          <w:p w14:paraId="0BF42A76" w14:textId="77777777" w:rsidR="00506216" w:rsidRPr="00BE6EB3" w:rsidRDefault="00506216" w:rsidP="00315DBC">
            <w:pPr>
              <w:keepNext/>
              <w:contextualSpacing/>
              <w:jc w:val="right"/>
              <w:rPr>
                <w:sz w:val="24"/>
                <w:szCs w:val="24"/>
              </w:rPr>
            </w:pPr>
            <w:r w:rsidRPr="00BE6EB3">
              <w:rPr>
                <w:sz w:val="24"/>
                <w:szCs w:val="24"/>
              </w:rPr>
              <w:t>$1,600,000</w:t>
            </w:r>
          </w:p>
        </w:tc>
      </w:tr>
      <w:tr w:rsidR="00F71C8B" w:rsidRPr="00C80D3A" w14:paraId="3427F44D" w14:textId="77777777" w:rsidTr="00BE6EB3">
        <w:trPr>
          <w:trHeight w:val="432"/>
        </w:trPr>
        <w:tc>
          <w:tcPr>
            <w:tcW w:w="1941" w:type="dxa"/>
            <w:tcBorders>
              <w:top w:val="double" w:sz="4" w:space="0" w:color="auto"/>
            </w:tcBorders>
            <w:vAlign w:val="center"/>
          </w:tcPr>
          <w:p w14:paraId="7ED0BF9B" w14:textId="77777777" w:rsidR="00F71C8B" w:rsidRPr="00F71C8B" w:rsidRDefault="00F71C8B" w:rsidP="00611EF1">
            <w:pPr>
              <w:contextualSpacing/>
              <w:rPr>
                <w:b/>
                <w:sz w:val="24"/>
                <w:szCs w:val="24"/>
              </w:rPr>
            </w:pPr>
            <w:r w:rsidRPr="00F71C8B">
              <w:rPr>
                <w:b/>
                <w:sz w:val="24"/>
                <w:szCs w:val="24"/>
              </w:rPr>
              <w:t xml:space="preserve">Total </w:t>
            </w:r>
            <w:r w:rsidR="00124FE5" w:rsidRPr="00F71C8B">
              <w:rPr>
                <w:b/>
                <w:sz w:val="24"/>
                <w:szCs w:val="24"/>
              </w:rPr>
              <w:t>Estimated</w:t>
            </w:r>
            <w:r w:rsidR="00506216" w:rsidRPr="00F71C8B">
              <w:rPr>
                <w:b/>
                <w:sz w:val="24"/>
                <w:szCs w:val="24"/>
              </w:rPr>
              <w:t xml:space="preserve"> </w:t>
            </w:r>
          </w:p>
          <w:p w14:paraId="735B1628" w14:textId="5DF4438F" w:rsidR="00506216" w:rsidRPr="00BE6EB3" w:rsidRDefault="00506216" w:rsidP="00BE6EB3">
            <w:pPr>
              <w:contextualSpacing/>
              <w:rPr>
                <w:b/>
                <w:sz w:val="24"/>
                <w:szCs w:val="24"/>
              </w:rPr>
            </w:pPr>
            <w:r w:rsidRPr="00F71C8B">
              <w:rPr>
                <w:b/>
                <w:sz w:val="24"/>
                <w:szCs w:val="24"/>
              </w:rPr>
              <w:t>CAP Costs</w:t>
            </w:r>
          </w:p>
        </w:tc>
        <w:tc>
          <w:tcPr>
            <w:tcW w:w="1536" w:type="dxa"/>
            <w:tcBorders>
              <w:top w:val="double" w:sz="4" w:space="0" w:color="auto"/>
            </w:tcBorders>
            <w:vAlign w:val="center"/>
          </w:tcPr>
          <w:p w14:paraId="086DE669" w14:textId="77777777" w:rsidR="00506216" w:rsidRPr="00BE6EB3" w:rsidRDefault="00506216" w:rsidP="00315DBC">
            <w:pPr>
              <w:contextualSpacing/>
              <w:jc w:val="right"/>
              <w:rPr>
                <w:sz w:val="24"/>
                <w:szCs w:val="24"/>
              </w:rPr>
            </w:pPr>
            <w:r w:rsidRPr="00BE6EB3">
              <w:rPr>
                <w:sz w:val="24"/>
                <w:szCs w:val="24"/>
              </w:rPr>
              <w:t>$51,381,106</w:t>
            </w:r>
          </w:p>
        </w:tc>
        <w:tc>
          <w:tcPr>
            <w:tcW w:w="1537" w:type="dxa"/>
            <w:tcBorders>
              <w:top w:val="double" w:sz="4" w:space="0" w:color="auto"/>
            </w:tcBorders>
            <w:vAlign w:val="center"/>
          </w:tcPr>
          <w:p w14:paraId="7B2CF094" w14:textId="77777777" w:rsidR="00506216" w:rsidRPr="00BE6EB3" w:rsidRDefault="00506216" w:rsidP="00315DBC">
            <w:pPr>
              <w:contextualSpacing/>
              <w:jc w:val="right"/>
              <w:rPr>
                <w:sz w:val="24"/>
                <w:szCs w:val="24"/>
              </w:rPr>
            </w:pPr>
            <w:r w:rsidRPr="00BE6EB3">
              <w:rPr>
                <w:sz w:val="24"/>
                <w:szCs w:val="24"/>
              </w:rPr>
              <w:t>$62,136,825</w:t>
            </w:r>
          </w:p>
        </w:tc>
        <w:tc>
          <w:tcPr>
            <w:tcW w:w="1537" w:type="dxa"/>
            <w:tcBorders>
              <w:top w:val="double" w:sz="4" w:space="0" w:color="auto"/>
            </w:tcBorders>
            <w:vAlign w:val="center"/>
          </w:tcPr>
          <w:p w14:paraId="061664F1" w14:textId="77777777" w:rsidR="00506216" w:rsidRPr="00BE6EB3" w:rsidRDefault="00506216" w:rsidP="00315DBC">
            <w:pPr>
              <w:contextualSpacing/>
              <w:jc w:val="right"/>
              <w:rPr>
                <w:sz w:val="24"/>
                <w:szCs w:val="24"/>
              </w:rPr>
            </w:pPr>
            <w:r w:rsidRPr="00BE6EB3">
              <w:rPr>
                <w:sz w:val="24"/>
                <w:szCs w:val="24"/>
              </w:rPr>
              <w:t>$67,464,447</w:t>
            </w:r>
          </w:p>
        </w:tc>
        <w:tc>
          <w:tcPr>
            <w:tcW w:w="1537" w:type="dxa"/>
            <w:tcBorders>
              <w:top w:val="double" w:sz="4" w:space="0" w:color="auto"/>
            </w:tcBorders>
            <w:vAlign w:val="center"/>
          </w:tcPr>
          <w:p w14:paraId="242B18BE" w14:textId="77777777" w:rsidR="00506216" w:rsidRPr="00BE6EB3" w:rsidRDefault="00506216" w:rsidP="00315DBC">
            <w:pPr>
              <w:contextualSpacing/>
              <w:jc w:val="right"/>
              <w:rPr>
                <w:sz w:val="24"/>
                <w:szCs w:val="24"/>
              </w:rPr>
            </w:pPr>
            <w:r w:rsidRPr="00BE6EB3">
              <w:rPr>
                <w:sz w:val="24"/>
                <w:szCs w:val="24"/>
              </w:rPr>
              <w:t>$75,132,310</w:t>
            </w:r>
          </w:p>
        </w:tc>
        <w:tc>
          <w:tcPr>
            <w:tcW w:w="1537" w:type="dxa"/>
            <w:tcBorders>
              <w:top w:val="double" w:sz="4" w:space="0" w:color="auto"/>
            </w:tcBorders>
            <w:vAlign w:val="center"/>
          </w:tcPr>
          <w:p w14:paraId="2460E46D" w14:textId="77777777" w:rsidR="00506216" w:rsidRPr="00BE6EB3" w:rsidRDefault="00506216" w:rsidP="00315DBC">
            <w:pPr>
              <w:contextualSpacing/>
              <w:jc w:val="right"/>
              <w:rPr>
                <w:sz w:val="24"/>
                <w:szCs w:val="24"/>
              </w:rPr>
            </w:pPr>
            <w:r w:rsidRPr="00BE6EB3">
              <w:rPr>
                <w:sz w:val="24"/>
                <w:szCs w:val="24"/>
              </w:rPr>
              <w:t>$82,800,173</w:t>
            </w:r>
          </w:p>
        </w:tc>
      </w:tr>
    </w:tbl>
    <w:p w14:paraId="7BD40B7B" w14:textId="77777777" w:rsidR="00506216" w:rsidRPr="00C80D3A" w:rsidRDefault="00506216" w:rsidP="00315DBC">
      <w:pPr>
        <w:spacing w:after="0" w:line="360" w:lineRule="auto"/>
        <w:contextualSpacing/>
        <w:rPr>
          <w:rFonts w:ascii="Times New Roman" w:hAnsi="Times New Roman" w:cs="Times New Roman"/>
          <w:sz w:val="26"/>
          <w:szCs w:val="26"/>
        </w:rPr>
      </w:pPr>
    </w:p>
    <w:p w14:paraId="10C961E7" w14:textId="77777777" w:rsidR="00506216" w:rsidRPr="00C80D3A" w:rsidRDefault="00506216" w:rsidP="00EC2691">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1E8B8DC4" w14:textId="77777777" w:rsidR="0089050A" w:rsidRPr="00C80D3A" w:rsidRDefault="0089050A" w:rsidP="0089050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We note that enrolling low-income customers into CAPs as early as possible generally puts them in the best position to maintain good payment habits and avoid accruing utility debt.  Waiting until a customer has broken a payment agreement or otherwise fallen into arrears could make it harder for a household to succeed in a CAP.  </w:t>
      </w:r>
    </w:p>
    <w:p w14:paraId="6ACA6CDF" w14:textId="77777777" w:rsidR="0089050A" w:rsidRPr="00C80D3A" w:rsidRDefault="0089050A" w:rsidP="0089050A">
      <w:pPr>
        <w:spacing w:after="0" w:line="360" w:lineRule="auto"/>
        <w:contextualSpacing/>
        <w:rPr>
          <w:rFonts w:ascii="Times New Roman" w:hAnsi="Times New Roman" w:cs="Times New Roman"/>
          <w:sz w:val="26"/>
          <w:szCs w:val="26"/>
        </w:rPr>
      </w:pPr>
    </w:p>
    <w:p w14:paraId="397A1C78" w14:textId="3D5A9ACC"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5331F4" w:rsidRPr="00C80D3A">
        <w:rPr>
          <w:rFonts w:ascii="Times New Roman" w:hAnsi="Times New Roman" w:cs="Times New Roman"/>
          <w:sz w:val="26"/>
          <w:szCs w:val="26"/>
        </w:rPr>
        <w:t>We have</w:t>
      </w:r>
      <w:r w:rsidRPr="00C80D3A">
        <w:rPr>
          <w:rFonts w:ascii="Times New Roman" w:hAnsi="Times New Roman" w:cs="Times New Roman"/>
          <w:sz w:val="26"/>
          <w:szCs w:val="26"/>
        </w:rPr>
        <w:t xml:space="preserve"> concerns about the assumptions made in Columbia</w:t>
      </w:r>
      <w:r w:rsidR="001529C6">
        <w:rPr>
          <w:rFonts w:ascii="Times New Roman" w:hAnsi="Times New Roman" w:cs="Times New Roman"/>
          <w:sz w:val="26"/>
          <w:szCs w:val="26"/>
        </w:rPr>
        <w:t>’</w:t>
      </w:r>
      <w:r w:rsidRPr="00C80D3A">
        <w:rPr>
          <w:rFonts w:ascii="Times New Roman" w:hAnsi="Times New Roman" w:cs="Times New Roman"/>
          <w:sz w:val="26"/>
          <w:szCs w:val="26"/>
        </w:rPr>
        <w:t>s estimates.  First, Columbia assumes that all known low-income customers who may benefit from its CAP will enroll by 2021.  This scenario seems unlikely as most NGDCs, including those without a payment-troubled eligibility criterion, had CAP participation rates of approximately 24% to 34% of confirmed low-income customers in 2017.</w:t>
      </w:r>
      <w:r w:rsidRPr="00C80D3A">
        <w:rPr>
          <w:rFonts w:ascii="Times New Roman" w:hAnsi="Times New Roman" w:cs="Times New Roman"/>
          <w:sz w:val="26"/>
          <w:szCs w:val="26"/>
          <w:vertAlign w:val="superscript"/>
        </w:rPr>
        <w:footnoteReference w:id="79"/>
      </w:r>
      <w:r w:rsidRPr="00C80D3A">
        <w:rPr>
          <w:rFonts w:ascii="Times New Roman" w:hAnsi="Times New Roman" w:cs="Times New Roman"/>
          <w:sz w:val="26"/>
          <w:szCs w:val="26"/>
        </w:rPr>
        <w:t xml:space="preserve">  2017 Report on Universal Service Programs &amp; Collections Performance at 51.  Second, it is unclear why Columbia projects PPA forgiveness will increase by $6 million dollars from 2017 through 2020</w:t>
      </w:r>
      <w:r w:rsidR="009501FF" w:rsidRPr="00C80D3A">
        <w:rPr>
          <w:rFonts w:ascii="Times New Roman" w:hAnsi="Times New Roman" w:cs="Times New Roman"/>
          <w:sz w:val="26"/>
          <w:szCs w:val="26"/>
        </w:rPr>
        <w:t xml:space="preserve"> if CAP eligibility were </w:t>
      </w:r>
      <w:r w:rsidR="00E34E9D" w:rsidRPr="00C80D3A">
        <w:rPr>
          <w:rFonts w:ascii="Times New Roman" w:hAnsi="Times New Roman" w:cs="Times New Roman"/>
          <w:sz w:val="26"/>
          <w:szCs w:val="26"/>
        </w:rPr>
        <w:t>changed to eliminate the payment-troubled criteri</w:t>
      </w:r>
      <w:r w:rsidR="006C0E74" w:rsidRPr="00C80D3A">
        <w:rPr>
          <w:rFonts w:ascii="Times New Roman" w:hAnsi="Times New Roman" w:cs="Times New Roman"/>
          <w:sz w:val="26"/>
          <w:szCs w:val="26"/>
        </w:rPr>
        <w:t>o</w:t>
      </w:r>
      <w:r w:rsidR="00D0706C" w:rsidRPr="00C80D3A">
        <w:rPr>
          <w:rFonts w:ascii="Times New Roman" w:hAnsi="Times New Roman" w:cs="Times New Roman"/>
          <w:sz w:val="26"/>
          <w:szCs w:val="26"/>
        </w:rPr>
        <w:t>n</w:t>
      </w:r>
      <w:r w:rsidRPr="00C80D3A">
        <w:rPr>
          <w:rFonts w:ascii="Times New Roman" w:hAnsi="Times New Roman" w:cs="Times New Roman"/>
          <w:sz w:val="26"/>
          <w:szCs w:val="26"/>
        </w:rPr>
        <w:t xml:space="preserve">.  </w:t>
      </w:r>
      <w:r w:rsidR="001A7787" w:rsidRPr="00C80D3A">
        <w:rPr>
          <w:rFonts w:ascii="Times New Roman" w:hAnsi="Times New Roman" w:cs="Times New Roman"/>
          <w:sz w:val="26"/>
          <w:szCs w:val="26"/>
        </w:rPr>
        <w:t xml:space="preserve">The Commission </w:t>
      </w:r>
      <w:r w:rsidRPr="00C80D3A">
        <w:rPr>
          <w:rFonts w:ascii="Times New Roman" w:hAnsi="Times New Roman" w:cs="Times New Roman"/>
          <w:sz w:val="26"/>
          <w:szCs w:val="26"/>
        </w:rPr>
        <w:t>would not expect non-payment</w:t>
      </w:r>
      <w:r w:rsidR="00A4185B" w:rsidRPr="00C80D3A">
        <w:rPr>
          <w:rFonts w:ascii="Times New Roman" w:hAnsi="Times New Roman" w:cs="Times New Roman"/>
          <w:sz w:val="26"/>
          <w:szCs w:val="26"/>
        </w:rPr>
        <w:noBreakHyphen/>
      </w:r>
      <w:r w:rsidRPr="00C80D3A">
        <w:rPr>
          <w:rFonts w:ascii="Times New Roman" w:hAnsi="Times New Roman" w:cs="Times New Roman"/>
          <w:sz w:val="26"/>
          <w:szCs w:val="26"/>
        </w:rPr>
        <w:t xml:space="preserve">troubled customers – that is, customers with minimal or no arrearages – to significantly increase the amount of PPAs forgiven in a utility CAP.  </w:t>
      </w:r>
    </w:p>
    <w:p w14:paraId="1CA3027C" w14:textId="77777777" w:rsidR="00506216" w:rsidRPr="00C80D3A" w:rsidRDefault="00506216" w:rsidP="00315DBC">
      <w:pPr>
        <w:spacing w:after="0" w:line="360" w:lineRule="auto"/>
        <w:contextualSpacing/>
        <w:rPr>
          <w:rFonts w:ascii="Times New Roman" w:hAnsi="Times New Roman" w:cs="Times New Roman"/>
          <w:sz w:val="26"/>
          <w:szCs w:val="26"/>
        </w:rPr>
      </w:pPr>
    </w:p>
    <w:p w14:paraId="34A30F30" w14:textId="5197C751"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Notwithstanding our concerns with Columbia</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estimate, </w:t>
      </w:r>
      <w:r w:rsidR="001A7787" w:rsidRPr="00C80D3A">
        <w:rPr>
          <w:rFonts w:ascii="Times New Roman" w:hAnsi="Times New Roman" w:cs="Times New Roman"/>
          <w:sz w:val="26"/>
          <w:szCs w:val="26"/>
        </w:rPr>
        <w:t xml:space="preserve">the Commission </w:t>
      </w:r>
      <w:r w:rsidR="00B33FCB" w:rsidRPr="00C80D3A">
        <w:rPr>
          <w:rFonts w:ascii="Times New Roman" w:hAnsi="Times New Roman" w:cs="Times New Roman"/>
          <w:sz w:val="26"/>
          <w:szCs w:val="26"/>
        </w:rPr>
        <w:t xml:space="preserve">finds </w:t>
      </w:r>
      <w:r w:rsidRPr="00C80D3A">
        <w:rPr>
          <w:rFonts w:ascii="Times New Roman" w:hAnsi="Times New Roman" w:cs="Times New Roman"/>
          <w:sz w:val="26"/>
          <w:szCs w:val="26"/>
        </w:rPr>
        <w:t xml:space="preserve">that prohibiting utilities from establishing payment-troubled criterion for CAP eligibility may restrict their ability to prioritize CAP applicants and control program costs, when necessary.  However, utilities </w:t>
      </w:r>
      <w:r w:rsidR="00B2640A" w:rsidRPr="00C80D3A">
        <w:rPr>
          <w:rFonts w:ascii="Times New Roman" w:hAnsi="Times New Roman" w:cs="Times New Roman"/>
          <w:sz w:val="26"/>
          <w:szCs w:val="26"/>
        </w:rPr>
        <w:t>sh</w:t>
      </w:r>
      <w:r w:rsidR="00AC4E8B" w:rsidRPr="00C80D3A">
        <w:rPr>
          <w:rFonts w:ascii="Times New Roman" w:hAnsi="Times New Roman" w:cs="Times New Roman"/>
          <w:sz w:val="26"/>
          <w:szCs w:val="26"/>
        </w:rPr>
        <w:t>ould</w:t>
      </w:r>
      <w:r w:rsidRPr="00C80D3A">
        <w:rPr>
          <w:rFonts w:ascii="Times New Roman" w:hAnsi="Times New Roman" w:cs="Times New Roman"/>
          <w:sz w:val="26"/>
          <w:szCs w:val="26"/>
        </w:rPr>
        <w:t xml:space="preserve"> justify </w:t>
      </w:r>
      <w:r w:rsidR="00F74DCA" w:rsidRPr="00C80D3A">
        <w:rPr>
          <w:rFonts w:ascii="Times New Roman" w:hAnsi="Times New Roman" w:cs="Times New Roman"/>
          <w:sz w:val="26"/>
          <w:szCs w:val="26"/>
        </w:rPr>
        <w:t xml:space="preserve">any proposed </w:t>
      </w:r>
      <w:r w:rsidRPr="00C80D3A">
        <w:rPr>
          <w:rFonts w:ascii="Times New Roman" w:hAnsi="Times New Roman" w:cs="Times New Roman"/>
          <w:sz w:val="26"/>
          <w:szCs w:val="26"/>
        </w:rPr>
        <w:t>restriction</w:t>
      </w:r>
      <w:r w:rsidR="00F74DCA" w:rsidRPr="00C80D3A">
        <w:rPr>
          <w:rFonts w:ascii="Times New Roman" w:hAnsi="Times New Roman" w:cs="Times New Roman"/>
          <w:sz w:val="26"/>
          <w:szCs w:val="26"/>
        </w:rPr>
        <w:t>s</w:t>
      </w:r>
      <w:r w:rsidRPr="00C80D3A">
        <w:rPr>
          <w:rFonts w:ascii="Times New Roman" w:hAnsi="Times New Roman" w:cs="Times New Roman"/>
          <w:sz w:val="26"/>
          <w:szCs w:val="26"/>
        </w:rPr>
        <w:t xml:space="preserve"> based on </w:t>
      </w:r>
      <w:r w:rsidR="00E13134" w:rsidRPr="00C80D3A">
        <w:rPr>
          <w:rFonts w:ascii="Times New Roman" w:hAnsi="Times New Roman" w:cs="Times New Roman"/>
          <w:sz w:val="26"/>
          <w:szCs w:val="26"/>
        </w:rPr>
        <w:t xml:space="preserve">their individual </w:t>
      </w:r>
      <w:r w:rsidRPr="00C80D3A">
        <w:rPr>
          <w:rFonts w:ascii="Times New Roman" w:hAnsi="Times New Roman" w:cs="Times New Roman"/>
          <w:sz w:val="26"/>
          <w:szCs w:val="26"/>
        </w:rPr>
        <w:t>program need</w:t>
      </w:r>
      <w:r w:rsidR="00E13134" w:rsidRPr="00C80D3A">
        <w:rPr>
          <w:rFonts w:ascii="Times New Roman" w:hAnsi="Times New Roman" w:cs="Times New Roman"/>
          <w:sz w:val="26"/>
          <w:szCs w:val="26"/>
        </w:rPr>
        <w:t>s</w:t>
      </w:r>
      <w:r w:rsidRPr="00C80D3A">
        <w:rPr>
          <w:rFonts w:ascii="Times New Roman" w:hAnsi="Times New Roman" w:cs="Times New Roman"/>
          <w:sz w:val="26"/>
          <w:szCs w:val="26"/>
        </w:rPr>
        <w:t>.  Columbia</w:t>
      </w:r>
      <w:r w:rsidR="001529C6">
        <w:rPr>
          <w:rFonts w:ascii="Times New Roman" w:hAnsi="Times New Roman" w:cs="Times New Roman"/>
          <w:sz w:val="26"/>
          <w:szCs w:val="26"/>
        </w:rPr>
        <w:t>’</w:t>
      </w:r>
      <w:r w:rsidRPr="00C80D3A">
        <w:rPr>
          <w:rFonts w:ascii="Times New Roman" w:hAnsi="Times New Roman" w:cs="Times New Roman"/>
          <w:sz w:val="26"/>
          <w:szCs w:val="26"/>
        </w:rPr>
        <w:t>s assertion that eliminating the payment-troubled criterion could increase its annual CAP costs by over $60 million within four years could be one such justification</w:t>
      </w:r>
      <w:r w:rsidR="00E13134" w:rsidRPr="00C80D3A">
        <w:rPr>
          <w:rFonts w:ascii="Times New Roman" w:hAnsi="Times New Roman" w:cs="Times New Roman"/>
          <w:sz w:val="26"/>
          <w:szCs w:val="26"/>
        </w:rPr>
        <w:t xml:space="preserve"> subject to further clarification and explanation</w:t>
      </w:r>
      <w:r w:rsidRPr="00C80D3A">
        <w:rPr>
          <w:rFonts w:ascii="Times New Roman" w:hAnsi="Times New Roman" w:cs="Times New Roman"/>
          <w:sz w:val="26"/>
          <w:szCs w:val="26"/>
        </w:rPr>
        <w:t xml:space="preserve">.  </w:t>
      </w:r>
    </w:p>
    <w:p w14:paraId="6E8A6A7E" w14:textId="77777777" w:rsidR="00506216" w:rsidRPr="00C80D3A" w:rsidRDefault="00506216" w:rsidP="00315DBC">
      <w:pPr>
        <w:spacing w:after="0" w:line="360" w:lineRule="auto"/>
        <w:contextualSpacing/>
        <w:rPr>
          <w:rFonts w:ascii="Times New Roman" w:hAnsi="Times New Roman" w:cs="Times New Roman"/>
          <w:sz w:val="26"/>
          <w:szCs w:val="26"/>
        </w:rPr>
      </w:pPr>
    </w:p>
    <w:p w14:paraId="442ADD19" w14:textId="42F9C5E8" w:rsidR="008A4134" w:rsidRPr="00C80D3A" w:rsidRDefault="008A4134"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F22766" w:rsidRPr="00C80D3A">
        <w:rPr>
          <w:rFonts w:ascii="Times New Roman" w:hAnsi="Times New Roman" w:cs="Times New Roman"/>
          <w:sz w:val="26"/>
          <w:szCs w:val="26"/>
        </w:rPr>
        <w:t xml:space="preserve">We find that </w:t>
      </w:r>
      <w:r w:rsidR="005658E0" w:rsidRPr="00C80D3A">
        <w:rPr>
          <w:rFonts w:ascii="Times New Roman" w:hAnsi="Times New Roman" w:cs="Times New Roman"/>
          <w:sz w:val="26"/>
          <w:szCs w:val="26"/>
        </w:rPr>
        <w:t xml:space="preserve">encouraging </w:t>
      </w:r>
      <w:r w:rsidR="00F22766" w:rsidRPr="00C80D3A">
        <w:rPr>
          <w:rFonts w:ascii="Times New Roman" w:hAnsi="Times New Roman" w:cs="Times New Roman"/>
          <w:sz w:val="26"/>
          <w:szCs w:val="26"/>
        </w:rPr>
        <w:t>u</w:t>
      </w:r>
      <w:r w:rsidR="00506216" w:rsidRPr="00C80D3A">
        <w:rPr>
          <w:rFonts w:ascii="Times New Roman" w:hAnsi="Times New Roman" w:cs="Times New Roman"/>
          <w:sz w:val="26"/>
          <w:szCs w:val="26"/>
        </w:rPr>
        <w:t>tilities</w:t>
      </w:r>
      <w:r w:rsidR="00506216" w:rsidRPr="00C80D3A" w:rsidDel="00F22766">
        <w:rPr>
          <w:rFonts w:ascii="Times New Roman" w:hAnsi="Times New Roman" w:cs="Times New Roman"/>
          <w:sz w:val="26"/>
          <w:szCs w:val="26"/>
        </w:rPr>
        <w:t xml:space="preserve"> </w:t>
      </w:r>
      <w:r w:rsidR="00506216" w:rsidRPr="00C80D3A">
        <w:rPr>
          <w:rFonts w:ascii="Times New Roman" w:hAnsi="Times New Roman" w:cs="Times New Roman"/>
          <w:sz w:val="26"/>
          <w:szCs w:val="26"/>
        </w:rPr>
        <w:t xml:space="preserve">to </w:t>
      </w:r>
      <w:r w:rsidR="005658E0" w:rsidRPr="00C80D3A">
        <w:rPr>
          <w:rFonts w:ascii="Times New Roman" w:hAnsi="Times New Roman" w:cs="Times New Roman"/>
          <w:sz w:val="26"/>
          <w:szCs w:val="26"/>
        </w:rPr>
        <w:t xml:space="preserve">restrict </w:t>
      </w:r>
      <w:r w:rsidR="005D48B2" w:rsidRPr="00C80D3A">
        <w:rPr>
          <w:rFonts w:ascii="Times New Roman" w:hAnsi="Times New Roman" w:cs="Times New Roman"/>
          <w:sz w:val="26"/>
          <w:szCs w:val="26"/>
        </w:rPr>
        <w:t xml:space="preserve">CAP enrollment based on </w:t>
      </w:r>
      <w:r w:rsidR="00506216" w:rsidRPr="00C80D3A">
        <w:rPr>
          <w:rFonts w:ascii="Times New Roman" w:hAnsi="Times New Roman" w:cs="Times New Roman"/>
          <w:sz w:val="26"/>
          <w:szCs w:val="26"/>
        </w:rPr>
        <w:t xml:space="preserve">a household </w:t>
      </w:r>
      <w:r w:rsidR="005D48B2" w:rsidRPr="00C80D3A">
        <w:rPr>
          <w:rFonts w:ascii="Times New Roman" w:hAnsi="Times New Roman" w:cs="Times New Roman"/>
          <w:sz w:val="26"/>
          <w:szCs w:val="26"/>
        </w:rPr>
        <w:t xml:space="preserve">being </w:t>
      </w:r>
      <w:r w:rsidR="00506216" w:rsidRPr="00C80D3A">
        <w:rPr>
          <w:rFonts w:ascii="Times New Roman" w:hAnsi="Times New Roman" w:cs="Times New Roman"/>
          <w:sz w:val="26"/>
          <w:szCs w:val="26"/>
        </w:rPr>
        <w:t>payment</w:t>
      </w:r>
      <w:r w:rsidR="005658E0" w:rsidRPr="00C80D3A">
        <w:rPr>
          <w:rFonts w:ascii="Times New Roman" w:hAnsi="Times New Roman" w:cs="Times New Roman"/>
          <w:sz w:val="26"/>
          <w:szCs w:val="26"/>
        </w:rPr>
        <w:t>-</w:t>
      </w:r>
      <w:r w:rsidR="00506216" w:rsidRPr="00C80D3A">
        <w:rPr>
          <w:rFonts w:ascii="Times New Roman" w:hAnsi="Times New Roman" w:cs="Times New Roman"/>
          <w:sz w:val="26"/>
          <w:szCs w:val="26"/>
        </w:rPr>
        <w:t>troubled before enrolling them in CAP</w:t>
      </w:r>
      <w:r w:rsidR="00F22766" w:rsidRPr="00C80D3A">
        <w:rPr>
          <w:rFonts w:ascii="Times New Roman" w:hAnsi="Times New Roman" w:cs="Times New Roman"/>
          <w:sz w:val="26"/>
          <w:szCs w:val="26"/>
        </w:rPr>
        <w:t xml:space="preserve"> is counter-productive and counter-intuitive</w:t>
      </w:r>
      <w:r w:rsidR="00506216" w:rsidRPr="00C80D3A">
        <w:rPr>
          <w:rFonts w:ascii="Times New Roman" w:hAnsi="Times New Roman" w:cs="Times New Roman"/>
          <w:sz w:val="26"/>
          <w:szCs w:val="26"/>
        </w:rPr>
        <w:t xml:space="preserve">.  </w:t>
      </w:r>
      <w:r w:rsidR="00223E2C" w:rsidRPr="00C80D3A">
        <w:rPr>
          <w:rFonts w:ascii="Times New Roman" w:hAnsi="Times New Roman" w:cs="Times New Roman"/>
          <w:sz w:val="26"/>
          <w:szCs w:val="26"/>
        </w:rPr>
        <w:t xml:space="preserve">However, </w:t>
      </w:r>
      <w:r w:rsidR="00557B55" w:rsidRPr="00C80D3A">
        <w:rPr>
          <w:rFonts w:ascii="Times New Roman" w:hAnsi="Times New Roman" w:cs="Times New Roman"/>
          <w:sz w:val="26"/>
          <w:szCs w:val="26"/>
        </w:rPr>
        <w:t xml:space="preserve">we </w:t>
      </w:r>
      <w:r w:rsidR="00223E2C" w:rsidRPr="00C80D3A">
        <w:rPr>
          <w:rFonts w:ascii="Times New Roman" w:hAnsi="Times New Roman" w:cs="Times New Roman"/>
          <w:sz w:val="26"/>
          <w:szCs w:val="26"/>
        </w:rPr>
        <w:t>also find that prohibiting a utility from establishing or maintaining a payment-troubled criterion for CAPs may limit the utility</w:t>
      </w:r>
      <w:r w:rsidR="001529C6">
        <w:rPr>
          <w:rFonts w:ascii="Times New Roman" w:hAnsi="Times New Roman" w:cs="Times New Roman"/>
          <w:sz w:val="26"/>
          <w:szCs w:val="26"/>
        </w:rPr>
        <w:t>’</w:t>
      </w:r>
      <w:r w:rsidR="00223E2C" w:rsidRPr="00C80D3A">
        <w:rPr>
          <w:rFonts w:ascii="Times New Roman" w:hAnsi="Times New Roman" w:cs="Times New Roman"/>
          <w:sz w:val="26"/>
          <w:szCs w:val="26"/>
        </w:rPr>
        <w:t xml:space="preserve">s ability to prioritize CAP enrollments or control costs if there is a program need.  </w:t>
      </w:r>
      <w:r w:rsidR="00D110F1" w:rsidRPr="00C80D3A">
        <w:rPr>
          <w:rFonts w:ascii="Times New Roman" w:hAnsi="Times New Roman" w:cs="Times New Roman"/>
          <w:sz w:val="26"/>
          <w:szCs w:val="26"/>
        </w:rPr>
        <w:t xml:space="preserve">A utility should have the flexibility to propose or maintain a payment-troubled criterion, if appropriate.  </w:t>
      </w:r>
    </w:p>
    <w:p w14:paraId="73DFECDE" w14:textId="77777777" w:rsidR="006E0B32" w:rsidRPr="00C80D3A" w:rsidRDefault="006E0B32" w:rsidP="00315DBC">
      <w:pPr>
        <w:spacing w:after="0" w:line="360" w:lineRule="auto"/>
        <w:contextualSpacing/>
        <w:rPr>
          <w:rFonts w:ascii="Times New Roman" w:hAnsi="Times New Roman" w:cs="Times New Roman"/>
          <w:sz w:val="26"/>
          <w:szCs w:val="26"/>
        </w:rPr>
      </w:pPr>
    </w:p>
    <w:p w14:paraId="28F2D9AD" w14:textId="33259769" w:rsidR="00637419" w:rsidRDefault="008A4134" w:rsidP="00C04CC5">
      <w:pPr>
        <w:keepNext/>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iCs/>
          <w:sz w:val="26"/>
          <w:szCs w:val="26"/>
        </w:rPr>
        <w:t>Resolution:</w:t>
      </w:r>
      <w:r w:rsidRPr="00A20145">
        <w:rPr>
          <w:rFonts w:ascii="Times New Roman" w:hAnsi="Times New Roman" w:cs="Times New Roman"/>
          <w:b/>
          <w:bCs/>
          <w:sz w:val="26"/>
          <w:szCs w:val="26"/>
        </w:rPr>
        <w:t xml:space="preserve"> </w:t>
      </w:r>
      <w:r w:rsidR="00637419" w:rsidRPr="00A20145">
        <w:rPr>
          <w:rFonts w:ascii="Times New Roman" w:hAnsi="Times New Roman" w:cs="Times New Roman"/>
          <w:b/>
          <w:bCs/>
          <w:sz w:val="26"/>
          <w:szCs w:val="26"/>
        </w:rPr>
        <w:t>Amend Section 69.261 – General</w:t>
      </w:r>
      <w:r w:rsidR="00B90DFB">
        <w:rPr>
          <w:rFonts w:ascii="Times New Roman" w:hAnsi="Times New Roman" w:cs="Times New Roman"/>
          <w:b/>
          <w:bCs/>
          <w:sz w:val="26"/>
          <w:szCs w:val="26"/>
        </w:rPr>
        <w:t>;</w:t>
      </w:r>
      <w:r w:rsidR="00637419" w:rsidRPr="00A20145">
        <w:rPr>
          <w:rFonts w:ascii="Times New Roman" w:hAnsi="Times New Roman" w:cs="Times New Roman"/>
          <w:b/>
          <w:bCs/>
          <w:sz w:val="26"/>
          <w:szCs w:val="26"/>
        </w:rPr>
        <w:t xml:space="preserve"> Section 69.262 – Definitions</w:t>
      </w:r>
      <w:r w:rsidR="00B90DFB">
        <w:rPr>
          <w:rFonts w:ascii="Times New Roman" w:hAnsi="Times New Roman" w:cs="Times New Roman"/>
          <w:b/>
          <w:bCs/>
          <w:sz w:val="26"/>
          <w:szCs w:val="26"/>
        </w:rPr>
        <w:t>;</w:t>
      </w:r>
      <w:r w:rsidR="00637419" w:rsidRPr="00A20145">
        <w:rPr>
          <w:rFonts w:ascii="Times New Roman" w:hAnsi="Times New Roman" w:cs="Times New Roman"/>
          <w:b/>
          <w:bCs/>
          <w:sz w:val="26"/>
          <w:szCs w:val="26"/>
        </w:rPr>
        <w:t xml:space="preserve"> Section</w:t>
      </w:r>
      <w:r w:rsidR="00DD7907">
        <w:rPr>
          <w:rFonts w:ascii="Times New Roman" w:hAnsi="Times New Roman" w:cs="Times New Roman"/>
          <w:b/>
          <w:bCs/>
          <w:sz w:val="26"/>
          <w:szCs w:val="26"/>
        </w:rPr>
        <w:t> </w:t>
      </w:r>
      <w:r w:rsidR="00637419" w:rsidRPr="00A20145">
        <w:rPr>
          <w:rFonts w:ascii="Times New Roman" w:hAnsi="Times New Roman" w:cs="Times New Roman"/>
          <w:b/>
          <w:bCs/>
          <w:sz w:val="26"/>
          <w:szCs w:val="26"/>
        </w:rPr>
        <w:t>69.264 – Scope of CAPs</w:t>
      </w:r>
      <w:r w:rsidR="00B90DFB">
        <w:rPr>
          <w:rFonts w:ascii="Times New Roman" w:hAnsi="Times New Roman" w:cs="Times New Roman"/>
          <w:b/>
          <w:bCs/>
          <w:sz w:val="26"/>
          <w:szCs w:val="26"/>
        </w:rPr>
        <w:t>;</w:t>
      </w:r>
      <w:r w:rsidR="00637419" w:rsidRPr="00A20145">
        <w:rPr>
          <w:rFonts w:ascii="Times New Roman" w:hAnsi="Times New Roman" w:cs="Times New Roman"/>
          <w:b/>
          <w:bCs/>
          <w:sz w:val="26"/>
          <w:szCs w:val="26"/>
        </w:rPr>
        <w:t xml:space="preserve"> Section 69.265</w:t>
      </w:r>
      <w:r w:rsidR="00B90DFB">
        <w:rPr>
          <w:rFonts w:ascii="Times New Roman" w:hAnsi="Times New Roman" w:cs="Times New Roman"/>
          <w:b/>
          <w:bCs/>
          <w:sz w:val="26"/>
          <w:szCs w:val="26"/>
        </w:rPr>
        <w:t>(4)–(5)</w:t>
      </w:r>
      <w:r w:rsidR="00637419" w:rsidRPr="00A20145">
        <w:rPr>
          <w:rFonts w:ascii="Times New Roman" w:hAnsi="Times New Roman" w:cs="Times New Roman"/>
          <w:b/>
          <w:bCs/>
          <w:sz w:val="26"/>
          <w:szCs w:val="26"/>
        </w:rPr>
        <w:t xml:space="preserve"> – CAP design elements</w:t>
      </w:r>
      <w:r w:rsidR="00B90DFB">
        <w:rPr>
          <w:rFonts w:ascii="Times New Roman" w:hAnsi="Times New Roman" w:cs="Times New Roman"/>
          <w:b/>
          <w:bCs/>
          <w:sz w:val="26"/>
          <w:szCs w:val="26"/>
        </w:rPr>
        <w:t>;</w:t>
      </w:r>
      <w:r w:rsidR="00637419" w:rsidRPr="00A20145">
        <w:rPr>
          <w:rFonts w:ascii="Times New Roman" w:hAnsi="Times New Roman" w:cs="Times New Roman"/>
          <w:b/>
          <w:bCs/>
          <w:sz w:val="26"/>
          <w:szCs w:val="26"/>
        </w:rPr>
        <w:t xml:space="preserve">  Section</w:t>
      </w:r>
      <w:r w:rsidR="00DD7907">
        <w:rPr>
          <w:rFonts w:ascii="Times New Roman" w:hAnsi="Times New Roman" w:cs="Times New Roman"/>
          <w:b/>
          <w:bCs/>
          <w:sz w:val="26"/>
          <w:szCs w:val="26"/>
        </w:rPr>
        <w:t> </w:t>
      </w:r>
      <w:r w:rsidR="00637419" w:rsidRPr="00A20145">
        <w:rPr>
          <w:rFonts w:ascii="Times New Roman" w:hAnsi="Times New Roman" w:cs="Times New Roman"/>
          <w:b/>
          <w:bCs/>
          <w:sz w:val="26"/>
          <w:szCs w:val="26"/>
        </w:rPr>
        <w:t>69.267 – Alternative program designs.</w:t>
      </w:r>
    </w:p>
    <w:p w14:paraId="0ACF5615" w14:textId="77777777" w:rsidR="00B90DFB" w:rsidRPr="00A20145" w:rsidRDefault="00B90DFB" w:rsidP="00C04CC5">
      <w:pPr>
        <w:keepNext/>
        <w:spacing w:after="0" w:line="240" w:lineRule="auto"/>
        <w:contextualSpacing/>
        <w:rPr>
          <w:rFonts w:ascii="Times New Roman" w:hAnsi="Times New Roman" w:cs="Times New Roman"/>
          <w:b/>
          <w:bCs/>
          <w:sz w:val="26"/>
          <w:szCs w:val="26"/>
        </w:rPr>
      </w:pPr>
    </w:p>
    <w:p w14:paraId="33613533" w14:textId="7305F77A" w:rsidR="00506216" w:rsidRPr="00C80D3A" w:rsidRDefault="00637419"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506216" w:rsidRPr="00C80D3A">
        <w:rPr>
          <w:rFonts w:ascii="Times New Roman" w:hAnsi="Times New Roman" w:cs="Times New Roman"/>
          <w:sz w:val="26"/>
          <w:szCs w:val="26"/>
        </w:rPr>
        <w:t>A</w:t>
      </w:r>
      <w:r w:rsidR="00ED3706" w:rsidRPr="00C80D3A">
        <w:rPr>
          <w:rFonts w:ascii="Times New Roman" w:hAnsi="Times New Roman" w:cs="Times New Roman"/>
          <w:sz w:val="26"/>
          <w:szCs w:val="26"/>
        </w:rPr>
        <w:t xml:space="preserve">s noted in </w:t>
      </w:r>
      <w:r w:rsidR="00B31F08" w:rsidRPr="00C80D3A">
        <w:rPr>
          <w:rFonts w:ascii="Times New Roman" w:hAnsi="Times New Roman" w:cs="Times New Roman"/>
          <w:sz w:val="26"/>
          <w:szCs w:val="26"/>
        </w:rPr>
        <w:t xml:space="preserve">Annex </w:t>
      </w:r>
      <w:r w:rsidR="005704DB" w:rsidRPr="00C80D3A">
        <w:rPr>
          <w:rFonts w:ascii="Times New Roman" w:hAnsi="Times New Roman" w:cs="Times New Roman"/>
          <w:sz w:val="26"/>
          <w:szCs w:val="26"/>
        </w:rPr>
        <w:t>A</w:t>
      </w:r>
      <w:r w:rsidR="00ED3706" w:rsidRPr="00C80D3A">
        <w:rPr>
          <w:rFonts w:ascii="Times New Roman" w:hAnsi="Times New Roman" w:cs="Times New Roman"/>
          <w:sz w:val="26"/>
          <w:szCs w:val="26"/>
        </w:rPr>
        <w:t xml:space="preserve">, </w:t>
      </w:r>
      <w:r w:rsidR="006F7F38" w:rsidRPr="00C80D3A">
        <w:rPr>
          <w:rFonts w:ascii="Times New Roman" w:hAnsi="Times New Roman" w:cs="Times New Roman"/>
          <w:sz w:val="26"/>
          <w:szCs w:val="26"/>
        </w:rPr>
        <w:t xml:space="preserve">this Order </w:t>
      </w:r>
      <w:r w:rsidR="00506216" w:rsidRPr="00C80D3A">
        <w:rPr>
          <w:rFonts w:ascii="Times New Roman" w:hAnsi="Times New Roman" w:cs="Times New Roman"/>
          <w:sz w:val="26"/>
          <w:szCs w:val="26"/>
        </w:rPr>
        <w:t>remov</w:t>
      </w:r>
      <w:r w:rsidR="006F7F38" w:rsidRPr="00C80D3A">
        <w:rPr>
          <w:rFonts w:ascii="Times New Roman" w:hAnsi="Times New Roman" w:cs="Times New Roman"/>
          <w:sz w:val="26"/>
          <w:szCs w:val="26"/>
        </w:rPr>
        <w:t>es</w:t>
      </w:r>
      <w:r w:rsidR="00506216" w:rsidRPr="00C80D3A">
        <w:rPr>
          <w:rFonts w:ascii="Times New Roman" w:hAnsi="Times New Roman" w:cs="Times New Roman"/>
          <w:sz w:val="26"/>
          <w:szCs w:val="26"/>
        </w:rPr>
        <w:t xml:space="preserve"> </w:t>
      </w:r>
      <w:r w:rsidR="00442D84" w:rsidRPr="00C80D3A">
        <w:rPr>
          <w:rFonts w:ascii="Times New Roman" w:hAnsi="Times New Roman" w:cs="Times New Roman"/>
          <w:sz w:val="26"/>
          <w:szCs w:val="26"/>
        </w:rPr>
        <w:t>“</w:t>
      </w:r>
      <w:r w:rsidR="00506216" w:rsidRPr="00C80D3A">
        <w:rPr>
          <w:rFonts w:ascii="Times New Roman" w:hAnsi="Times New Roman" w:cs="Times New Roman"/>
          <w:sz w:val="26"/>
          <w:szCs w:val="26"/>
        </w:rPr>
        <w:t>payment</w:t>
      </w:r>
      <w:r w:rsidR="005658E0" w:rsidRPr="00C80D3A">
        <w:rPr>
          <w:rFonts w:ascii="Times New Roman" w:hAnsi="Times New Roman" w:cs="Times New Roman"/>
          <w:sz w:val="26"/>
          <w:szCs w:val="26"/>
        </w:rPr>
        <w:t>-</w:t>
      </w:r>
      <w:r w:rsidR="00506216" w:rsidRPr="00C80D3A">
        <w:rPr>
          <w:rFonts w:ascii="Times New Roman" w:hAnsi="Times New Roman" w:cs="Times New Roman"/>
          <w:sz w:val="26"/>
          <w:szCs w:val="26"/>
        </w:rPr>
        <w:t>troubled</w:t>
      </w:r>
      <w:r w:rsidR="00442D84" w:rsidRPr="00C80D3A">
        <w:rPr>
          <w:rFonts w:ascii="Times New Roman" w:hAnsi="Times New Roman" w:cs="Times New Roman"/>
          <w:sz w:val="26"/>
          <w:szCs w:val="26"/>
        </w:rPr>
        <w:t>”</w:t>
      </w:r>
      <w:r w:rsidR="00506216" w:rsidRPr="00C80D3A">
        <w:rPr>
          <w:rFonts w:ascii="Times New Roman" w:hAnsi="Times New Roman" w:cs="Times New Roman"/>
          <w:sz w:val="26"/>
          <w:szCs w:val="26"/>
        </w:rPr>
        <w:t xml:space="preserve"> </w:t>
      </w:r>
      <w:r w:rsidR="00AE67A3" w:rsidRPr="00C80D3A">
        <w:rPr>
          <w:rFonts w:ascii="Times New Roman" w:hAnsi="Times New Roman" w:cs="Times New Roman"/>
          <w:sz w:val="26"/>
          <w:szCs w:val="26"/>
        </w:rPr>
        <w:t xml:space="preserve">as a CAP eligibility </w:t>
      </w:r>
      <w:r w:rsidR="00506216" w:rsidRPr="00C80D3A">
        <w:rPr>
          <w:rFonts w:ascii="Times New Roman" w:hAnsi="Times New Roman" w:cs="Times New Roman"/>
          <w:sz w:val="26"/>
          <w:szCs w:val="26"/>
        </w:rPr>
        <w:t xml:space="preserve">criterion.  </w:t>
      </w:r>
      <w:r w:rsidR="00F201E0" w:rsidRPr="00C80D3A">
        <w:rPr>
          <w:rFonts w:ascii="Times New Roman" w:hAnsi="Times New Roman" w:cs="Times New Roman"/>
          <w:sz w:val="26"/>
          <w:szCs w:val="26"/>
        </w:rPr>
        <w:t xml:space="preserve">As noted in </w:t>
      </w:r>
      <w:r w:rsidR="00B769AE" w:rsidRPr="00C80D3A">
        <w:rPr>
          <w:rFonts w:ascii="Times New Roman" w:hAnsi="Times New Roman" w:cs="Times New Roman"/>
          <w:sz w:val="26"/>
          <w:szCs w:val="26"/>
        </w:rPr>
        <w:t>Annex</w:t>
      </w:r>
      <w:r w:rsidR="00B31F08" w:rsidRPr="00C80D3A">
        <w:rPr>
          <w:rFonts w:ascii="Times New Roman" w:hAnsi="Times New Roman" w:cs="Times New Roman"/>
          <w:sz w:val="26"/>
          <w:szCs w:val="26"/>
        </w:rPr>
        <w:t xml:space="preserve"> </w:t>
      </w:r>
      <w:r w:rsidR="005704DB" w:rsidRPr="00C80D3A">
        <w:rPr>
          <w:rFonts w:ascii="Times New Roman" w:hAnsi="Times New Roman" w:cs="Times New Roman"/>
          <w:sz w:val="26"/>
          <w:szCs w:val="26"/>
        </w:rPr>
        <w:t>A</w:t>
      </w:r>
      <w:r w:rsidR="00F201E0" w:rsidRPr="00C80D3A">
        <w:rPr>
          <w:rFonts w:ascii="Times New Roman" w:hAnsi="Times New Roman" w:cs="Times New Roman"/>
          <w:sz w:val="26"/>
          <w:szCs w:val="26"/>
        </w:rPr>
        <w:t xml:space="preserve">, “payment troubled” </w:t>
      </w:r>
      <w:r w:rsidR="001C2011" w:rsidRPr="00C80D3A">
        <w:rPr>
          <w:rFonts w:ascii="Times New Roman" w:hAnsi="Times New Roman" w:cs="Times New Roman"/>
          <w:sz w:val="26"/>
          <w:szCs w:val="26"/>
        </w:rPr>
        <w:t xml:space="preserve">will </w:t>
      </w:r>
      <w:r w:rsidR="00F201E0" w:rsidRPr="00C80D3A">
        <w:rPr>
          <w:rFonts w:ascii="Times New Roman" w:hAnsi="Times New Roman" w:cs="Times New Roman"/>
          <w:sz w:val="26"/>
          <w:szCs w:val="26"/>
        </w:rPr>
        <w:t>be retained as a permissive CAP eligibility criterion</w:t>
      </w:r>
      <w:r w:rsidR="00782FFB" w:rsidRPr="00C80D3A">
        <w:rPr>
          <w:rFonts w:ascii="Times New Roman" w:hAnsi="Times New Roman" w:cs="Times New Roman"/>
          <w:sz w:val="26"/>
          <w:szCs w:val="26"/>
        </w:rPr>
        <w:t xml:space="preserve"> at this time</w:t>
      </w:r>
      <w:r w:rsidR="00F201E0" w:rsidRPr="00C80D3A">
        <w:rPr>
          <w:rFonts w:ascii="Times New Roman" w:hAnsi="Times New Roman" w:cs="Times New Roman"/>
          <w:sz w:val="26"/>
          <w:szCs w:val="26"/>
        </w:rPr>
        <w:t xml:space="preserve">.  </w:t>
      </w:r>
      <w:r w:rsidR="00DD7907">
        <w:rPr>
          <w:rFonts w:ascii="Times New Roman" w:hAnsi="Times New Roman" w:cs="Times New Roman"/>
          <w:sz w:val="26"/>
          <w:szCs w:val="26"/>
        </w:rPr>
        <w:t>New Section 69.265(5) reflects these changes.</w:t>
      </w:r>
    </w:p>
    <w:p w14:paraId="029BB900" w14:textId="77777777" w:rsidR="00626160" w:rsidRPr="00C80D3A" w:rsidRDefault="00626160" w:rsidP="00626160">
      <w:pPr>
        <w:spacing w:after="0" w:line="360" w:lineRule="auto"/>
        <w:contextualSpacing/>
        <w:rPr>
          <w:rFonts w:ascii="Times New Roman" w:hAnsi="Times New Roman" w:cs="Times New Roman"/>
          <w:sz w:val="26"/>
          <w:szCs w:val="26"/>
        </w:rPr>
      </w:pPr>
    </w:p>
    <w:p w14:paraId="20B4A1D8" w14:textId="27D1CB09" w:rsidR="00506216" w:rsidRPr="00C80D3A" w:rsidRDefault="00506216" w:rsidP="001D5DA4">
      <w:pPr>
        <w:pStyle w:val="Heading3"/>
        <w:keepLines/>
        <w:contextualSpacing/>
        <w:rPr>
          <w:sz w:val="26"/>
          <w:szCs w:val="26"/>
        </w:rPr>
      </w:pPr>
      <w:bookmarkStart w:id="13" w:name="_5._Proposed_Change:"/>
      <w:bookmarkEnd w:id="13"/>
      <w:r w:rsidRPr="00C80D3A">
        <w:rPr>
          <w:bCs/>
          <w:sz w:val="26"/>
          <w:szCs w:val="26"/>
        </w:rPr>
        <w:t>5.</w:t>
      </w:r>
      <w:r w:rsidRPr="00C80D3A">
        <w:rPr>
          <w:sz w:val="26"/>
          <w:szCs w:val="26"/>
        </w:rPr>
        <w:t xml:space="preserve"> </w:t>
      </w:r>
      <w:r w:rsidR="0083623D" w:rsidRPr="00C80D3A">
        <w:rPr>
          <w:sz w:val="26"/>
          <w:szCs w:val="26"/>
        </w:rPr>
        <w:t xml:space="preserve"> </w:t>
      </w:r>
      <w:bookmarkStart w:id="14" w:name="_Hlk13555717"/>
      <w:r w:rsidRPr="00C80D3A">
        <w:rPr>
          <w:sz w:val="26"/>
          <w:szCs w:val="26"/>
        </w:rPr>
        <w:t xml:space="preserve">Eliminate the </w:t>
      </w:r>
      <w:r w:rsidR="00CE6885" w:rsidRPr="00C80D3A">
        <w:rPr>
          <w:sz w:val="26"/>
          <w:szCs w:val="26"/>
        </w:rPr>
        <w:t xml:space="preserve">provisions </w:t>
      </w:r>
      <w:r w:rsidRPr="00C80D3A">
        <w:rPr>
          <w:sz w:val="26"/>
          <w:szCs w:val="26"/>
        </w:rPr>
        <w:t xml:space="preserve">in the CAP Policy Statement that a customer </w:t>
      </w:r>
      <w:r w:rsidR="00263300" w:rsidRPr="00C80D3A">
        <w:rPr>
          <w:sz w:val="26"/>
          <w:szCs w:val="26"/>
        </w:rPr>
        <w:t xml:space="preserve">should </w:t>
      </w:r>
      <w:r w:rsidRPr="00C80D3A">
        <w:rPr>
          <w:sz w:val="26"/>
          <w:szCs w:val="26"/>
        </w:rPr>
        <w:t>d</w:t>
      </w:r>
      <w:r w:rsidR="000F2D01" w:rsidRPr="00C80D3A">
        <w:rPr>
          <w:sz w:val="26"/>
          <w:szCs w:val="26"/>
        </w:rPr>
        <w:t>irect</w:t>
      </w:r>
      <w:r w:rsidRPr="00C80D3A">
        <w:rPr>
          <w:sz w:val="26"/>
          <w:szCs w:val="26"/>
        </w:rPr>
        <w:t xml:space="preserve"> the LIHEAP grant to the utility sponsoring the CAP (Section 69.265(9)(i)) or be penalized for not applying for LIHEAP (Section 69.265(9)(ii)</w:t>
      </w:r>
      <w:r w:rsidR="003A2598" w:rsidRPr="00C80D3A">
        <w:rPr>
          <w:sz w:val="26"/>
          <w:szCs w:val="26"/>
        </w:rPr>
        <w:t xml:space="preserve"> and (iv)</w:t>
      </w:r>
      <w:r w:rsidRPr="00C80D3A">
        <w:rPr>
          <w:sz w:val="26"/>
          <w:szCs w:val="26"/>
        </w:rPr>
        <w:t xml:space="preserve">).  </w:t>
      </w:r>
      <w:r w:rsidR="009C6D92" w:rsidRPr="00C80D3A">
        <w:rPr>
          <w:sz w:val="26"/>
          <w:szCs w:val="26"/>
        </w:rPr>
        <w:t xml:space="preserve">Eliminate the </w:t>
      </w:r>
      <w:r w:rsidR="00400D97" w:rsidRPr="00C80D3A">
        <w:rPr>
          <w:sz w:val="26"/>
          <w:szCs w:val="26"/>
        </w:rPr>
        <w:t xml:space="preserve">provisions in the CAP Policy Statement that a LIHEAP grant should be </w:t>
      </w:r>
      <w:r w:rsidR="00132724" w:rsidRPr="00C80D3A">
        <w:rPr>
          <w:sz w:val="26"/>
          <w:szCs w:val="26"/>
        </w:rPr>
        <w:t xml:space="preserve">applied to reduce the amount of </w:t>
      </w:r>
      <w:r w:rsidR="00400D97" w:rsidRPr="00C80D3A">
        <w:rPr>
          <w:sz w:val="26"/>
          <w:szCs w:val="26"/>
        </w:rPr>
        <w:t xml:space="preserve">CAP </w:t>
      </w:r>
      <w:r w:rsidR="00132724" w:rsidRPr="00C80D3A">
        <w:rPr>
          <w:sz w:val="26"/>
          <w:szCs w:val="26"/>
        </w:rPr>
        <w:t xml:space="preserve">credits </w:t>
      </w:r>
      <w:r w:rsidR="00400D97" w:rsidRPr="00C80D3A">
        <w:rPr>
          <w:sz w:val="26"/>
          <w:szCs w:val="26"/>
        </w:rPr>
        <w:t>(Section 69.265(9)(</w:t>
      </w:r>
      <w:r w:rsidR="00132724" w:rsidRPr="00C80D3A">
        <w:rPr>
          <w:sz w:val="26"/>
          <w:szCs w:val="26"/>
        </w:rPr>
        <w:t>ii</w:t>
      </w:r>
      <w:r w:rsidR="00400D97" w:rsidRPr="00C80D3A">
        <w:rPr>
          <w:sz w:val="26"/>
          <w:szCs w:val="26"/>
        </w:rPr>
        <w:t>i))</w:t>
      </w:r>
      <w:r w:rsidR="00132724" w:rsidRPr="00C80D3A">
        <w:rPr>
          <w:sz w:val="26"/>
          <w:szCs w:val="26"/>
        </w:rPr>
        <w:t>.</w:t>
      </w:r>
      <w:r w:rsidR="00400D97" w:rsidRPr="00C80D3A">
        <w:rPr>
          <w:sz w:val="26"/>
          <w:szCs w:val="26"/>
        </w:rPr>
        <w:t xml:space="preserve"> </w:t>
      </w:r>
      <w:r w:rsidR="00132724" w:rsidRPr="00C80D3A">
        <w:rPr>
          <w:sz w:val="26"/>
          <w:szCs w:val="26"/>
        </w:rPr>
        <w:t xml:space="preserve"> </w:t>
      </w:r>
      <w:r w:rsidRPr="00C80D3A">
        <w:rPr>
          <w:sz w:val="26"/>
          <w:szCs w:val="26"/>
        </w:rPr>
        <w:t xml:space="preserve">However, all CAP customers </w:t>
      </w:r>
      <w:r w:rsidR="000351D5" w:rsidRPr="00C80D3A">
        <w:rPr>
          <w:sz w:val="26"/>
          <w:szCs w:val="26"/>
        </w:rPr>
        <w:t xml:space="preserve">should </w:t>
      </w:r>
      <w:r w:rsidRPr="00C80D3A">
        <w:rPr>
          <w:sz w:val="26"/>
          <w:szCs w:val="26"/>
        </w:rPr>
        <w:t>participate in LIHEAP if eligible.</w:t>
      </w:r>
      <w:bookmarkEnd w:id="14"/>
    </w:p>
    <w:p w14:paraId="4CB19324" w14:textId="77777777" w:rsidR="00506216" w:rsidRPr="00C80D3A" w:rsidRDefault="00506216" w:rsidP="009A3B4B">
      <w:pPr>
        <w:keepNext/>
        <w:keepLines/>
        <w:spacing w:after="0" w:line="240" w:lineRule="auto"/>
        <w:contextualSpacing/>
        <w:rPr>
          <w:rFonts w:ascii="Times New Roman" w:hAnsi="Times New Roman" w:cs="Times New Roman"/>
          <w:sz w:val="26"/>
          <w:szCs w:val="26"/>
        </w:rPr>
      </w:pPr>
    </w:p>
    <w:p w14:paraId="5366A458" w14:textId="15C314B2"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Customer participation in LIHEAP has been a central component in CAP designs since these programs were first widely implemented during the 1990s.</w:t>
      </w:r>
      <w:r w:rsidR="006D30E9" w:rsidRPr="00C80D3A">
        <w:rPr>
          <w:rFonts w:ascii="Times New Roman" w:hAnsi="Times New Roman" w:cs="Times New Roman"/>
          <w:sz w:val="26"/>
          <w:szCs w:val="26"/>
          <w:vertAlign w:val="superscript"/>
        </w:rPr>
        <w:footnoteReference w:id="80"/>
      </w:r>
      <w:r w:rsidRPr="00C80D3A">
        <w:rPr>
          <w:rFonts w:ascii="Times New Roman" w:hAnsi="Times New Roman" w:cs="Times New Roman"/>
          <w:sz w:val="26"/>
          <w:szCs w:val="26"/>
        </w:rPr>
        <w:t xml:space="preserve">  The CAP Policy Statement </w:t>
      </w:r>
      <w:r w:rsidR="001D24DC" w:rsidRPr="00C80D3A">
        <w:rPr>
          <w:rFonts w:ascii="Times New Roman" w:hAnsi="Times New Roman" w:cs="Times New Roman"/>
          <w:sz w:val="26"/>
          <w:szCs w:val="26"/>
        </w:rPr>
        <w:t xml:space="preserve">currently </w:t>
      </w:r>
      <w:r w:rsidRPr="00C80D3A">
        <w:rPr>
          <w:rFonts w:ascii="Times New Roman" w:hAnsi="Times New Roman" w:cs="Times New Roman"/>
          <w:sz w:val="26"/>
          <w:szCs w:val="26"/>
        </w:rPr>
        <w:t>recommends that customers should complete a LIHEAP application when they apply for CAPs (Section 69.265(6)(v)); a LIHEAP grant should be designated to the utility sponsoring the CAP (Section 69.265(9)(i)); CAP customers should incur a penalty if they do not apply for LIHEAP (Section 69.265(9)(ii</w:t>
      </w:r>
      <w:r w:rsidR="00114158" w:rsidRPr="00C80D3A">
        <w:rPr>
          <w:rFonts w:ascii="Times New Roman" w:hAnsi="Times New Roman" w:cs="Times New Roman"/>
          <w:sz w:val="26"/>
          <w:szCs w:val="26"/>
        </w:rPr>
        <w:t>) and (</w:t>
      </w:r>
      <w:r w:rsidRPr="00C80D3A">
        <w:rPr>
          <w:rFonts w:ascii="Times New Roman" w:hAnsi="Times New Roman" w:cs="Times New Roman"/>
          <w:sz w:val="26"/>
          <w:szCs w:val="26"/>
        </w:rPr>
        <w:t>iv))</w:t>
      </w:r>
      <w:r w:rsidR="00843FE1" w:rsidRPr="00C80D3A">
        <w:rPr>
          <w:rFonts w:ascii="Times New Roman" w:hAnsi="Times New Roman" w:cs="Times New Roman"/>
          <w:sz w:val="26"/>
          <w:szCs w:val="26"/>
        </w:rPr>
        <w:t>; and LIHEAP grants should be applied to CAP credits (Section 69.265(9)(iii))</w:t>
      </w:r>
      <w:r w:rsidRPr="00C80D3A">
        <w:rPr>
          <w:rFonts w:ascii="Times New Roman" w:hAnsi="Times New Roman" w:cs="Times New Roman"/>
          <w:sz w:val="26"/>
          <w:szCs w:val="26"/>
        </w:rPr>
        <w:t xml:space="preserve">.  </w:t>
      </w:r>
    </w:p>
    <w:p w14:paraId="23BB9CC3" w14:textId="77777777" w:rsidR="00506216" w:rsidRPr="00C80D3A" w:rsidRDefault="00506216" w:rsidP="00315DBC">
      <w:pPr>
        <w:spacing w:after="0" w:line="360" w:lineRule="auto"/>
        <w:contextualSpacing/>
        <w:rPr>
          <w:rFonts w:ascii="Times New Roman" w:hAnsi="Times New Roman" w:cs="Times New Roman"/>
          <w:sz w:val="26"/>
          <w:szCs w:val="26"/>
        </w:rPr>
      </w:pPr>
    </w:p>
    <w:p w14:paraId="6F79A1AE" w14:textId="7777777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In both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and </w:t>
      </w:r>
      <w:r w:rsidRPr="00C80D3A">
        <w:rPr>
          <w:rFonts w:ascii="Times New Roman" w:hAnsi="Times New Roman" w:cs="Times New Roman"/>
          <w:i/>
          <w:iCs/>
          <w:sz w:val="26"/>
          <w:szCs w:val="26"/>
        </w:rPr>
        <w:t>Energy Affordability</w:t>
      </w:r>
      <w:r w:rsidRPr="00C80D3A">
        <w:rPr>
          <w:rFonts w:ascii="Times New Roman" w:hAnsi="Times New Roman" w:cs="Times New Roman"/>
          <w:sz w:val="26"/>
          <w:szCs w:val="26"/>
        </w:rPr>
        <w:t xml:space="preserve"> proceedings, stakeholders expressed various opinions about whether LIHEAP participation should remain a requirement for CAP eligibility going forward.</w:t>
      </w:r>
    </w:p>
    <w:p w14:paraId="283C7CEF" w14:textId="77777777" w:rsidR="00506216" w:rsidRPr="00C80D3A" w:rsidRDefault="00506216" w:rsidP="00315DBC">
      <w:pPr>
        <w:spacing w:after="0" w:line="360" w:lineRule="auto"/>
        <w:contextualSpacing/>
        <w:rPr>
          <w:rFonts w:ascii="Times New Roman" w:hAnsi="Times New Roman" w:cs="Times New Roman"/>
          <w:sz w:val="26"/>
          <w:szCs w:val="26"/>
        </w:rPr>
      </w:pPr>
    </w:p>
    <w:p w14:paraId="3391A5E1" w14:textId="042E67E5" w:rsidR="00506216" w:rsidRPr="00C80D3A" w:rsidRDefault="00506216" w:rsidP="007B6079">
      <w:pPr>
        <w:keepNext/>
        <w:spacing w:after="0" w:line="240" w:lineRule="auto"/>
        <w:contextualSpacing/>
        <w:rPr>
          <w:rFonts w:ascii="Times New Roman" w:hAnsi="Times New Roman" w:cs="Times New Roman"/>
          <w:color w:val="000000"/>
          <w:sz w:val="26"/>
          <w:szCs w:val="26"/>
        </w:rPr>
      </w:pPr>
      <w:r w:rsidRPr="00C80D3A">
        <w:rPr>
          <w:rFonts w:ascii="Times New Roman" w:hAnsi="Times New Roman" w:cs="Times New Roman"/>
          <w:i/>
          <w:sz w:val="26"/>
          <w:szCs w:val="26"/>
        </w:rPr>
        <w:t>Review of Universal Service and Energy Conservation Programs, Docket No. M</w:t>
      </w:r>
      <w:r w:rsidR="00637419" w:rsidRPr="00C80D3A">
        <w:rPr>
          <w:rFonts w:ascii="Times New Roman" w:hAnsi="Times New Roman" w:cs="Times New Roman"/>
          <w:i/>
          <w:sz w:val="26"/>
          <w:szCs w:val="26"/>
        </w:rPr>
        <w:t>-</w:t>
      </w:r>
      <w:r w:rsidRPr="00C80D3A">
        <w:rPr>
          <w:rFonts w:ascii="Times New Roman" w:hAnsi="Times New Roman" w:cs="Times New Roman"/>
          <w:i/>
          <w:sz w:val="26"/>
          <w:szCs w:val="26"/>
        </w:rPr>
        <w:t>2017</w:t>
      </w:r>
      <w:r w:rsidR="00637419" w:rsidRPr="00C80D3A">
        <w:rPr>
          <w:rFonts w:ascii="Times New Roman" w:hAnsi="Times New Roman" w:cs="Times New Roman"/>
          <w:i/>
          <w:sz w:val="26"/>
          <w:szCs w:val="26"/>
        </w:rPr>
        <w:t>-</w:t>
      </w:r>
      <w:r w:rsidRPr="00C80D3A">
        <w:rPr>
          <w:rFonts w:ascii="Times New Roman" w:hAnsi="Times New Roman" w:cs="Times New Roman"/>
          <w:i/>
          <w:sz w:val="26"/>
          <w:szCs w:val="26"/>
        </w:rPr>
        <w:t>2596907</w:t>
      </w:r>
    </w:p>
    <w:p w14:paraId="7D98B97F" w14:textId="77777777" w:rsidR="007B6079" w:rsidRPr="00674864" w:rsidRDefault="007B6079" w:rsidP="009A3B4B">
      <w:pPr>
        <w:keepNext/>
        <w:spacing w:after="0" w:line="240" w:lineRule="auto"/>
        <w:contextualSpacing/>
        <w:rPr>
          <w:rFonts w:ascii="Times New Roman" w:hAnsi="Times New Roman" w:cs="Times New Roman"/>
          <w:bCs/>
          <w:sz w:val="26"/>
          <w:szCs w:val="26"/>
        </w:rPr>
      </w:pPr>
    </w:p>
    <w:p w14:paraId="75958665" w14:textId="77777777" w:rsidR="00506216" w:rsidRPr="00C80D3A" w:rsidRDefault="00506216" w:rsidP="007B6079">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from Parties</w:t>
      </w:r>
    </w:p>
    <w:p w14:paraId="52126F93" w14:textId="665B7909"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EAP, Duquesne, and OCA support removing LIHEAP participation as a requirement for CAP eligibility.  EAP Reply Comments at 9, Duquesne Reply Comments at 17, and OCA Comments at 32</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34, Appendix A at 28.</w:t>
      </w:r>
    </w:p>
    <w:p w14:paraId="284F42B4" w14:textId="77777777" w:rsidR="00506216" w:rsidRPr="00C80D3A" w:rsidRDefault="00506216" w:rsidP="00315DBC">
      <w:pPr>
        <w:spacing w:after="0" w:line="360" w:lineRule="auto"/>
        <w:contextualSpacing/>
        <w:rPr>
          <w:rFonts w:ascii="Times New Roman" w:hAnsi="Times New Roman" w:cs="Times New Roman"/>
          <w:sz w:val="26"/>
          <w:szCs w:val="26"/>
        </w:rPr>
      </w:pPr>
    </w:p>
    <w:p w14:paraId="03BEC73D" w14:textId="39F514B2"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OCA and PPL also recommend removal of the provision that allows for a customer to be penalized for failure to apply for LIHEAP.   OCA Comments at 12</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13</w:t>
      </w:r>
      <w:r w:rsidR="001D5DA4" w:rsidRPr="00C80D3A">
        <w:rPr>
          <w:rFonts w:ascii="Times New Roman" w:hAnsi="Times New Roman" w:cs="Times New Roman"/>
          <w:sz w:val="26"/>
          <w:szCs w:val="26"/>
        </w:rPr>
        <w:t>,</w:t>
      </w:r>
      <w:r w:rsidRPr="00C80D3A">
        <w:rPr>
          <w:rFonts w:ascii="Times New Roman" w:hAnsi="Times New Roman" w:cs="Times New Roman"/>
          <w:sz w:val="26"/>
          <w:szCs w:val="26"/>
        </w:rPr>
        <w:t xml:space="preserve"> and PPL Reply Comments at 3.</w:t>
      </w:r>
    </w:p>
    <w:p w14:paraId="48EE2C74"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742C27F1" w14:textId="7777777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Commission on Economic Opportunity (CEO) opines that CAP customers should be encouraged but not required to apply for LIHEAP or Hardship Funds.  CEO Reply Comments at 1.</w:t>
      </w:r>
    </w:p>
    <w:p w14:paraId="5D054588" w14:textId="77777777" w:rsidR="00506216" w:rsidRPr="00C80D3A" w:rsidRDefault="00506216" w:rsidP="00315DBC">
      <w:pPr>
        <w:spacing w:after="0" w:line="360" w:lineRule="auto"/>
        <w:contextualSpacing/>
        <w:rPr>
          <w:rFonts w:ascii="Times New Roman" w:hAnsi="Times New Roman" w:cs="Times New Roman"/>
          <w:sz w:val="26"/>
          <w:szCs w:val="26"/>
        </w:rPr>
      </w:pPr>
    </w:p>
    <w:p w14:paraId="2E494B59" w14:textId="77777777" w:rsidR="00506216" w:rsidRPr="00C80D3A" w:rsidRDefault="00506216" w:rsidP="009A3B4B">
      <w:pPr>
        <w:keepNext/>
        <w:spacing w:after="0" w:line="240" w:lineRule="auto"/>
        <w:contextualSpacing/>
        <w:rPr>
          <w:rFonts w:ascii="Times New Roman" w:hAnsi="Times New Roman" w:cs="Times New Roman"/>
          <w:i/>
          <w:sz w:val="26"/>
          <w:szCs w:val="26"/>
        </w:rPr>
      </w:pPr>
      <w:r w:rsidRPr="00C80D3A">
        <w:rPr>
          <w:rFonts w:ascii="Times New Roman" w:hAnsi="Times New Roman" w:cs="Times New Roman"/>
          <w:i/>
          <w:sz w:val="26"/>
          <w:szCs w:val="26"/>
        </w:rPr>
        <w:t>Energy Affordability Report and January 2019 Order, Docket No. M-2017-2587711</w:t>
      </w:r>
    </w:p>
    <w:p w14:paraId="4CDC601C" w14:textId="77777777" w:rsidR="00506216" w:rsidRPr="00C80D3A" w:rsidRDefault="00506216" w:rsidP="0077058C">
      <w:pPr>
        <w:keepNext/>
        <w:spacing w:after="0" w:line="240" w:lineRule="auto"/>
        <w:contextualSpacing/>
        <w:rPr>
          <w:rFonts w:ascii="Times New Roman" w:hAnsi="Times New Roman" w:cs="Times New Roman"/>
          <w:sz w:val="26"/>
          <w:szCs w:val="26"/>
        </w:rPr>
      </w:pPr>
    </w:p>
    <w:p w14:paraId="3D5FF6A7" w14:textId="77777777" w:rsidR="00506216" w:rsidRPr="00C80D3A" w:rsidRDefault="00506216" w:rsidP="007B6079">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from Parties</w:t>
      </w:r>
    </w:p>
    <w:p w14:paraId="27AECEB5" w14:textId="7DD16F2D"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FirstEnergy, PPL, PECO, the Low Income Advocates, and OCA oppose mandating LIHEAP participation as a requirement for CAPs.  FirstEnergy Comments at</w:t>
      </w:r>
      <w:r w:rsidR="001B06DC" w:rsidRPr="00C80D3A">
        <w:rPr>
          <w:rFonts w:ascii="Times New Roman" w:hAnsi="Times New Roman" w:cs="Times New Roman"/>
          <w:sz w:val="26"/>
          <w:szCs w:val="26"/>
        </w:rPr>
        <w:t> </w:t>
      </w:r>
      <w:r w:rsidRPr="00C80D3A">
        <w:rPr>
          <w:rFonts w:ascii="Times New Roman" w:hAnsi="Times New Roman" w:cs="Times New Roman"/>
          <w:sz w:val="26"/>
          <w:szCs w:val="26"/>
        </w:rPr>
        <w:t>5, PPL Comments at 8, PECO at 11</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12, Low Income Advocate</w:t>
      </w:r>
      <w:r w:rsidR="007972F0" w:rsidRPr="00C80D3A">
        <w:rPr>
          <w:rFonts w:ascii="Times New Roman" w:hAnsi="Times New Roman" w:cs="Times New Roman"/>
          <w:sz w:val="26"/>
          <w:szCs w:val="26"/>
        </w:rPr>
        <w:t>s</w:t>
      </w:r>
      <w:r w:rsidRPr="00C80D3A">
        <w:rPr>
          <w:rFonts w:ascii="Times New Roman" w:hAnsi="Times New Roman" w:cs="Times New Roman"/>
          <w:sz w:val="26"/>
          <w:szCs w:val="26"/>
        </w:rPr>
        <w:t xml:space="preserve"> Comments at 30, and OCA Comments at 13.  Linking CAP and LIHEAP enrollments may unnecessarily complicate CAP requirements.  PPL Comments at 9.  Further, a LIHEAP cash grant can only be issued to one vendor.  If the household </w:t>
      </w:r>
      <w:r w:rsidR="00AD6403" w:rsidRPr="00C80D3A">
        <w:rPr>
          <w:rFonts w:ascii="Times New Roman" w:hAnsi="Times New Roman" w:cs="Times New Roman"/>
          <w:sz w:val="26"/>
          <w:szCs w:val="26"/>
        </w:rPr>
        <w:t xml:space="preserve">directs </w:t>
      </w:r>
      <w:r w:rsidRPr="00C80D3A">
        <w:rPr>
          <w:rFonts w:ascii="Times New Roman" w:hAnsi="Times New Roman" w:cs="Times New Roman"/>
          <w:sz w:val="26"/>
          <w:szCs w:val="26"/>
        </w:rPr>
        <w:t>its grant to another utility or vendor, there is no way to confirm LIHEAP participation and the</w:t>
      </w:r>
      <w:r w:rsidR="00AD6403" w:rsidRPr="00C80D3A">
        <w:rPr>
          <w:rFonts w:ascii="Times New Roman" w:hAnsi="Times New Roman" w:cs="Times New Roman"/>
          <w:sz w:val="26"/>
          <w:szCs w:val="26"/>
        </w:rPr>
        <w:t xml:space="preserve"> household</w:t>
      </w:r>
      <w:r w:rsidRPr="00C80D3A">
        <w:rPr>
          <w:rFonts w:ascii="Times New Roman" w:hAnsi="Times New Roman" w:cs="Times New Roman"/>
          <w:sz w:val="26"/>
          <w:szCs w:val="26"/>
        </w:rPr>
        <w:t xml:space="preserve"> could be removed from CAP or denied </w:t>
      </w:r>
      <w:r w:rsidR="00065B12" w:rsidRPr="00C80D3A">
        <w:rPr>
          <w:rFonts w:ascii="Times New Roman" w:hAnsi="Times New Roman" w:cs="Times New Roman"/>
          <w:sz w:val="26"/>
          <w:szCs w:val="26"/>
        </w:rPr>
        <w:t xml:space="preserve">CAP </w:t>
      </w:r>
      <w:r w:rsidRPr="00C80D3A">
        <w:rPr>
          <w:rFonts w:ascii="Times New Roman" w:hAnsi="Times New Roman" w:cs="Times New Roman"/>
          <w:sz w:val="26"/>
          <w:szCs w:val="26"/>
        </w:rPr>
        <w:t>eligibility.  Duquesne at 6</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 xml:space="preserve">7, FirstEnergy Comments at 5, PECO Comments at 12, EAP Comments at 16, Low Income Advocates Comments at 27, OCA Comments at 13.  PGW estimates that enforcing this </w:t>
      </w:r>
      <w:r w:rsidR="00065B12" w:rsidRPr="00C80D3A">
        <w:rPr>
          <w:rFonts w:ascii="Times New Roman" w:hAnsi="Times New Roman" w:cs="Times New Roman"/>
          <w:sz w:val="26"/>
          <w:szCs w:val="26"/>
        </w:rPr>
        <w:t xml:space="preserve">provision </w:t>
      </w:r>
      <w:r w:rsidRPr="00C80D3A">
        <w:rPr>
          <w:rFonts w:ascii="Times New Roman" w:hAnsi="Times New Roman" w:cs="Times New Roman"/>
          <w:sz w:val="26"/>
          <w:szCs w:val="26"/>
        </w:rPr>
        <w:t>would result in the removal of approximately half of its CAP customers for failing to assign a LIHEAP grant to PGW.  PGW Comments at 11.</w:t>
      </w:r>
    </w:p>
    <w:p w14:paraId="783CAC73" w14:textId="77777777" w:rsidR="00506216" w:rsidRPr="00C80D3A" w:rsidRDefault="00506216" w:rsidP="00315DBC">
      <w:pPr>
        <w:spacing w:after="0" w:line="360" w:lineRule="auto"/>
        <w:contextualSpacing/>
        <w:rPr>
          <w:rFonts w:ascii="Times New Roman" w:hAnsi="Times New Roman" w:cs="Times New Roman"/>
          <w:sz w:val="26"/>
          <w:szCs w:val="26"/>
        </w:rPr>
      </w:pPr>
    </w:p>
    <w:p w14:paraId="4AB0A88B" w14:textId="029E1E1D"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OCA </w:t>
      </w:r>
      <w:r w:rsidR="007463F0" w:rsidRPr="00C80D3A">
        <w:rPr>
          <w:rFonts w:ascii="Times New Roman" w:hAnsi="Times New Roman" w:cs="Times New Roman"/>
          <w:sz w:val="26"/>
          <w:szCs w:val="26"/>
        </w:rPr>
        <w:t xml:space="preserve">and PECO </w:t>
      </w:r>
      <w:r w:rsidRPr="00C80D3A">
        <w:rPr>
          <w:rFonts w:ascii="Times New Roman" w:hAnsi="Times New Roman" w:cs="Times New Roman"/>
          <w:sz w:val="26"/>
          <w:szCs w:val="26"/>
        </w:rPr>
        <w:t>note that requiring all CAP customers to participate in LIHEAP may exhaust available LIHEAP funds, which may force DHS to decrease LIHEAP grant amounts or shorten Pennsylvania</w:t>
      </w:r>
      <w:r w:rsidR="001529C6">
        <w:rPr>
          <w:rFonts w:ascii="Times New Roman" w:hAnsi="Times New Roman" w:cs="Times New Roman"/>
          <w:sz w:val="26"/>
          <w:szCs w:val="26"/>
        </w:rPr>
        <w:t>’</w:t>
      </w:r>
      <w:r w:rsidRPr="00C80D3A">
        <w:rPr>
          <w:rFonts w:ascii="Times New Roman" w:hAnsi="Times New Roman" w:cs="Times New Roman"/>
          <w:sz w:val="26"/>
          <w:szCs w:val="26"/>
        </w:rPr>
        <w:t>s LIHEAP season.  OCA Comments at 13</w:t>
      </w:r>
      <w:r w:rsidR="007463F0" w:rsidRPr="00C80D3A">
        <w:rPr>
          <w:rFonts w:ascii="Times New Roman" w:hAnsi="Times New Roman" w:cs="Times New Roman"/>
          <w:sz w:val="26"/>
          <w:szCs w:val="26"/>
        </w:rPr>
        <w:t>,</w:t>
      </w:r>
      <w:r w:rsidRPr="00C80D3A">
        <w:rPr>
          <w:rFonts w:ascii="Times New Roman" w:hAnsi="Times New Roman" w:cs="Times New Roman"/>
          <w:sz w:val="26"/>
          <w:szCs w:val="26"/>
        </w:rPr>
        <w:t xml:space="preserve"> </w:t>
      </w:r>
      <w:r w:rsidR="00C94AF7" w:rsidRPr="00C80D3A">
        <w:rPr>
          <w:rFonts w:ascii="Times New Roman" w:hAnsi="Times New Roman" w:cs="Times New Roman"/>
          <w:sz w:val="26"/>
          <w:szCs w:val="26"/>
        </w:rPr>
        <w:t>PECO Comments at 12.</w:t>
      </w:r>
    </w:p>
    <w:p w14:paraId="763EC492" w14:textId="5BD69B58" w:rsidR="00506216" w:rsidRPr="00C80D3A" w:rsidRDefault="00506216" w:rsidP="00315DBC">
      <w:pPr>
        <w:spacing w:after="0" w:line="360" w:lineRule="auto"/>
        <w:contextualSpacing/>
        <w:rPr>
          <w:rFonts w:ascii="Times New Roman" w:hAnsi="Times New Roman" w:cs="Times New Roman"/>
          <w:sz w:val="26"/>
          <w:szCs w:val="26"/>
        </w:rPr>
      </w:pPr>
    </w:p>
    <w:p w14:paraId="6107FA57" w14:textId="076B8DA3"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EAP notes that DHS, utilities, and other stakeholders beg</w:t>
      </w:r>
      <w:r w:rsidR="00EA7999" w:rsidRPr="00C80D3A">
        <w:rPr>
          <w:rFonts w:ascii="Times New Roman" w:hAnsi="Times New Roman" w:cs="Times New Roman"/>
          <w:sz w:val="26"/>
          <w:szCs w:val="26"/>
        </w:rPr>
        <w:t>a</w:t>
      </w:r>
      <w:r w:rsidRPr="00C80D3A">
        <w:rPr>
          <w:rFonts w:ascii="Times New Roman" w:hAnsi="Times New Roman" w:cs="Times New Roman"/>
          <w:sz w:val="26"/>
          <w:szCs w:val="26"/>
        </w:rPr>
        <w:t>n talks in 2018 to determine if LIHEAP recipient income and household information can be shared with utilities to facilitate enrollment in CAPs.  EAP Comments at 15.  Columbia supports information sharing between DHS and the utilities as a way of reducing processing time and administrative costs.  Columbia Comments at 9.  PGW recommends utilities and DHS establish a dual intake process to allow customers to apply for both programs at the same time.  PGW Comments at 9.  The Low Income Advocates report that information sharing conversations with DHS are impeded by the varying enrollment requirements and procedures of EDC and NGDC CAPs.  Low Income Advocate</w:t>
      </w:r>
      <w:r w:rsidR="007972F0" w:rsidRPr="00C80D3A">
        <w:rPr>
          <w:rFonts w:ascii="Times New Roman" w:hAnsi="Times New Roman" w:cs="Times New Roman"/>
          <w:sz w:val="26"/>
          <w:szCs w:val="26"/>
        </w:rPr>
        <w:t>s</w:t>
      </w:r>
      <w:r w:rsidRPr="00C80D3A">
        <w:rPr>
          <w:rFonts w:ascii="Times New Roman" w:hAnsi="Times New Roman" w:cs="Times New Roman"/>
          <w:sz w:val="26"/>
          <w:szCs w:val="26"/>
        </w:rPr>
        <w:t xml:space="preserve"> Comments at 30.</w:t>
      </w:r>
    </w:p>
    <w:p w14:paraId="0A1BCBA0" w14:textId="4452D935" w:rsidR="004D08B2" w:rsidRDefault="004D08B2">
      <w:pPr>
        <w:rPr>
          <w:rFonts w:ascii="Times New Roman" w:hAnsi="Times New Roman" w:cs="Times New Roman"/>
          <w:sz w:val="26"/>
          <w:szCs w:val="26"/>
        </w:rPr>
      </w:pPr>
      <w:r>
        <w:rPr>
          <w:rFonts w:ascii="Times New Roman" w:hAnsi="Times New Roman" w:cs="Times New Roman"/>
          <w:sz w:val="26"/>
          <w:szCs w:val="26"/>
        </w:rPr>
        <w:br w:type="page"/>
      </w:r>
    </w:p>
    <w:p w14:paraId="675F81CE" w14:textId="4425654E"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parties cited </w:t>
      </w:r>
      <w:r w:rsidR="001B670E" w:rsidRPr="00C80D3A">
        <w:rPr>
          <w:rFonts w:ascii="Times New Roman" w:hAnsi="Times New Roman" w:cs="Times New Roman"/>
          <w:sz w:val="26"/>
          <w:szCs w:val="26"/>
        </w:rPr>
        <w:t xml:space="preserve">additional </w:t>
      </w:r>
      <w:r w:rsidRPr="00C80D3A">
        <w:rPr>
          <w:rFonts w:ascii="Times New Roman" w:hAnsi="Times New Roman" w:cs="Times New Roman"/>
          <w:sz w:val="26"/>
          <w:szCs w:val="26"/>
        </w:rPr>
        <w:t>obstacles to customers participating in both CAP and LIHEAP, including:</w:t>
      </w:r>
    </w:p>
    <w:p w14:paraId="56039D04" w14:textId="77777777" w:rsidR="00506216" w:rsidRPr="00C80D3A" w:rsidRDefault="00506216" w:rsidP="007B6079">
      <w:pPr>
        <w:spacing w:after="0" w:line="240" w:lineRule="auto"/>
        <w:ind w:left="720"/>
        <w:contextualSpacing/>
        <w:rPr>
          <w:rFonts w:ascii="Times New Roman" w:hAnsi="Times New Roman" w:cs="Times New Roman"/>
          <w:sz w:val="26"/>
          <w:szCs w:val="26"/>
        </w:rPr>
      </w:pPr>
    </w:p>
    <w:p w14:paraId="63AB92D8" w14:textId="34FBD87E" w:rsidR="00506216" w:rsidRPr="00C80D3A" w:rsidRDefault="00506216" w:rsidP="007B6079">
      <w:pPr>
        <w:numPr>
          <w:ilvl w:val="0"/>
          <w:numId w:val="5"/>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CAPs are available </w:t>
      </w:r>
      <w:r w:rsidR="000C48B9" w:rsidRPr="00C80D3A">
        <w:rPr>
          <w:rFonts w:ascii="Times New Roman" w:hAnsi="Times New Roman" w:cs="Times New Roman"/>
          <w:sz w:val="26"/>
          <w:szCs w:val="26"/>
        </w:rPr>
        <w:t xml:space="preserve">and accept applications </w:t>
      </w:r>
      <w:r w:rsidRPr="00C80D3A">
        <w:rPr>
          <w:rFonts w:ascii="Times New Roman" w:hAnsi="Times New Roman" w:cs="Times New Roman"/>
          <w:sz w:val="26"/>
          <w:szCs w:val="26"/>
        </w:rPr>
        <w:t xml:space="preserve">year-round.  LIHEAP is only open during the fall/winter months, </w:t>
      </w:r>
      <w:r w:rsidR="000C48B9" w:rsidRPr="00C80D3A">
        <w:rPr>
          <w:rFonts w:ascii="Times New Roman" w:hAnsi="Times New Roman" w:cs="Times New Roman"/>
          <w:sz w:val="26"/>
          <w:szCs w:val="26"/>
        </w:rPr>
        <w:t xml:space="preserve">so </w:t>
      </w:r>
      <w:r w:rsidRPr="00C80D3A">
        <w:rPr>
          <w:rFonts w:ascii="Times New Roman" w:hAnsi="Times New Roman" w:cs="Times New Roman"/>
          <w:sz w:val="26"/>
          <w:szCs w:val="26"/>
        </w:rPr>
        <w:t>there is no opportunity to enroll customers in both CAP and LIHEAP during the non-LIHEAP season.  Duquesne Comments at</w:t>
      </w:r>
      <w:r w:rsidR="0087283F" w:rsidRPr="00C80D3A">
        <w:rPr>
          <w:rFonts w:ascii="Times New Roman" w:hAnsi="Times New Roman" w:cs="Times New Roman"/>
          <w:sz w:val="26"/>
          <w:szCs w:val="26"/>
        </w:rPr>
        <w:t> </w:t>
      </w:r>
      <w:r w:rsidRPr="00C80D3A">
        <w:rPr>
          <w:rFonts w:ascii="Times New Roman" w:hAnsi="Times New Roman" w:cs="Times New Roman"/>
          <w:sz w:val="26"/>
          <w:szCs w:val="26"/>
        </w:rPr>
        <w:t>6, FirstEnergy Comments at 5, PPL Comments at</w:t>
      </w:r>
      <w:r w:rsidR="00012CC5">
        <w:rPr>
          <w:rFonts w:ascii="Times New Roman" w:hAnsi="Times New Roman" w:cs="Times New Roman"/>
          <w:sz w:val="26"/>
          <w:szCs w:val="26"/>
        </w:rPr>
        <w:t> </w:t>
      </w:r>
      <w:r w:rsidRPr="00C80D3A">
        <w:rPr>
          <w:rFonts w:ascii="Times New Roman" w:hAnsi="Times New Roman" w:cs="Times New Roman"/>
          <w:sz w:val="26"/>
          <w:szCs w:val="26"/>
        </w:rPr>
        <w:t>7, PECO Comments at 11, EAP Comments at 17, Low Income Advocate</w:t>
      </w:r>
      <w:r w:rsidR="007972F0" w:rsidRPr="00C80D3A">
        <w:rPr>
          <w:rFonts w:ascii="Times New Roman" w:hAnsi="Times New Roman" w:cs="Times New Roman"/>
          <w:sz w:val="26"/>
          <w:szCs w:val="26"/>
        </w:rPr>
        <w:t>s</w:t>
      </w:r>
      <w:r w:rsidRPr="00C80D3A">
        <w:rPr>
          <w:rFonts w:ascii="Times New Roman" w:hAnsi="Times New Roman" w:cs="Times New Roman"/>
          <w:sz w:val="26"/>
          <w:szCs w:val="26"/>
        </w:rPr>
        <w:t xml:space="preserve"> Comments at 30</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31, OCA Comments at 12.</w:t>
      </w:r>
    </w:p>
    <w:p w14:paraId="482D53FE" w14:textId="77777777" w:rsidR="00506216" w:rsidRPr="00C80D3A" w:rsidRDefault="00506216" w:rsidP="007B6079">
      <w:pPr>
        <w:spacing w:after="0" w:line="240" w:lineRule="auto"/>
        <w:ind w:left="1440" w:hanging="720"/>
        <w:contextualSpacing/>
        <w:rPr>
          <w:rFonts w:ascii="Times New Roman" w:hAnsi="Times New Roman" w:cs="Times New Roman"/>
          <w:sz w:val="26"/>
          <w:szCs w:val="26"/>
        </w:rPr>
      </w:pPr>
    </w:p>
    <w:p w14:paraId="00542F00" w14:textId="46F4035F" w:rsidR="00506216" w:rsidRPr="00C80D3A" w:rsidRDefault="00506216" w:rsidP="007B6079">
      <w:pPr>
        <w:numPr>
          <w:ilvl w:val="0"/>
          <w:numId w:val="5"/>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CAP customers with non-heat</w:t>
      </w:r>
      <w:r w:rsidR="006118F7">
        <w:rPr>
          <w:rFonts w:ascii="Times New Roman" w:hAnsi="Times New Roman" w:cs="Times New Roman"/>
          <w:sz w:val="26"/>
          <w:szCs w:val="26"/>
        </w:rPr>
        <w:t>ing electric</w:t>
      </w:r>
      <w:r w:rsidRPr="00C80D3A">
        <w:rPr>
          <w:rFonts w:ascii="Times New Roman" w:hAnsi="Times New Roman" w:cs="Times New Roman"/>
          <w:sz w:val="26"/>
          <w:szCs w:val="26"/>
        </w:rPr>
        <w:t xml:space="preserve"> may not be responsible for paying for their primary heating source, which is required to qualify for LIHEAP.  Low Income Advocates Comments at 26.</w:t>
      </w:r>
    </w:p>
    <w:p w14:paraId="389BC547" w14:textId="77777777" w:rsidR="00506216" w:rsidRPr="00C80D3A" w:rsidRDefault="00506216" w:rsidP="007B6079">
      <w:pPr>
        <w:spacing w:after="0" w:line="240" w:lineRule="auto"/>
        <w:ind w:left="1440" w:hanging="720"/>
        <w:contextualSpacing/>
        <w:rPr>
          <w:rFonts w:ascii="Times New Roman" w:hAnsi="Times New Roman" w:cs="Times New Roman"/>
          <w:sz w:val="26"/>
          <w:szCs w:val="26"/>
        </w:rPr>
      </w:pPr>
    </w:p>
    <w:p w14:paraId="4AEC0A10" w14:textId="47B741F5" w:rsidR="00506216" w:rsidRPr="00C80D3A" w:rsidRDefault="00506216" w:rsidP="007B6079">
      <w:pPr>
        <w:numPr>
          <w:ilvl w:val="0"/>
          <w:numId w:val="5"/>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Only certain categories of non-citizens can qualify for LIHEAP.  Low Income Advocates Comments at 26, </w:t>
      </w:r>
      <w:r w:rsidRPr="00C80D3A">
        <w:rPr>
          <w:rFonts w:ascii="Times New Roman" w:hAnsi="Times New Roman" w:cs="Times New Roman"/>
          <w:i/>
          <w:sz w:val="26"/>
          <w:szCs w:val="26"/>
        </w:rPr>
        <w:t>citing</w:t>
      </w:r>
      <w:r w:rsidRPr="00C80D3A">
        <w:rPr>
          <w:rFonts w:ascii="Times New Roman" w:hAnsi="Times New Roman" w:cs="Times New Roman"/>
          <w:sz w:val="26"/>
          <w:szCs w:val="26"/>
        </w:rPr>
        <w:t xml:space="preserve"> the FY 2019 LIHEAP State Plan at B-26.  Some immigrant customers may be categorically ineligible, or they may fear the consequences of participating in a federal assistance program.  Low Income Advocates Comments at 32. </w:t>
      </w:r>
    </w:p>
    <w:p w14:paraId="5C4AE4CC" w14:textId="77777777" w:rsidR="00506216" w:rsidRPr="00C80D3A" w:rsidRDefault="00506216" w:rsidP="007B6079">
      <w:pPr>
        <w:spacing w:after="0" w:line="240" w:lineRule="auto"/>
        <w:ind w:left="1440" w:hanging="720"/>
        <w:contextualSpacing/>
        <w:rPr>
          <w:rFonts w:ascii="Times New Roman" w:hAnsi="Times New Roman" w:cs="Times New Roman"/>
          <w:sz w:val="26"/>
          <w:szCs w:val="26"/>
        </w:rPr>
      </w:pPr>
    </w:p>
    <w:p w14:paraId="40384FE9" w14:textId="2BEF9C7C" w:rsidR="00506216" w:rsidRPr="00C80D3A" w:rsidRDefault="00506216" w:rsidP="007B6079">
      <w:pPr>
        <w:numPr>
          <w:ilvl w:val="0"/>
          <w:numId w:val="5"/>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Requiring eligible customers to apply for both programs may make the application process more burdensome and may deter households from applying for either program.  EAP Comments at 16.</w:t>
      </w:r>
    </w:p>
    <w:p w14:paraId="4B5E6367" w14:textId="77777777" w:rsidR="00506216" w:rsidRPr="00C80D3A" w:rsidRDefault="00506216" w:rsidP="007B6079">
      <w:pPr>
        <w:spacing w:after="0" w:line="240" w:lineRule="auto"/>
        <w:ind w:left="1440" w:hanging="720"/>
        <w:contextualSpacing/>
        <w:rPr>
          <w:rFonts w:ascii="Times New Roman" w:hAnsi="Times New Roman" w:cs="Times New Roman"/>
          <w:sz w:val="26"/>
          <w:szCs w:val="26"/>
        </w:rPr>
      </w:pPr>
    </w:p>
    <w:p w14:paraId="7F184460" w14:textId="4FA98372" w:rsidR="00506216" w:rsidRPr="00C80D3A" w:rsidRDefault="00506216" w:rsidP="007B6079">
      <w:pPr>
        <w:numPr>
          <w:ilvl w:val="0"/>
          <w:numId w:val="5"/>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Customers may have difficulty in understanding the four-page LIHEAP application.  Required information and documentation is not always clear.  Further, the LIHEAP application is only available in English or Spanish; households with a different native language may struggle with literacy.  PGW Comments at 10, Low Income Advocates Comments at 26</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27, and OCA Comments at 12.</w:t>
      </w:r>
    </w:p>
    <w:p w14:paraId="61040E89" w14:textId="77777777" w:rsidR="00506216" w:rsidRPr="00C80D3A" w:rsidRDefault="00506216" w:rsidP="00315DBC">
      <w:pPr>
        <w:spacing w:after="0" w:line="360" w:lineRule="auto"/>
        <w:contextualSpacing/>
        <w:rPr>
          <w:rFonts w:ascii="Times New Roman" w:hAnsi="Times New Roman" w:cs="Times New Roman"/>
          <w:sz w:val="26"/>
          <w:szCs w:val="26"/>
        </w:rPr>
      </w:pPr>
    </w:p>
    <w:p w14:paraId="73AE7AC1" w14:textId="77777777" w:rsidR="00506216" w:rsidRPr="00C80D3A" w:rsidRDefault="00506216" w:rsidP="007B6079">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591001C4" w14:textId="3E094114" w:rsidR="00506216" w:rsidRPr="00C80D3A" w:rsidRDefault="00506216" w:rsidP="00315DBC">
      <w:pPr>
        <w:spacing w:after="0" w:line="360" w:lineRule="auto"/>
        <w:contextualSpacing/>
        <w:rPr>
          <w:rFonts w:ascii="Times New Roman" w:hAnsi="Times New Roman" w:cs="Times New Roman"/>
          <w:color w:val="0D0D0D"/>
          <w:sz w:val="26"/>
          <w:szCs w:val="26"/>
        </w:rPr>
      </w:pPr>
      <w:r w:rsidRPr="00C80D3A">
        <w:rPr>
          <w:rFonts w:ascii="Times New Roman" w:hAnsi="Times New Roman" w:cs="Times New Roman"/>
          <w:color w:val="0D0D0D"/>
          <w:sz w:val="26"/>
          <w:szCs w:val="26"/>
        </w:rPr>
        <w:tab/>
      </w:r>
      <w:r w:rsidR="007F76FD" w:rsidRPr="00C80D3A">
        <w:rPr>
          <w:rFonts w:ascii="Times New Roman" w:hAnsi="Times New Roman" w:cs="Times New Roman"/>
          <w:color w:val="0D0D0D"/>
          <w:sz w:val="26"/>
          <w:szCs w:val="26"/>
        </w:rPr>
        <w:t xml:space="preserve">The Commission </w:t>
      </w:r>
      <w:r w:rsidRPr="00C80D3A">
        <w:rPr>
          <w:rFonts w:ascii="Times New Roman" w:hAnsi="Times New Roman" w:cs="Times New Roman"/>
          <w:color w:val="0D0D0D"/>
          <w:sz w:val="26"/>
          <w:szCs w:val="26"/>
        </w:rPr>
        <w:t>agrees with the recommendation</w:t>
      </w:r>
      <w:r w:rsidR="005A545D" w:rsidRPr="00C80D3A">
        <w:rPr>
          <w:rFonts w:ascii="Times New Roman" w:hAnsi="Times New Roman" w:cs="Times New Roman"/>
          <w:color w:val="0D0D0D"/>
          <w:sz w:val="26"/>
          <w:szCs w:val="26"/>
        </w:rPr>
        <w:t>s</w:t>
      </w:r>
      <w:r w:rsidRPr="00C80D3A">
        <w:rPr>
          <w:rFonts w:ascii="Times New Roman" w:hAnsi="Times New Roman" w:cs="Times New Roman"/>
          <w:color w:val="0D0D0D"/>
          <w:sz w:val="26"/>
          <w:szCs w:val="26"/>
        </w:rPr>
        <w:t xml:space="preserve"> of stakeholders to eliminate the provisions in the CAP Policy Statement (1) that CAP customer</w:t>
      </w:r>
      <w:r w:rsidR="003C2969" w:rsidRPr="00C80D3A">
        <w:rPr>
          <w:rFonts w:ascii="Times New Roman" w:hAnsi="Times New Roman" w:cs="Times New Roman"/>
          <w:color w:val="0D0D0D"/>
          <w:sz w:val="26"/>
          <w:szCs w:val="26"/>
        </w:rPr>
        <w:t>s</w:t>
      </w:r>
      <w:r w:rsidRPr="00C80D3A">
        <w:rPr>
          <w:rFonts w:ascii="Times New Roman" w:hAnsi="Times New Roman" w:cs="Times New Roman"/>
          <w:color w:val="0D0D0D"/>
          <w:sz w:val="26"/>
          <w:szCs w:val="26"/>
        </w:rPr>
        <w:t xml:space="preserve"> </w:t>
      </w:r>
      <w:r w:rsidR="003C28C7" w:rsidRPr="00C80D3A">
        <w:rPr>
          <w:rFonts w:ascii="Times New Roman" w:hAnsi="Times New Roman" w:cs="Times New Roman"/>
          <w:color w:val="0D0D0D"/>
          <w:sz w:val="26"/>
          <w:szCs w:val="26"/>
        </w:rPr>
        <w:t xml:space="preserve">should </w:t>
      </w:r>
      <w:r w:rsidRPr="00C80D3A">
        <w:rPr>
          <w:rFonts w:ascii="Times New Roman" w:hAnsi="Times New Roman" w:cs="Times New Roman"/>
          <w:color w:val="0D0D0D"/>
          <w:sz w:val="26"/>
          <w:szCs w:val="26"/>
        </w:rPr>
        <w:t xml:space="preserve">assign the LIHEAP grant to the </w:t>
      </w:r>
      <w:r w:rsidR="00951419" w:rsidRPr="00C80D3A">
        <w:rPr>
          <w:rFonts w:ascii="Times New Roman" w:hAnsi="Times New Roman" w:cs="Times New Roman"/>
          <w:color w:val="0D0D0D"/>
          <w:sz w:val="26"/>
          <w:szCs w:val="26"/>
        </w:rPr>
        <w:t>CAP-</w:t>
      </w:r>
      <w:r w:rsidRPr="00C80D3A">
        <w:rPr>
          <w:rFonts w:ascii="Times New Roman" w:hAnsi="Times New Roman" w:cs="Times New Roman"/>
          <w:color w:val="0D0D0D"/>
          <w:sz w:val="26"/>
          <w:szCs w:val="26"/>
        </w:rPr>
        <w:t>sponsoring utility and (2) that utilit</w:t>
      </w:r>
      <w:r w:rsidR="00951419" w:rsidRPr="00C80D3A">
        <w:rPr>
          <w:rFonts w:ascii="Times New Roman" w:hAnsi="Times New Roman" w:cs="Times New Roman"/>
          <w:color w:val="0D0D0D"/>
          <w:sz w:val="26"/>
          <w:szCs w:val="26"/>
        </w:rPr>
        <w:t xml:space="preserve">ies may </w:t>
      </w:r>
      <w:r w:rsidRPr="00C80D3A">
        <w:rPr>
          <w:rFonts w:ascii="Times New Roman" w:hAnsi="Times New Roman" w:cs="Times New Roman"/>
          <w:color w:val="0D0D0D"/>
          <w:sz w:val="26"/>
          <w:szCs w:val="26"/>
        </w:rPr>
        <w:t xml:space="preserve">penalize CAP customers who do not apply for LIHEAP.  As low-income customers may participate in more than one CAP – or may use their LIHEAP grant to obtain </w:t>
      </w:r>
      <w:r w:rsidR="008D0FD9" w:rsidRPr="00C80D3A">
        <w:rPr>
          <w:rFonts w:ascii="Times New Roman" w:hAnsi="Times New Roman" w:cs="Times New Roman"/>
          <w:color w:val="0D0D0D"/>
          <w:sz w:val="26"/>
          <w:szCs w:val="26"/>
        </w:rPr>
        <w:t xml:space="preserve">a deliverable </w:t>
      </w:r>
      <w:r w:rsidRPr="00C80D3A">
        <w:rPr>
          <w:rFonts w:ascii="Times New Roman" w:hAnsi="Times New Roman" w:cs="Times New Roman"/>
          <w:color w:val="0D0D0D"/>
          <w:sz w:val="26"/>
          <w:szCs w:val="26"/>
        </w:rPr>
        <w:t>fuel</w:t>
      </w:r>
      <w:r w:rsidR="008D0FD9" w:rsidRPr="00C80D3A">
        <w:rPr>
          <w:rFonts w:ascii="Times New Roman" w:hAnsi="Times New Roman" w:cs="Times New Roman"/>
          <w:color w:val="0D0D0D"/>
          <w:sz w:val="26"/>
          <w:szCs w:val="26"/>
        </w:rPr>
        <w:t xml:space="preserve"> source </w:t>
      </w:r>
      <w:r w:rsidRPr="00C80D3A">
        <w:rPr>
          <w:rFonts w:ascii="Times New Roman" w:hAnsi="Times New Roman" w:cs="Times New Roman"/>
          <w:color w:val="0D0D0D"/>
          <w:sz w:val="26"/>
          <w:szCs w:val="26"/>
        </w:rPr>
        <w:t>–</w:t>
      </w:r>
      <w:r w:rsidR="003D53C4" w:rsidRPr="00C80D3A">
        <w:rPr>
          <w:rFonts w:ascii="Times New Roman" w:hAnsi="Times New Roman" w:cs="Times New Roman"/>
          <w:color w:val="0D0D0D"/>
          <w:sz w:val="26"/>
          <w:szCs w:val="26"/>
        </w:rPr>
        <w:t xml:space="preserve"> </w:t>
      </w:r>
      <w:r w:rsidRPr="00C80D3A">
        <w:rPr>
          <w:rFonts w:ascii="Times New Roman" w:hAnsi="Times New Roman" w:cs="Times New Roman"/>
          <w:color w:val="0D0D0D"/>
          <w:sz w:val="26"/>
          <w:szCs w:val="26"/>
        </w:rPr>
        <w:t>the</w:t>
      </w:r>
      <w:r w:rsidR="00AB713A" w:rsidRPr="00C80D3A">
        <w:rPr>
          <w:rFonts w:ascii="Times New Roman" w:hAnsi="Times New Roman" w:cs="Times New Roman"/>
          <w:color w:val="0D0D0D"/>
          <w:sz w:val="26"/>
          <w:szCs w:val="26"/>
        </w:rPr>
        <w:t>se</w:t>
      </w:r>
      <w:r w:rsidRPr="00C80D3A">
        <w:rPr>
          <w:rFonts w:ascii="Times New Roman" w:hAnsi="Times New Roman" w:cs="Times New Roman"/>
          <w:color w:val="0D0D0D"/>
          <w:sz w:val="26"/>
          <w:szCs w:val="26"/>
        </w:rPr>
        <w:t xml:space="preserve"> provision</w:t>
      </w:r>
      <w:r w:rsidR="00AB713A" w:rsidRPr="00C80D3A">
        <w:rPr>
          <w:rFonts w:ascii="Times New Roman" w:hAnsi="Times New Roman" w:cs="Times New Roman"/>
          <w:color w:val="0D0D0D"/>
          <w:sz w:val="26"/>
          <w:szCs w:val="26"/>
        </w:rPr>
        <w:t>s</w:t>
      </w:r>
      <w:r w:rsidRPr="00C80D3A">
        <w:rPr>
          <w:rFonts w:ascii="Times New Roman" w:hAnsi="Times New Roman" w:cs="Times New Roman"/>
          <w:color w:val="0D0D0D"/>
          <w:sz w:val="26"/>
          <w:szCs w:val="26"/>
        </w:rPr>
        <w:t xml:space="preserve"> </w:t>
      </w:r>
      <w:r w:rsidR="00AB713A" w:rsidRPr="00C80D3A">
        <w:rPr>
          <w:rFonts w:ascii="Times New Roman" w:hAnsi="Times New Roman" w:cs="Times New Roman"/>
          <w:color w:val="0D0D0D"/>
          <w:sz w:val="26"/>
          <w:szCs w:val="26"/>
        </w:rPr>
        <w:t xml:space="preserve">are </w:t>
      </w:r>
      <w:r w:rsidRPr="00C80D3A">
        <w:rPr>
          <w:rFonts w:ascii="Times New Roman" w:hAnsi="Times New Roman" w:cs="Times New Roman"/>
          <w:color w:val="0D0D0D"/>
          <w:sz w:val="26"/>
          <w:szCs w:val="26"/>
        </w:rPr>
        <w:t>no</w:t>
      </w:r>
      <w:r w:rsidR="0025206A" w:rsidRPr="00C80D3A">
        <w:rPr>
          <w:rFonts w:ascii="Times New Roman" w:hAnsi="Times New Roman" w:cs="Times New Roman"/>
          <w:color w:val="0D0D0D"/>
          <w:sz w:val="26"/>
          <w:szCs w:val="26"/>
        </w:rPr>
        <w:t xml:space="preserve"> longer</w:t>
      </w:r>
      <w:r w:rsidRPr="00C80D3A">
        <w:rPr>
          <w:rFonts w:ascii="Times New Roman" w:hAnsi="Times New Roman" w:cs="Times New Roman"/>
          <w:color w:val="0D0D0D"/>
          <w:sz w:val="26"/>
          <w:szCs w:val="26"/>
        </w:rPr>
        <w:t xml:space="preserve"> appropriate</w:t>
      </w:r>
      <w:r w:rsidR="00AB713A" w:rsidRPr="00C80D3A">
        <w:rPr>
          <w:rFonts w:ascii="Times New Roman" w:hAnsi="Times New Roman" w:cs="Times New Roman"/>
          <w:color w:val="0D0D0D"/>
          <w:sz w:val="26"/>
          <w:szCs w:val="26"/>
        </w:rPr>
        <w:t xml:space="preserve"> </w:t>
      </w:r>
      <w:r w:rsidRPr="00C80D3A">
        <w:rPr>
          <w:rFonts w:ascii="Times New Roman" w:hAnsi="Times New Roman" w:cs="Times New Roman"/>
          <w:color w:val="0D0D0D"/>
          <w:sz w:val="26"/>
          <w:szCs w:val="26"/>
        </w:rPr>
        <w:t>as t</w:t>
      </w:r>
      <w:r w:rsidR="00AB713A" w:rsidRPr="00C80D3A">
        <w:rPr>
          <w:rFonts w:ascii="Times New Roman" w:hAnsi="Times New Roman" w:cs="Times New Roman"/>
          <w:color w:val="0D0D0D"/>
          <w:sz w:val="26"/>
          <w:szCs w:val="26"/>
        </w:rPr>
        <w:t>hey</w:t>
      </w:r>
      <w:r w:rsidRPr="00C80D3A">
        <w:rPr>
          <w:rFonts w:ascii="Times New Roman" w:hAnsi="Times New Roman" w:cs="Times New Roman"/>
          <w:color w:val="0D0D0D"/>
          <w:sz w:val="26"/>
          <w:szCs w:val="26"/>
        </w:rPr>
        <w:t xml:space="preserve"> could require households to choose between CAPs or </w:t>
      </w:r>
      <w:r w:rsidR="00B52D53" w:rsidRPr="00C80D3A">
        <w:rPr>
          <w:rFonts w:ascii="Times New Roman" w:hAnsi="Times New Roman" w:cs="Times New Roman"/>
          <w:color w:val="0D0D0D"/>
          <w:sz w:val="26"/>
          <w:szCs w:val="26"/>
        </w:rPr>
        <w:t xml:space="preserve">between </w:t>
      </w:r>
      <w:r w:rsidRPr="00C80D3A">
        <w:rPr>
          <w:rFonts w:ascii="Times New Roman" w:hAnsi="Times New Roman" w:cs="Times New Roman"/>
          <w:color w:val="0D0D0D"/>
          <w:sz w:val="26"/>
          <w:szCs w:val="26"/>
        </w:rPr>
        <w:t xml:space="preserve">a CAP and a necessary fuel delivery.  Further, </w:t>
      </w:r>
      <w:r w:rsidR="007B6079" w:rsidRPr="00C80D3A">
        <w:rPr>
          <w:rFonts w:ascii="Times New Roman" w:hAnsi="Times New Roman" w:cs="Times New Roman"/>
          <w:color w:val="0D0D0D"/>
          <w:sz w:val="26"/>
          <w:szCs w:val="26"/>
        </w:rPr>
        <w:t>verifying</w:t>
      </w:r>
      <w:r w:rsidRPr="00C80D3A">
        <w:rPr>
          <w:rFonts w:ascii="Times New Roman" w:hAnsi="Times New Roman" w:cs="Times New Roman"/>
          <w:color w:val="0D0D0D"/>
          <w:sz w:val="26"/>
          <w:szCs w:val="26"/>
        </w:rPr>
        <w:t xml:space="preserve"> LIHEAP participation and impos</w:t>
      </w:r>
      <w:r w:rsidR="00CF1C4B" w:rsidRPr="00C80D3A">
        <w:rPr>
          <w:rFonts w:ascii="Times New Roman" w:hAnsi="Times New Roman" w:cs="Times New Roman"/>
          <w:color w:val="0D0D0D"/>
          <w:sz w:val="26"/>
          <w:szCs w:val="26"/>
        </w:rPr>
        <w:t>ing</w:t>
      </w:r>
      <w:r w:rsidRPr="00C80D3A">
        <w:rPr>
          <w:rFonts w:ascii="Times New Roman" w:hAnsi="Times New Roman" w:cs="Times New Roman"/>
          <w:color w:val="0D0D0D"/>
          <w:sz w:val="26"/>
          <w:szCs w:val="26"/>
        </w:rPr>
        <w:t xml:space="preserve"> a monetary penalty on the CAP account </w:t>
      </w:r>
      <w:r w:rsidR="00CF1C4B" w:rsidRPr="00C80D3A">
        <w:rPr>
          <w:rFonts w:ascii="Times New Roman" w:hAnsi="Times New Roman" w:cs="Times New Roman"/>
          <w:color w:val="0D0D0D"/>
          <w:sz w:val="26"/>
          <w:szCs w:val="26"/>
        </w:rPr>
        <w:t>c</w:t>
      </w:r>
      <w:r w:rsidRPr="00C80D3A">
        <w:rPr>
          <w:rFonts w:ascii="Times New Roman" w:hAnsi="Times New Roman" w:cs="Times New Roman"/>
          <w:color w:val="0D0D0D"/>
          <w:sz w:val="26"/>
          <w:szCs w:val="26"/>
        </w:rPr>
        <w:t xml:space="preserve">ould be administratively burdensome on the utilities and </w:t>
      </w:r>
      <w:r w:rsidR="00CF1C4B" w:rsidRPr="00C80D3A">
        <w:rPr>
          <w:rFonts w:ascii="Times New Roman" w:hAnsi="Times New Roman" w:cs="Times New Roman"/>
          <w:color w:val="0D0D0D"/>
          <w:sz w:val="26"/>
          <w:szCs w:val="26"/>
        </w:rPr>
        <w:t xml:space="preserve">could </w:t>
      </w:r>
      <w:r w:rsidRPr="00C80D3A">
        <w:rPr>
          <w:rFonts w:ascii="Times New Roman" w:hAnsi="Times New Roman" w:cs="Times New Roman"/>
          <w:color w:val="0D0D0D"/>
          <w:sz w:val="26"/>
          <w:szCs w:val="26"/>
        </w:rPr>
        <w:t>result in creating more utility debt for financially vulnerable households.</w:t>
      </w:r>
    </w:p>
    <w:p w14:paraId="56209A2A" w14:textId="77777777" w:rsidR="00506216" w:rsidRPr="00C80D3A" w:rsidRDefault="00506216" w:rsidP="00315DBC">
      <w:pPr>
        <w:spacing w:after="0" w:line="360" w:lineRule="auto"/>
        <w:contextualSpacing/>
        <w:rPr>
          <w:rFonts w:ascii="Times New Roman" w:hAnsi="Times New Roman" w:cs="Times New Roman"/>
          <w:color w:val="0D0D0D"/>
          <w:sz w:val="26"/>
          <w:szCs w:val="26"/>
        </w:rPr>
      </w:pPr>
    </w:p>
    <w:p w14:paraId="3BC70E8E" w14:textId="019412C3" w:rsidR="00506216" w:rsidRPr="00C80D3A" w:rsidRDefault="00506216" w:rsidP="00315DBC">
      <w:pPr>
        <w:spacing w:after="0" w:line="360" w:lineRule="auto"/>
        <w:ind w:firstLine="720"/>
        <w:contextualSpacing/>
        <w:rPr>
          <w:rFonts w:ascii="Times New Roman" w:hAnsi="Times New Roman" w:cs="Times New Roman"/>
          <w:color w:val="0D0D0D"/>
          <w:sz w:val="26"/>
          <w:szCs w:val="26"/>
        </w:rPr>
      </w:pPr>
      <w:r w:rsidRPr="00C80D3A">
        <w:rPr>
          <w:rFonts w:ascii="Times New Roman" w:hAnsi="Times New Roman" w:cs="Times New Roman"/>
          <w:color w:val="0D0D0D"/>
          <w:sz w:val="26"/>
          <w:szCs w:val="26"/>
        </w:rPr>
        <w:t xml:space="preserve">To our knowledge, EDCs and NGDCs have not </w:t>
      </w:r>
      <w:r w:rsidR="00B52D53" w:rsidRPr="00C80D3A">
        <w:rPr>
          <w:rFonts w:ascii="Times New Roman" w:hAnsi="Times New Roman" w:cs="Times New Roman"/>
          <w:color w:val="0D0D0D"/>
          <w:sz w:val="26"/>
          <w:szCs w:val="26"/>
        </w:rPr>
        <w:t xml:space="preserve">implemented </w:t>
      </w:r>
      <w:r w:rsidRPr="00C80D3A">
        <w:rPr>
          <w:rFonts w:ascii="Times New Roman" w:hAnsi="Times New Roman" w:cs="Times New Roman"/>
          <w:color w:val="0D0D0D"/>
          <w:sz w:val="26"/>
          <w:szCs w:val="26"/>
        </w:rPr>
        <w:t xml:space="preserve">either of these recommended CAP policies.  Removing these provisions from the CAP Policy Statement would not require utilities to make any changes to their current CAPs.  </w:t>
      </w:r>
    </w:p>
    <w:p w14:paraId="5E863A7F" w14:textId="77777777" w:rsidR="00506216" w:rsidRPr="00C80D3A" w:rsidRDefault="00506216" w:rsidP="00315DBC">
      <w:pPr>
        <w:spacing w:after="0" w:line="360" w:lineRule="auto"/>
        <w:contextualSpacing/>
        <w:rPr>
          <w:rFonts w:ascii="Times New Roman" w:hAnsi="Times New Roman" w:cs="Times New Roman"/>
          <w:color w:val="0D0D0D"/>
          <w:sz w:val="26"/>
          <w:szCs w:val="26"/>
        </w:rPr>
      </w:pPr>
    </w:p>
    <w:p w14:paraId="5E7EFCF7" w14:textId="7E781AEA" w:rsidR="00506216" w:rsidRPr="00C80D3A" w:rsidRDefault="00506216" w:rsidP="00315DBC">
      <w:pPr>
        <w:spacing w:after="0" w:line="360" w:lineRule="auto"/>
        <w:contextualSpacing/>
        <w:rPr>
          <w:rFonts w:ascii="Times New Roman" w:hAnsi="Times New Roman" w:cs="Times New Roman"/>
          <w:color w:val="0D0D0D"/>
          <w:sz w:val="26"/>
          <w:szCs w:val="26"/>
        </w:rPr>
      </w:pPr>
      <w:r w:rsidRPr="00C80D3A">
        <w:rPr>
          <w:rFonts w:ascii="Times New Roman" w:hAnsi="Times New Roman" w:cs="Times New Roman"/>
          <w:color w:val="0D0D0D"/>
          <w:sz w:val="26"/>
          <w:szCs w:val="26"/>
        </w:rPr>
        <w:tab/>
        <w:t xml:space="preserve">Although </w:t>
      </w:r>
      <w:r w:rsidR="00A60F00" w:rsidRPr="00C80D3A">
        <w:rPr>
          <w:rFonts w:ascii="Times New Roman" w:hAnsi="Times New Roman" w:cs="Times New Roman"/>
          <w:color w:val="0D0D0D"/>
          <w:sz w:val="26"/>
          <w:szCs w:val="26"/>
        </w:rPr>
        <w:t xml:space="preserve">we are </w:t>
      </w:r>
      <w:r w:rsidRPr="00C80D3A">
        <w:rPr>
          <w:rFonts w:ascii="Times New Roman" w:hAnsi="Times New Roman" w:cs="Times New Roman"/>
          <w:color w:val="0D0D0D"/>
          <w:sz w:val="26"/>
          <w:szCs w:val="26"/>
        </w:rPr>
        <w:t xml:space="preserve">removing qualifications and penalties related to LIHEAP, we oppose eliminating participation in LIHEAP as a CAP customer responsibility. </w:t>
      </w:r>
    </w:p>
    <w:p w14:paraId="48BB7FF9" w14:textId="77777777" w:rsidR="00506216" w:rsidRPr="00C80D3A" w:rsidRDefault="00506216" w:rsidP="00315DBC">
      <w:pPr>
        <w:spacing w:after="0" w:line="360" w:lineRule="auto"/>
        <w:contextualSpacing/>
        <w:rPr>
          <w:rFonts w:ascii="Times New Roman" w:hAnsi="Times New Roman" w:cs="Times New Roman"/>
          <w:color w:val="0D0D0D"/>
          <w:sz w:val="26"/>
          <w:szCs w:val="26"/>
        </w:rPr>
      </w:pPr>
    </w:p>
    <w:p w14:paraId="5C29510B" w14:textId="03683A3E"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Commission</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w:t>
      </w:r>
      <w:r w:rsidRPr="000C0A7A">
        <w:rPr>
          <w:rFonts w:ascii="Times New Roman" w:hAnsi="Times New Roman" w:cs="Times New Roman"/>
          <w:sz w:val="26"/>
          <w:szCs w:val="26"/>
        </w:rPr>
        <w:t xml:space="preserve">Energy Affordability </w:t>
      </w:r>
      <w:r w:rsidR="000C0A7A" w:rsidRPr="000C0A7A">
        <w:rPr>
          <w:rFonts w:ascii="Times New Roman" w:hAnsi="Times New Roman" w:cs="Times New Roman"/>
          <w:iCs/>
          <w:sz w:val="26"/>
          <w:szCs w:val="26"/>
        </w:rPr>
        <w:t>Report</w:t>
      </w:r>
      <w:r w:rsidRPr="00C80D3A">
        <w:rPr>
          <w:rFonts w:ascii="Times New Roman" w:hAnsi="Times New Roman" w:cs="Times New Roman"/>
          <w:sz w:val="26"/>
          <w:szCs w:val="26"/>
        </w:rPr>
        <w:t xml:space="preserve"> noted that LIHEAP had a measurable impact on energy burdens for CAP customers.  CAP customers with incomes at or below 50% of the FPIG experienced an average energy burden decrease of approximately 6 to 8 percentage points for electric non-heating and approximately 7 to 9 percentage points for electric heating.  CAP customers with incomes between 51 and 100% of the FPIG experienced an average energy burden decrease of approximately 3 percentage points for electric non-heating and heating.  CAP customers with incomes between 101 and 150% of the FPIG experienced an average energy burden decrease of approximately 1 to 2 percentage points for electric non-heating and electric heating.  </w:t>
      </w:r>
      <w:r w:rsidR="00951069" w:rsidRPr="00C80D3A">
        <w:rPr>
          <w:rFonts w:ascii="Times New Roman" w:eastAsia="Calibri" w:hAnsi="Times New Roman" w:cs="Times New Roman"/>
          <w:sz w:val="26"/>
          <w:szCs w:val="26"/>
        </w:rPr>
        <w:t xml:space="preserve">Energy Affordability </w:t>
      </w:r>
      <w:r w:rsidRPr="00C80D3A">
        <w:rPr>
          <w:rFonts w:ascii="Times New Roman" w:hAnsi="Times New Roman" w:cs="Times New Roman"/>
          <w:sz w:val="26"/>
          <w:szCs w:val="26"/>
        </w:rPr>
        <w:t>Report at 30</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40.</w:t>
      </w:r>
    </w:p>
    <w:p w14:paraId="3816E7D1" w14:textId="234CA8F0" w:rsidR="00506216" w:rsidRPr="00C80D3A" w:rsidRDefault="00506216" w:rsidP="00315DBC">
      <w:pPr>
        <w:spacing w:after="0" w:line="360" w:lineRule="auto"/>
        <w:contextualSpacing/>
        <w:rPr>
          <w:rFonts w:ascii="Times New Roman" w:hAnsi="Times New Roman" w:cs="Times New Roman"/>
          <w:sz w:val="26"/>
          <w:szCs w:val="26"/>
        </w:rPr>
      </w:pPr>
    </w:p>
    <w:p w14:paraId="6F51CFD3" w14:textId="7434F315" w:rsidR="00D12555"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color w:val="0D0D0D"/>
          <w:sz w:val="26"/>
          <w:szCs w:val="26"/>
        </w:rPr>
        <w:tab/>
        <w:t>Although some CAP-eligible households may not qualify for LIHEAP and some may experience greater difficulty in applying (</w:t>
      </w:r>
      <w:r w:rsidRPr="00C80D3A">
        <w:rPr>
          <w:rFonts w:ascii="Times New Roman" w:hAnsi="Times New Roman" w:cs="Times New Roman"/>
          <w:i/>
          <w:iCs/>
          <w:color w:val="0D0D0D"/>
          <w:sz w:val="26"/>
          <w:szCs w:val="26"/>
        </w:rPr>
        <w:t>e.g.</w:t>
      </w:r>
      <w:r w:rsidRPr="00C80D3A">
        <w:rPr>
          <w:rFonts w:ascii="Times New Roman" w:hAnsi="Times New Roman" w:cs="Times New Roman"/>
          <w:color w:val="0D0D0D"/>
          <w:sz w:val="26"/>
          <w:szCs w:val="26"/>
        </w:rPr>
        <w:t xml:space="preserve">, due to language barriers), </w:t>
      </w:r>
      <w:r w:rsidRPr="00C80D3A">
        <w:rPr>
          <w:rFonts w:ascii="Times New Roman" w:hAnsi="Times New Roman" w:cs="Times New Roman"/>
          <w:sz w:val="26"/>
          <w:szCs w:val="26"/>
        </w:rPr>
        <w:t xml:space="preserve">EDCs and NGDCs </w:t>
      </w:r>
      <w:r w:rsidR="00502617" w:rsidRPr="00C80D3A">
        <w:rPr>
          <w:rFonts w:ascii="Times New Roman" w:hAnsi="Times New Roman" w:cs="Times New Roman"/>
          <w:sz w:val="26"/>
          <w:szCs w:val="26"/>
        </w:rPr>
        <w:t xml:space="preserve">should </w:t>
      </w:r>
      <w:r w:rsidRPr="00C80D3A">
        <w:rPr>
          <w:rFonts w:ascii="Times New Roman" w:hAnsi="Times New Roman" w:cs="Times New Roman"/>
          <w:sz w:val="26"/>
          <w:szCs w:val="26"/>
        </w:rPr>
        <w:t xml:space="preserve">instruct CAP customers at application and recertification that it is their responsibility to apply for LIHEAP annually, if eligible.  We are not proposing a </w:t>
      </w:r>
      <w:r w:rsidR="00DC0896" w:rsidRPr="00C80D3A">
        <w:rPr>
          <w:rFonts w:ascii="Times New Roman" w:hAnsi="Times New Roman" w:cs="Times New Roman"/>
          <w:sz w:val="26"/>
          <w:szCs w:val="26"/>
        </w:rPr>
        <w:t xml:space="preserve">provision that utilities should </w:t>
      </w:r>
      <w:r w:rsidRPr="00C80D3A">
        <w:rPr>
          <w:rFonts w:ascii="Times New Roman" w:hAnsi="Times New Roman" w:cs="Times New Roman"/>
          <w:sz w:val="26"/>
          <w:szCs w:val="26"/>
        </w:rPr>
        <w:t xml:space="preserve">verify LIHEAP participation if the utility does not receive the grant.  Nevertheless, given the impact of LIHEAP on customer energy burdens, it is important that </w:t>
      </w:r>
      <w:r w:rsidR="001C3930">
        <w:rPr>
          <w:rFonts w:ascii="Times New Roman" w:hAnsi="Times New Roman" w:cs="Times New Roman"/>
          <w:sz w:val="26"/>
          <w:szCs w:val="26"/>
        </w:rPr>
        <w:t>LIHEAP-</w:t>
      </w:r>
      <w:r w:rsidR="009D76C4">
        <w:rPr>
          <w:rFonts w:ascii="Times New Roman" w:hAnsi="Times New Roman" w:cs="Times New Roman"/>
          <w:sz w:val="26"/>
          <w:szCs w:val="26"/>
        </w:rPr>
        <w:t xml:space="preserve">eligible </w:t>
      </w:r>
      <w:r w:rsidRPr="00C80D3A">
        <w:rPr>
          <w:rFonts w:ascii="Times New Roman" w:hAnsi="Times New Roman" w:cs="Times New Roman"/>
          <w:sz w:val="26"/>
          <w:szCs w:val="26"/>
        </w:rPr>
        <w:t xml:space="preserve">CAP customers participate in </w:t>
      </w:r>
      <w:r w:rsidR="001C3930">
        <w:rPr>
          <w:rFonts w:ascii="Times New Roman" w:hAnsi="Times New Roman" w:cs="Times New Roman"/>
          <w:sz w:val="26"/>
          <w:szCs w:val="26"/>
        </w:rPr>
        <w:t>LIHEAP</w:t>
      </w:r>
      <w:r w:rsidR="001C3930"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to make their energy bills more affordable.  </w:t>
      </w:r>
    </w:p>
    <w:p w14:paraId="51EAC839" w14:textId="77777777" w:rsidR="00506216" w:rsidRPr="00C80D3A" w:rsidRDefault="00506216" w:rsidP="00315DBC">
      <w:pPr>
        <w:spacing w:after="0" w:line="360" w:lineRule="auto"/>
        <w:contextualSpacing/>
        <w:rPr>
          <w:rFonts w:ascii="Times New Roman" w:hAnsi="Times New Roman" w:cs="Times New Roman"/>
          <w:sz w:val="26"/>
          <w:szCs w:val="26"/>
        </w:rPr>
      </w:pPr>
    </w:p>
    <w:p w14:paraId="1783A5FC" w14:textId="4025079C" w:rsidR="00753B4E" w:rsidRDefault="00FE583E" w:rsidP="005204FF">
      <w:pPr>
        <w:keepNext/>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sz w:val="26"/>
          <w:szCs w:val="26"/>
        </w:rPr>
        <w:t>Resolution</w:t>
      </w:r>
      <w:r w:rsidR="00506216" w:rsidRPr="00A20145">
        <w:rPr>
          <w:rFonts w:ascii="Times New Roman" w:hAnsi="Times New Roman" w:cs="Times New Roman"/>
          <w:b/>
          <w:bCs/>
          <w:sz w:val="26"/>
          <w:szCs w:val="26"/>
        </w:rPr>
        <w:t xml:space="preserve">: </w:t>
      </w:r>
      <w:r w:rsidR="00753B4E" w:rsidRPr="00A20145">
        <w:rPr>
          <w:rFonts w:ascii="Times New Roman" w:hAnsi="Times New Roman" w:cs="Times New Roman"/>
          <w:b/>
          <w:bCs/>
          <w:sz w:val="26"/>
          <w:szCs w:val="26"/>
        </w:rPr>
        <w:t>Amend Section 69.265(8)</w:t>
      </w:r>
      <w:r w:rsidR="00B90DFB">
        <w:rPr>
          <w:rFonts w:ascii="Times New Roman" w:hAnsi="Times New Roman" w:cs="Times New Roman"/>
          <w:b/>
          <w:bCs/>
          <w:sz w:val="26"/>
          <w:szCs w:val="26"/>
        </w:rPr>
        <w:t>(v)</w:t>
      </w:r>
      <w:r w:rsidR="00753B4E" w:rsidRPr="00A20145">
        <w:rPr>
          <w:rFonts w:ascii="Times New Roman" w:hAnsi="Times New Roman" w:cs="Times New Roman"/>
          <w:b/>
          <w:bCs/>
          <w:sz w:val="26"/>
          <w:szCs w:val="26"/>
        </w:rPr>
        <w:t xml:space="preserve"> – Application for LIHEAP grants</w:t>
      </w:r>
      <w:r w:rsidR="00753B4E" w:rsidRPr="00C80D3A">
        <w:rPr>
          <w:rFonts w:ascii="Times New Roman" w:hAnsi="Times New Roman" w:cs="Times New Roman"/>
          <w:b/>
          <w:bCs/>
          <w:sz w:val="26"/>
          <w:szCs w:val="26"/>
        </w:rPr>
        <w:t>;</w:t>
      </w:r>
      <w:r w:rsidR="00753B4E" w:rsidRPr="00A20145">
        <w:rPr>
          <w:rFonts w:ascii="Times New Roman" w:hAnsi="Times New Roman" w:cs="Times New Roman"/>
          <w:b/>
          <w:bCs/>
          <w:sz w:val="26"/>
          <w:szCs w:val="26"/>
        </w:rPr>
        <w:t xml:space="preserve"> </w:t>
      </w:r>
      <w:r w:rsidR="001C4093">
        <w:rPr>
          <w:rFonts w:ascii="Times New Roman" w:hAnsi="Times New Roman" w:cs="Times New Roman"/>
          <w:b/>
          <w:bCs/>
          <w:sz w:val="26"/>
          <w:szCs w:val="26"/>
        </w:rPr>
        <w:t>r</w:t>
      </w:r>
      <w:r w:rsidR="004318D7" w:rsidRPr="00A20145">
        <w:rPr>
          <w:rFonts w:ascii="Times New Roman" w:hAnsi="Times New Roman" w:cs="Times New Roman"/>
          <w:b/>
          <w:bCs/>
          <w:sz w:val="26"/>
          <w:szCs w:val="26"/>
        </w:rPr>
        <w:t>e</w:t>
      </w:r>
      <w:r w:rsidR="004318D7">
        <w:rPr>
          <w:rFonts w:ascii="Times New Roman" w:hAnsi="Times New Roman" w:cs="Times New Roman"/>
          <w:b/>
          <w:bCs/>
          <w:sz w:val="26"/>
          <w:szCs w:val="26"/>
        </w:rPr>
        <w:t>scind</w:t>
      </w:r>
      <w:r w:rsidR="004318D7" w:rsidRPr="00A20145">
        <w:rPr>
          <w:rFonts w:ascii="Times New Roman" w:hAnsi="Times New Roman" w:cs="Times New Roman"/>
          <w:b/>
          <w:bCs/>
          <w:sz w:val="26"/>
          <w:szCs w:val="26"/>
        </w:rPr>
        <w:t xml:space="preserve"> </w:t>
      </w:r>
      <w:r w:rsidR="00753B4E" w:rsidRPr="00A20145">
        <w:rPr>
          <w:rFonts w:ascii="Times New Roman" w:hAnsi="Times New Roman" w:cs="Times New Roman"/>
          <w:b/>
          <w:bCs/>
          <w:sz w:val="26"/>
          <w:szCs w:val="26"/>
        </w:rPr>
        <w:t xml:space="preserve">original Section 69.265(9) – Coordination of energy assistance benefits.  </w:t>
      </w:r>
    </w:p>
    <w:p w14:paraId="3BEF18D1" w14:textId="77777777" w:rsidR="005204FF" w:rsidRPr="00A20145" w:rsidRDefault="005204FF" w:rsidP="005204FF">
      <w:pPr>
        <w:keepNext/>
        <w:spacing w:after="0" w:line="240" w:lineRule="auto"/>
        <w:contextualSpacing/>
        <w:rPr>
          <w:rFonts w:ascii="Times New Roman" w:hAnsi="Times New Roman" w:cs="Times New Roman"/>
          <w:b/>
          <w:bCs/>
          <w:sz w:val="26"/>
          <w:szCs w:val="26"/>
        </w:rPr>
      </w:pPr>
    </w:p>
    <w:p w14:paraId="37100E32" w14:textId="74ADD5D2" w:rsidR="00506216" w:rsidRPr="00C80D3A" w:rsidRDefault="00753B4E" w:rsidP="005204FF">
      <w:pPr>
        <w:keepNext/>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407348" w:rsidRPr="00C80D3A">
        <w:rPr>
          <w:rFonts w:ascii="Times New Roman" w:hAnsi="Times New Roman" w:cs="Times New Roman"/>
          <w:sz w:val="26"/>
          <w:szCs w:val="26"/>
        </w:rPr>
        <w:t>C</w:t>
      </w:r>
      <w:r w:rsidR="00285BF3" w:rsidRPr="00C80D3A">
        <w:rPr>
          <w:rFonts w:ascii="Times New Roman" w:hAnsi="Times New Roman" w:cs="Times New Roman"/>
          <w:sz w:val="26"/>
          <w:szCs w:val="26"/>
        </w:rPr>
        <w:t xml:space="preserve">onsistent with the discussion above, this Order </w:t>
      </w:r>
      <w:r w:rsidR="004D334F" w:rsidRPr="00C80D3A">
        <w:rPr>
          <w:rFonts w:ascii="Times New Roman" w:hAnsi="Times New Roman" w:cs="Times New Roman"/>
          <w:sz w:val="26"/>
          <w:szCs w:val="26"/>
        </w:rPr>
        <w:t xml:space="preserve">amends </w:t>
      </w:r>
      <w:r w:rsidR="00285BF3" w:rsidRPr="00C80D3A">
        <w:rPr>
          <w:rFonts w:ascii="Times New Roman" w:hAnsi="Times New Roman" w:cs="Times New Roman"/>
          <w:sz w:val="26"/>
          <w:szCs w:val="26"/>
        </w:rPr>
        <w:t xml:space="preserve">the CAP Policy Statement as indicated in </w:t>
      </w:r>
      <w:r w:rsidR="00A23FAD" w:rsidRPr="00C80D3A">
        <w:rPr>
          <w:rFonts w:ascii="Times New Roman" w:hAnsi="Times New Roman" w:cs="Times New Roman"/>
          <w:sz w:val="26"/>
          <w:szCs w:val="26"/>
        </w:rPr>
        <w:t xml:space="preserve">Annex </w:t>
      </w:r>
      <w:r w:rsidR="005704DB" w:rsidRPr="00C80D3A">
        <w:rPr>
          <w:rFonts w:ascii="Times New Roman" w:hAnsi="Times New Roman" w:cs="Times New Roman"/>
          <w:sz w:val="26"/>
          <w:szCs w:val="26"/>
        </w:rPr>
        <w:t xml:space="preserve">A </w:t>
      </w:r>
      <w:r w:rsidR="008D13CB" w:rsidRPr="00C80D3A">
        <w:rPr>
          <w:rFonts w:ascii="Times New Roman" w:hAnsi="Times New Roman" w:cs="Times New Roman"/>
          <w:sz w:val="26"/>
          <w:szCs w:val="26"/>
        </w:rPr>
        <w:t xml:space="preserve">to </w:t>
      </w:r>
      <w:r w:rsidR="00504E74">
        <w:rPr>
          <w:rFonts w:ascii="Times New Roman" w:hAnsi="Times New Roman" w:cs="Times New Roman"/>
          <w:sz w:val="26"/>
          <w:szCs w:val="26"/>
        </w:rPr>
        <w:t>rescind</w:t>
      </w:r>
      <w:r w:rsidR="00504E74" w:rsidRPr="00C80D3A">
        <w:rPr>
          <w:rFonts w:ascii="Times New Roman" w:hAnsi="Times New Roman" w:cs="Times New Roman"/>
          <w:sz w:val="26"/>
          <w:szCs w:val="26"/>
        </w:rPr>
        <w:t xml:space="preserve"> </w:t>
      </w:r>
      <w:r w:rsidR="00506216" w:rsidRPr="00C80D3A">
        <w:rPr>
          <w:rFonts w:ascii="Times New Roman" w:hAnsi="Times New Roman" w:cs="Times New Roman"/>
          <w:sz w:val="26"/>
          <w:szCs w:val="26"/>
        </w:rPr>
        <w:t xml:space="preserve">the provisions in the CAP Policy Statement </w:t>
      </w:r>
      <w:r w:rsidR="008D13CB" w:rsidRPr="00C80D3A">
        <w:rPr>
          <w:rFonts w:ascii="Times New Roman" w:hAnsi="Times New Roman" w:cs="Times New Roman"/>
          <w:sz w:val="26"/>
          <w:szCs w:val="26"/>
        </w:rPr>
        <w:t xml:space="preserve">requiring CAP customers to </w:t>
      </w:r>
      <w:r w:rsidR="00506216" w:rsidRPr="00C80D3A">
        <w:rPr>
          <w:rFonts w:ascii="Times New Roman" w:hAnsi="Times New Roman" w:cs="Times New Roman"/>
          <w:sz w:val="26"/>
          <w:szCs w:val="26"/>
        </w:rPr>
        <w:t xml:space="preserve">assign </w:t>
      </w:r>
      <w:r w:rsidR="008D13CB" w:rsidRPr="00C80D3A">
        <w:rPr>
          <w:rFonts w:ascii="Times New Roman" w:hAnsi="Times New Roman" w:cs="Times New Roman"/>
          <w:sz w:val="26"/>
          <w:szCs w:val="26"/>
        </w:rPr>
        <w:t xml:space="preserve">a </w:t>
      </w:r>
      <w:r w:rsidR="00506216" w:rsidRPr="00C80D3A">
        <w:rPr>
          <w:rFonts w:ascii="Times New Roman" w:hAnsi="Times New Roman" w:cs="Times New Roman"/>
          <w:sz w:val="26"/>
          <w:szCs w:val="26"/>
        </w:rPr>
        <w:t xml:space="preserve">LIHEAP </w:t>
      </w:r>
      <w:r w:rsidR="00D56E6C" w:rsidRPr="00C80D3A">
        <w:rPr>
          <w:rFonts w:ascii="Times New Roman" w:hAnsi="Times New Roman" w:cs="Times New Roman"/>
          <w:sz w:val="26"/>
          <w:szCs w:val="26"/>
        </w:rPr>
        <w:t xml:space="preserve">grant </w:t>
      </w:r>
      <w:r w:rsidR="00506216" w:rsidRPr="00C80D3A">
        <w:rPr>
          <w:rFonts w:ascii="Times New Roman" w:hAnsi="Times New Roman" w:cs="Times New Roman"/>
          <w:sz w:val="26"/>
          <w:szCs w:val="26"/>
        </w:rPr>
        <w:t>to a specific utility</w:t>
      </w:r>
      <w:r w:rsidR="008D13CB" w:rsidRPr="00C80D3A">
        <w:rPr>
          <w:rFonts w:ascii="Times New Roman" w:hAnsi="Times New Roman" w:cs="Times New Roman"/>
          <w:sz w:val="26"/>
          <w:szCs w:val="26"/>
        </w:rPr>
        <w:t xml:space="preserve"> (Section</w:t>
      </w:r>
      <w:r w:rsidR="00554D14">
        <w:rPr>
          <w:rFonts w:ascii="Times New Roman" w:hAnsi="Times New Roman" w:cs="Times New Roman"/>
          <w:sz w:val="26"/>
          <w:szCs w:val="26"/>
        </w:rPr>
        <w:t> </w:t>
      </w:r>
      <w:r w:rsidR="008D13CB" w:rsidRPr="00C80D3A">
        <w:rPr>
          <w:rFonts w:ascii="Times New Roman" w:hAnsi="Times New Roman" w:cs="Times New Roman"/>
          <w:sz w:val="26"/>
          <w:szCs w:val="26"/>
        </w:rPr>
        <w:t>69.265(9)(i))</w:t>
      </w:r>
      <w:r w:rsidR="00506216" w:rsidRPr="00C80D3A">
        <w:rPr>
          <w:rFonts w:ascii="Times New Roman" w:hAnsi="Times New Roman" w:cs="Times New Roman"/>
          <w:sz w:val="26"/>
          <w:szCs w:val="26"/>
        </w:rPr>
        <w:t xml:space="preserve"> and penalizing the CAP customer for not applying for LIHEAP</w:t>
      </w:r>
      <w:r w:rsidR="008D13CB" w:rsidRPr="00C80D3A">
        <w:rPr>
          <w:rFonts w:ascii="Times New Roman" w:hAnsi="Times New Roman" w:cs="Times New Roman"/>
          <w:sz w:val="26"/>
          <w:szCs w:val="26"/>
        </w:rPr>
        <w:t xml:space="preserve"> (Section 69.265(9)(ii</w:t>
      </w:r>
      <w:r w:rsidR="002A6C4F" w:rsidRPr="00C80D3A">
        <w:rPr>
          <w:rFonts w:ascii="Times New Roman" w:hAnsi="Times New Roman" w:cs="Times New Roman"/>
          <w:sz w:val="26"/>
          <w:szCs w:val="26"/>
        </w:rPr>
        <w:t>) and</w:t>
      </w:r>
      <w:r w:rsidR="00447957" w:rsidRPr="00C80D3A">
        <w:rPr>
          <w:rFonts w:ascii="Times New Roman" w:hAnsi="Times New Roman" w:cs="Times New Roman"/>
          <w:sz w:val="26"/>
          <w:szCs w:val="26"/>
        </w:rPr>
        <w:t xml:space="preserve"> </w:t>
      </w:r>
      <w:r w:rsidR="002A6C4F" w:rsidRPr="00C80D3A">
        <w:rPr>
          <w:rFonts w:ascii="Times New Roman" w:hAnsi="Times New Roman" w:cs="Times New Roman"/>
          <w:sz w:val="26"/>
          <w:szCs w:val="26"/>
        </w:rPr>
        <w:t>(</w:t>
      </w:r>
      <w:r w:rsidR="008D13CB" w:rsidRPr="00C80D3A">
        <w:rPr>
          <w:rFonts w:ascii="Times New Roman" w:hAnsi="Times New Roman" w:cs="Times New Roman"/>
          <w:sz w:val="26"/>
          <w:szCs w:val="26"/>
        </w:rPr>
        <w:t>iv))</w:t>
      </w:r>
      <w:r w:rsidR="00506216" w:rsidRPr="00C80D3A">
        <w:rPr>
          <w:rFonts w:ascii="Times New Roman" w:hAnsi="Times New Roman" w:cs="Times New Roman"/>
          <w:sz w:val="26"/>
          <w:szCs w:val="26"/>
        </w:rPr>
        <w:t xml:space="preserve">.  </w:t>
      </w:r>
      <w:r w:rsidR="009C53BA" w:rsidRPr="00C80D3A">
        <w:rPr>
          <w:rFonts w:ascii="Times New Roman" w:hAnsi="Times New Roman" w:cs="Times New Roman"/>
          <w:sz w:val="26"/>
          <w:szCs w:val="26"/>
        </w:rPr>
        <w:t xml:space="preserve">The </w:t>
      </w:r>
      <w:r w:rsidR="005704DB" w:rsidRPr="00C80D3A">
        <w:rPr>
          <w:rFonts w:ascii="Times New Roman" w:hAnsi="Times New Roman" w:cs="Times New Roman"/>
          <w:sz w:val="26"/>
          <w:szCs w:val="26"/>
        </w:rPr>
        <w:t xml:space="preserve">amended </w:t>
      </w:r>
      <w:r w:rsidR="009C53BA" w:rsidRPr="00C80D3A">
        <w:rPr>
          <w:rFonts w:ascii="Times New Roman" w:hAnsi="Times New Roman" w:cs="Times New Roman"/>
          <w:sz w:val="26"/>
          <w:szCs w:val="26"/>
        </w:rPr>
        <w:t xml:space="preserve">CAP Policy Statement </w:t>
      </w:r>
      <w:r w:rsidR="00186696" w:rsidRPr="00C80D3A">
        <w:rPr>
          <w:rFonts w:ascii="Times New Roman" w:hAnsi="Times New Roman" w:cs="Times New Roman"/>
          <w:sz w:val="26"/>
          <w:szCs w:val="26"/>
        </w:rPr>
        <w:t>should</w:t>
      </w:r>
      <w:r w:rsidR="00BE6AE3" w:rsidRPr="00C80D3A">
        <w:rPr>
          <w:rFonts w:ascii="Times New Roman" w:hAnsi="Times New Roman" w:cs="Times New Roman"/>
          <w:sz w:val="26"/>
          <w:szCs w:val="26"/>
        </w:rPr>
        <w:t xml:space="preserve"> serve to reinforce </w:t>
      </w:r>
      <w:r w:rsidR="000A4E82" w:rsidRPr="00C80D3A">
        <w:rPr>
          <w:rFonts w:ascii="Times New Roman" w:hAnsi="Times New Roman" w:cs="Times New Roman"/>
          <w:sz w:val="26"/>
          <w:szCs w:val="26"/>
        </w:rPr>
        <w:t>a utility</w:t>
      </w:r>
      <w:r w:rsidR="001529C6">
        <w:rPr>
          <w:rFonts w:ascii="Times New Roman" w:hAnsi="Times New Roman" w:cs="Times New Roman"/>
          <w:sz w:val="26"/>
          <w:szCs w:val="26"/>
        </w:rPr>
        <w:t>’</w:t>
      </w:r>
      <w:r w:rsidR="000A4E82" w:rsidRPr="00C80D3A">
        <w:rPr>
          <w:rFonts w:ascii="Times New Roman" w:hAnsi="Times New Roman" w:cs="Times New Roman"/>
          <w:sz w:val="26"/>
          <w:szCs w:val="26"/>
        </w:rPr>
        <w:t>s obligation</w:t>
      </w:r>
      <w:r w:rsidR="00506216" w:rsidRPr="00C80D3A">
        <w:rPr>
          <w:rFonts w:ascii="Times New Roman" w:hAnsi="Times New Roman" w:cs="Times New Roman"/>
          <w:sz w:val="26"/>
          <w:szCs w:val="26"/>
        </w:rPr>
        <w:t xml:space="preserve">, at a minimum, </w:t>
      </w:r>
      <w:r w:rsidR="00095957" w:rsidRPr="00C80D3A">
        <w:rPr>
          <w:rFonts w:ascii="Times New Roman" w:hAnsi="Times New Roman" w:cs="Times New Roman"/>
          <w:sz w:val="26"/>
          <w:szCs w:val="26"/>
        </w:rPr>
        <w:t xml:space="preserve">to </w:t>
      </w:r>
      <w:r w:rsidR="00506216" w:rsidRPr="00C80D3A">
        <w:rPr>
          <w:rFonts w:ascii="Times New Roman" w:hAnsi="Times New Roman" w:cs="Times New Roman"/>
          <w:sz w:val="26"/>
          <w:szCs w:val="26"/>
        </w:rPr>
        <w:t>inform customers that they must agree to apply for LIHEAP as a condition of CAP enrollment or recertification.</w:t>
      </w:r>
    </w:p>
    <w:p w14:paraId="70207F89" w14:textId="77777777" w:rsidR="00AC1E02" w:rsidRPr="00C80D3A" w:rsidRDefault="00AC1E02" w:rsidP="00A613A4">
      <w:pPr>
        <w:spacing w:after="0" w:line="360" w:lineRule="auto"/>
        <w:contextualSpacing/>
        <w:rPr>
          <w:rFonts w:ascii="Times New Roman" w:hAnsi="Times New Roman" w:cs="Times New Roman"/>
          <w:sz w:val="26"/>
          <w:szCs w:val="26"/>
        </w:rPr>
      </w:pPr>
    </w:p>
    <w:p w14:paraId="6D3204D4" w14:textId="461FB9FB" w:rsidR="002B6F5F" w:rsidRPr="00C80D3A" w:rsidRDefault="00AC1E02" w:rsidP="005E2296">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bookmarkStart w:id="15" w:name="_6.__Proposed"/>
      <w:bookmarkEnd w:id="15"/>
      <w:r w:rsidR="00735D32" w:rsidRPr="00C80D3A">
        <w:rPr>
          <w:rFonts w:ascii="Times New Roman" w:hAnsi="Times New Roman" w:cs="Times New Roman"/>
          <w:sz w:val="26"/>
          <w:szCs w:val="26"/>
        </w:rPr>
        <w:t xml:space="preserve">Further, while it was not expressly addressed in the </w:t>
      </w:r>
      <w:r w:rsidR="00735D32" w:rsidRPr="00C80D3A">
        <w:rPr>
          <w:rFonts w:ascii="Times New Roman" w:hAnsi="Times New Roman" w:cs="Times New Roman"/>
          <w:i/>
          <w:sz w:val="26"/>
          <w:szCs w:val="26"/>
        </w:rPr>
        <w:t>Review</w:t>
      </w:r>
      <w:r w:rsidR="00735D32" w:rsidRPr="00C80D3A">
        <w:rPr>
          <w:rFonts w:ascii="Times New Roman" w:hAnsi="Times New Roman" w:cs="Times New Roman"/>
          <w:sz w:val="26"/>
          <w:szCs w:val="26"/>
        </w:rPr>
        <w:t xml:space="preserve"> and </w:t>
      </w:r>
      <w:r w:rsidR="00735D32" w:rsidRPr="00C80D3A">
        <w:rPr>
          <w:rFonts w:ascii="Times New Roman" w:hAnsi="Times New Roman" w:cs="Times New Roman"/>
          <w:i/>
          <w:sz w:val="26"/>
          <w:szCs w:val="26"/>
        </w:rPr>
        <w:t>Energy Affordability</w:t>
      </w:r>
      <w:r w:rsidR="00735D32" w:rsidRPr="00C80D3A">
        <w:rPr>
          <w:rFonts w:ascii="Times New Roman" w:hAnsi="Times New Roman" w:cs="Times New Roman"/>
          <w:sz w:val="26"/>
          <w:szCs w:val="26"/>
        </w:rPr>
        <w:t xml:space="preserve"> proceedings, </w:t>
      </w:r>
      <w:r w:rsidR="000902F9" w:rsidRPr="00C80D3A">
        <w:rPr>
          <w:rFonts w:ascii="Times New Roman" w:hAnsi="Times New Roman" w:cs="Times New Roman"/>
          <w:sz w:val="26"/>
          <w:szCs w:val="26"/>
        </w:rPr>
        <w:t xml:space="preserve">as a housekeeping measure, </w:t>
      </w:r>
      <w:r w:rsidR="00735D32" w:rsidRPr="00C80D3A">
        <w:rPr>
          <w:rFonts w:ascii="Times New Roman" w:hAnsi="Times New Roman" w:cs="Times New Roman"/>
          <w:sz w:val="26"/>
          <w:szCs w:val="26"/>
        </w:rPr>
        <w:t xml:space="preserve">we shall also </w:t>
      </w:r>
      <w:r w:rsidR="00504E74">
        <w:rPr>
          <w:rFonts w:ascii="Times New Roman" w:hAnsi="Times New Roman" w:cs="Times New Roman"/>
          <w:sz w:val="26"/>
          <w:szCs w:val="26"/>
        </w:rPr>
        <w:t>rescind</w:t>
      </w:r>
      <w:r w:rsidR="00735D32" w:rsidRPr="00C80D3A">
        <w:rPr>
          <w:rFonts w:ascii="Times New Roman" w:hAnsi="Times New Roman" w:cs="Times New Roman"/>
          <w:sz w:val="26"/>
          <w:szCs w:val="26"/>
        </w:rPr>
        <w:t xml:space="preserve"> Section</w:t>
      </w:r>
      <w:r w:rsidR="000902F9" w:rsidRPr="00C80D3A">
        <w:rPr>
          <w:rFonts w:ascii="Times New Roman" w:hAnsi="Times New Roman" w:cs="Times New Roman"/>
          <w:sz w:val="26"/>
          <w:szCs w:val="26"/>
        </w:rPr>
        <w:t> </w:t>
      </w:r>
      <w:r w:rsidR="00735D32" w:rsidRPr="00C80D3A">
        <w:rPr>
          <w:rFonts w:ascii="Times New Roman" w:hAnsi="Times New Roman" w:cs="Times New Roman"/>
          <w:sz w:val="26"/>
          <w:szCs w:val="26"/>
        </w:rPr>
        <w:t xml:space="preserve">69.265(9)(iii) </w:t>
      </w:r>
      <w:r w:rsidR="000902F9" w:rsidRPr="00C80D3A">
        <w:rPr>
          <w:rFonts w:ascii="Times New Roman" w:hAnsi="Times New Roman" w:cs="Times New Roman"/>
          <w:sz w:val="26"/>
          <w:szCs w:val="26"/>
        </w:rPr>
        <w:t xml:space="preserve">which </w:t>
      </w:r>
      <w:r w:rsidR="00FC3E35" w:rsidRPr="00C80D3A">
        <w:rPr>
          <w:rFonts w:ascii="Times New Roman" w:hAnsi="Times New Roman" w:cs="Times New Roman"/>
          <w:sz w:val="26"/>
          <w:szCs w:val="26"/>
        </w:rPr>
        <w:t xml:space="preserve">currently </w:t>
      </w:r>
      <w:r w:rsidR="00735D32" w:rsidRPr="00C80D3A">
        <w:rPr>
          <w:rFonts w:ascii="Times New Roman" w:hAnsi="Times New Roman" w:cs="Times New Roman"/>
          <w:sz w:val="26"/>
          <w:szCs w:val="26"/>
        </w:rPr>
        <w:t>recommend</w:t>
      </w:r>
      <w:r w:rsidR="000902F9" w:rsidRPr="00C80D3A">
        <w:rPr>
          <w:rFonts w:ascii="Times New Roman" w:hAnsi="Times New Roman" w:cs="Times New Roman"/>
          <w:sz w:val="26"/>
          <w:szCs w:val="26"/>
        </w:rPr>
        <w:t>s</w:t>
      </w:r>
      <w:r w:rsidR="00735D32" w:rsidRPr="00C80D3A">
        <w:rPr>
          <w:rFonts w:ascii="Times New Roman" w:hAnsi="Times New Roman" w:cs="Times New Roman"/>
          <w:sz w:val="26"/>
          <w:szCs w:val="26"/>
        </w:rPr>
        <w:t xml:space="preserve"> that LIHEAP grants be used to reduce CAP credits.  </w:t>
      </w:r>
    </w:p>
    <w:p w14:paraId="402700B0" w14:textId="77777777" w:rsidR="002B6F5F" w:rsidRPr="00C80D3A" w:rsidRDefault="002B6F5F" w:rsidP="005E2296">
      <w:pPr>
        <w:spacing w:after="0" w:line="360" w:lineRule="auto"/>
        <w:contextualSpacing/>
        <w:rPr>
          <w:rFonts w:ascii="Times New Roman" w:hAnsi="Times New Roman" w:cs="Times New Roman"/>
          <w:sz w:val="26"/>
          <w:szCs w:val="26"/>
        </w:rPr>
      </w:pPr>
    </w:p>
    <w:p w14:paraId="7D32DC63" w14:textId="0C7FBDBF" w:rsidR="00506216" w:rsidRPr="00C80D3A" w:rsidRDefault="00506216" w:rsidP="007B6079">
      <w:pPr>
        <w:pStyle w:val="Heading3"/>
        <w:contextualSpacing/>
        <w:rPr>
          <w:sz w:val="26"/>
          <w:szCs w:val="26"/>
        </w:rPr>
      </w:pPr>
      <w:r w:rsidRPr="00C80D3A">
        <w:rPr>
          <w:sz w:val="26"/>
          <w:szCs w:val="26"/>
        </w:rPr>
        <w:t xml:space="preserve">6.  </w:t>
      </w:r>
      <w:bookmarkStart w:id="16" w:name="_Hlk13555759"/>
      <w:r w:rsidR="000F2D01" w:rsidRPr="00C80D3A">
        <w:rPr>
          <w:bCs/>
          <w:sz w:val="26"/>
          <w:szCs w:val="26"/>
        </w:rPr>
        <w:t>Utilities should exempt CAP customers from late payment charges</w:t>
      </w:r>
      <w:r w:rsidRPr="00C80D3A">
        <w:rPr>
          <w:sz w:val="26"/>
          <w:szCs w:val="26"/>
        </w:rPr>
        <w:t>.</w:t>
      </w:r>
      <w:bookmarkEnd w:id="16"/>
    </w:p>
    <w:p w14:paraId="233DBEDF" w14:textId="77777777" w:rsidR="00506216" w:rsidRPr="00C80D3A" w:rsidRDefault="00506216" w:rsidP="007B6079">
      <w:pPr>
        <w:keepNext/>
        <w:spacing w:after="0" w:line="240" w:lineRule="auto"/>
        <w:contextualSpacing/>
        <w:rPr>
          <w:rFonts w:ascii="Times New Roman" w:hAnsi="Times New Roman" w:cs="Times New Roman"/>
          <w:sz w:val="26"/>
          <w:szCs w:val="26"/>
        </w:rPr>
      </w:pPr>
    </w:p>
    <w:p w14:paraId="12D04310" w14:textId="10EA20D0"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Section 56.22(d) authorizes the Commission to direct utilities to waive late payment charges for customers with incomes at or below 150% of the FPIG.  Most EDC and NGDC CAPs </w:t>
      </w:r>
      <w:r w:rsidR="00693A16" w:rsidRPr="00C80D3A">
        <w:rPr>
          <w:rFonts w:ascii="Times New Roman" w:hAnsi="Times New Roman" w:cs="Times New Roman"/>
          <w:sz w:val="26"/>
          <w:szCs w:val="26"/>
        </w:rPr>
        <w:t xml:space="preserve">currently </w:t>
      </w:r>
      <w:r w:rsidRPr="00C80D3A">
        <w:rPr>
          <w:rFonts w:ascii="Times New Roman" w:hAnsi="Times New Roman" w:cs="Times New Roman"/>
          <w:sz w:val="26"/>
          <w:szCs w:val="26"/>
        </w:rPr>
        <w:t>automatically waive late payment charges for CAP participants.  Only two utilities, PECO and NFG, currently charge a fee if a CAP customer misses a payment due date.</w:t>
      </w:r>
      <w:r w:rsidR="00B90DFB" w:rsidRPr="00C80D3A" w:rsidDel="00B90DFB">
        <w:rPr>
          <w:rFonts w:ascii="Times New Roman" w:hAnsi="Times New Roman" w:cs="Times New Roman"/>
          <w:sz w:val="26"/>
          <w:szCs w:val="26"/>
          <w:vertAlign w:val="superscript"/>
        </w:rPr>
        <w:t xml:space="preserve"> </w:t>
      </w:r>
    </w:p>
    <w:p w14:paraId="5AA96C51" w14:textId="77777777" w:rsidR="00506216" w:rsidRPr="00C80D3A" w:rsidRDefault="00506216" w:rsidP="00315DBC">
      <w:pPr>
        <w:spacing w:after="0" w:line="360" w:lineRule="auto"/>
        <w:contextualSpacing/>
        <w:rPr>
          <w:rFonts w:ascii="Times New Roman" w:hAnsi="Times New Roman" w:cs="Times New Roman"/>
          <w:sz w:val="26"/>
          <w:szCs w:val="26"/>
        </w:rPr>
      </w:pPr>
    </w:p>
    <w:p w14:paraId="30AD3F69" w14:textId="1A323DB0"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This issue was not addressed by stakeholders in either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or </w:t>
      </w:r>
      <w:r w:rsidRPr="00C80D3A">
        <w:rPr>
          <w:rFonts w:ascii="Times New Roman" w:hAnsi="Times New Roman" w:cs="Times New Roman"/>
          <w:i/>
          <w:iCs/>
          <w:sz w:val="26"/>
          <w:szCs w:val="26"/>
        </w:rPr>
        <w:t>Energy Affordability</w:t>
      </w:r>
      <w:r w:rsidRPr="00C80D3A">
        <w:rPr>
          <w:rFonts w:ascii="Times New Roman" w:hAnsi="Times New Roman" w:cs="Times New Roman"/>
          <w:sz w:val="26"/>
          <w:szCs w:val="26"/>
        </w:rPr>
        <w:t xml:space="preserve"> proceedings</w:t>
      </w:r>
      <w:r w:rsidR="00AC04A4" w:rsidRPr="00EE6D3C">
        <w:rPr>
          <w:rFonts w:ascii="Times New Roman" w:hAnsi="Times New Roman" w:cs="Times New Roman"/>
          <w:sz w:val="26"/>
          <w:szCs w:val="26"/>
        </w:rPr>
        <w:t>, bu</w:t>
      </w:r>
      <w:r w:rsidR="0098725B" w:rsidRPr="00EE6D3C">
        <w:rPr>
          <w:rFonts w:ascii="Times New Roman" w:hAnsi="Times New Roman" w:cs="Times New Roman"/>
          <w:sz w:val="26"/>
          <w:szCs w:val="26"/>
        </w:rPr>
        <w:t xml:space="preserve">t there is authority </w:t>
      </w:r>
      <w:r w:rsidR="00554D14">
        <w:rPr>
          <w:rFonts w:ascii="Times New Roman" w:hAnsi="Times New Roman" w:cs="Times New Roman"/>
          <w:sz w:val="26"/>
          <w:szCs w:val="26"/>
        </w:rPr>
        <w:t xml:space="preserve">for the Commission </w:t>
      </w:r>
      <w:r w:rsidR="0098725B" w:rsidRPr="00EE6D3C">
        <w:rPr>
          <w:rFonts w:ascii="Times New Roman" w:hAnsi="Times New Roman" w:cs="Times New Roman"/>
          <w:sz w:val="26"/>
          <w:szCs w:val="26"/>
        </w:rPr>
        <w:t xml:space="preserve">to </w:t>
      </w:r>
      <w:r w:rsidR="00554D14" w:rsidRPr="00C80D3A">
        <w:rPr>
          <w:rFonts w:ascii="Times New Roman" w:hAnsi="Times New Roman" w:cs="Times New Roman"/>
          <w:sz w:val="26"/>
          <w:szCs w:val="26"/>
        </w:rPr>
        <w:t xml:space="preserve">direct utilities to waive late payment charges for customers with incomes at or below 150% of </w:t>
      </w:r>
      <w:r w:rsidR="005F4339">
        <w:rPr>
          <w:rFonts w:ascii="Times New Roman" w:hAnsi="Times New Roman" w:cs="Times New Roman"/>
          <w:sz w:val="26"/>
          <w:szCs w:val="26"/>
        </w:rPr>
        <w:t xml:space="preserve">the </w:t>
      </w:r>
      <w:r w:rsidR="00554D14" w:rsidRPr="00C80D3A">
        <w:rPr>
          <w:rFonts w:ascii="Times New Roman" w:hAnsi="Times New Roman" w:cs="Times New Roman"/>
          <w:sz w:val="26"/>
          <w:szCs w:val="26"/>
        </w:rPr>
        <w:t>FPIG</w:t>
      </w:r>
      <w:r w:rsidRPr="00C80D3A">
        <w:rPr>
          <w:rFonts w:ascii="Times New Roman" w:hAnsi="Times New Roman" w:cs="Times New Roman"/>
          <w:sz w:val="26"/>
          <w:szCs w:val="26"/>
        </w:rPr>
        <w:t>.</w:t>
      </w:r>
      <w:r w:rsidR="00571585">
        <w:rPr>
          <w:rStyle w:val="FootnoteReference"/>
          <w:rFonts w:ascii="Times New Roman" w:hAnsi="Times New Roman" w:cs="Times New Roman"/>
          <w:sz w:val="26"/>
          <w:szCs w:val="26"/>
        </w:rPr>
        <w:footnoteReference w:id="81"/>
      </w:r>
      <w:r w:rsidRPr="00C80D3A">
        <w:rPr>
          <w:rFonts w:ascii="Times New Roman" w:hAnsi="Times New Roman" w:cs="Times New Roman"/>
          <w:sz w:val="26"/>
          <w:szCs w:val="26"/>
        </w:rPr>
        <w:t xml:space="preserve">  </w:t>
      </w:r>
    </w:p>
    <w:p w14:paraId="01666CC6" w14:textId="77777777" w:rsidR="00506216" w:rsidRPr="00C80D3A" w:rsidRDefault="00506216" w:rsidP="00315DBC">
      <w:pPr>
        <w:spacing w:after="0" w:line="360" w:lineRule="auto"/>
        <w:contextualSpacing/>
        <w:rPr>
          <w:rFonts w:ascii="Times New Roman" w:hAnsi="Times New Roman" w:cs="Times New Roman"/>
          <w:sz w:val="26"/>
          <w:szCs w:val="26"/>
        </w:rPr>
      </w:pPr>
    </w:p>
    <w:p w14:paraId="5167A24C" w14:textId="77777777" w:rsidR="00506216" w:rsidRPr="00C80D3A" w:rsidRDefault="00506216" w:rsidP="007B6079">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59CF72EF" w14:textId="7850B304"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Although late payment charges are meant to provide an incentive for customers to make timely payments, </w:t>
      </w:r>
      <w:r w:rsidR="00EA459D" w:rsidRPr="00C80D3A">
        <w:rPr>
          <w:rFonts w:ascii="Times New Roman" w:hAnsi="Times New Roman" w:cs="Times New Roman"/>
          <w:sz w:val="26"/>
          <w:szCs w:val="26"/>
        </w:rPr>
        <w:t>we are concerned</w:t>
      </w:r>
      <w:r w:rsidRPr="00C80D3A">
        <w:rPr>
          <w:rFonts w:ascii="Times New Roman" w:hAnsi="Times New Roman" w:cs="Times New Roman"/>
          <w:sz w:val="26"/>
          <w:szCs w:val="26"/>
        </w:rPr>
        <w:t xml:space="preserve"> that adding such fees to CAP accounts runs counter to the goals of the program.  CAPs </w:t>
      </w:r>
      <w:r w:rsidR="00302AEA" w:rsidRPr="00C80D3A">
        <w:rPr>
          <w:rFonts w:ascii="Times New Roman" w:hAnsi="Times New Roman" w:cs="Times New Roman"/>
          <w:sz w:val="26"/>
          <w:szCs w:val="26"/>
        </w:rPr>
        <w:t xml:space="preserve">should </w:t>
      </w:r>
      <w:r w:rsidRPr="00C80D3A">
        <w:rPr>
          <w:rFonts w:ascii="Times New Roman" w:hAnsi="Times New Roman" w:cs="Times New Roman"/>
          <w:sz w:val="26"/>
          <w:szCs w:val="26"/>
        </w:rPr>
        <w:t xml:space="preserve">be designed </w:t>
      </w:r>
      <w:r w:rsidR="00736C13" w:rsidRPr="00C80D3A">
        <w:rPr>
          <w:rFonts w:ascii="Times New Roman" w:hAnsi="Times New Roman" w:cs="Times New Roman"/>
          <w:sz w:val="26"/>
          <w:szCs w:val="26"/>
        </w:rPr>
        <w:t xml:space="preserve">to </w:t>
      </w:r>
      <w:r w:rsidRPr="00C80D3A">
        <w:rPr>
          <w:rFonts w:ascii="Times New Roman" w:hAnsi="Times New Roman" w:cs="Times New Roman"/>
          <w:sz w:val="26"/>
          <w:szCs w:val="26"/>
        </w:rPr>
        <w:t xml:space="preserve">provide customers with the most affordable payment option and </w:t>
      </w:r>
      <w:r w:rsidR="00736C13" w:rsidRPr="00C80D3A">
        <w:rPr>
          <w:rFonts w:ascii="Times New Roman" w:hAnsi="Times New Roman" w:cs="Times New Roman"/>
          <w:sz w:val="26"/>
          <w:szCs w:val="26"/>
        </w:rPr>
        <w:t xml:space="preserve">to </w:t>
      </w:r>
      <w:r w:rsidRPr="00C80D3A">
        <w:rPr>
          <w:rFonts w:ascii="Times New Roman" w:hAnsi="Times New Roman" w:cs="Times New Roman"/>
          <w:sz w:val="26"/>
          <w:szCs w:val="26"/>
        </w:rPr>
        <w:t>reduce utility debt.  CAP</w:t>
      </w:r>
      <w:r w:rsidR="00593AFC" w:rsidRPr="00C80D3A">
        <w:rPr>
          <w:rFonts w:ascii="Times New Roman" w:hAnsi="Times New Roman" w:cs="Times New Roman"/>
          <w:sz w:val="26"/>
          <w:szCs w:val="26"/>
        </w:rPr>
        <w:t xml:space="preserve"> participants are </w:t>
      </w:r>
      <w:r w:rsidRPr="00C80D3A">
        <w:rPr>
          <w:rFonts w:ascii="Times New Roman" w:hAnsi="Times New Roman" w:cs="Times New Roman"/>
          <w:sz w:val="26"/>
          <w:szCs w:val="26"/>
        </w:rPr>
        <w:t>financially vulnerable households</w:t>
      </w:r>
      <w:r w:rsidR="007226B1" w:rsidRPr="00C80D3A">
        <w:rPr>
          <w:rFonts w:ascii="Times New Roman" w:hAnsi="Times New Roman" w:cs="Times New Roman"/>
          <w:sz w:val="26"/>
          <w:szCs w:val="26"/>
        </w:rPr>
        <w:t>.  R</w:t>
      </w:r>
      <w:r w:rsidRPr="00C80D3A">
        <w:rPr>
          <w:rFonts w:ascii="Times New Roman" w:hAnsi="Times New Roman" w:cs="Times New Roman"/>
          <w:sz w:val="26"/>
          <w:szCs w:val="26"/>
        </w:rPr>
        <w:t xml:space="preserve">equiring these customers to pay more after missing a payment due date makes the program less affordable and increases in-program arrears.  </w:t>
      </w:r>
    </w:p>
    <w:p w14:paraId="06792381" w14:textId="77777777" w:rsidR="00506216" w:rsidRPr="00C80D3A" w:rsidRDefault="00506216" w:rsidP="00315DBC">
      <w:pPr>
        <w:spacing w:after="0" w:line="360" w:lineRule="auto"/>
        <w:contextualSpacing/>
        <w:rPr>
          <w:rFonts w:ascii="Times New Roman" w:hAnsi="Times New Roman" w:cs="Times New Roman"/>
          <w:sz w:val="26"/>
          <w:szCs w:val="26"/>
        </w:rPr>
      </w:pPr>
    </w:p>
    <w:p w14:paraId="7053B5D2" w14:textId="4459EAE5" w:rsidR="00506216" w:rsidRPr="00C80D3A" w:rsidRDefault="000F2D01"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6C3909" w:rsidRPr="00C80D3A">
        <w:rPr>
          <w:rFonts w:ascii="Times New Roman" w:hAnsi="Times New Roman" w:cs="Times New Roman"/>
          <w:sz w:val="26"/>
          <w:szCs w:val="26"/>
        </w:rPr>
        <w:t xml:space="preserve">Currently, only PECO and NFG charge a fee if a CAP customer misses a payment due date.  </w:t>
      </w:r>
      <w:r w:rsidR="00915DFF" w:rsidRPr="00C80D3A">
        <w:rPr>
          <w:rFonts w:ascii="Times New Roman" w:hAnsi="Times New Roman" w:cs="Times New Roman"/>
          <w:sz w:val="26"/>
          <w:szCs w:val="26"/>
        </w:rPr>
        <w:t>Pursuant to Section 56.22(d), the Commission can direct PECO and NF</w:t>
      </w:r>
      <w:r w:rsidR="000405BF" w:rsidRPr="00C80D3A">
        <w:rPr>
          <w:rFonts w:ascii="Times New Roman" w:hAnsi="Times New Roman" w:cs="Times New Roman"/>
          <w:sz w:val="26"/>
          <w:szCs w:val="26"/>
        </w:rPr>
        <w:t>G</w:t>
      </w:r>
      <w:r w:rsidR="00915DFF" w:rsidRPr="00C80D3A">
        <w:rPr>
          <w:rFonts w:ascii="Times New Roman" w:hAnsi="Times New Roman" w:cs="Times New Roman"/>
          <w:sz w:val="26"/>
          <w:szCs w:val="26"/>
        </w:rPr>
        <w:t xml:space="preserve"> to waive late payment charges</w:t>
      </w:r>
      <w:r w:rsidR="008871BF" w:rsidRPr="00C80D3A">
        <w:rPr>
          <w:rFonts w:ascii="Times New Roman" w:hAnsi="Times New Roman" w:cs="Times New Roman"/>
          <w:sz w:val="26"/>
          <w:szCs w:val="26"/>
        </w:rPr>
        <w:t xml:space="preserve"> and </w:t>
      </w:r>
      <w:r w:rsidR="008871BF" w:rsidRPr="00C80D3A" w:rsidDel="00FA49BB">
        <w:rPr>
          <w:rFonts w:ascii="Times New Roman" w:hAnsi="Times New Roman" w:cs="Times New Roman"/>
          <w:sz w:val="26"/>
          <w:szCs w:val="26"/>
        </w:rPr>
        <w:t>will</w:t>
      </w:r>
      <w:r w:rsidR="005B536E" w:rsidRPr="00C80D3A">
        <w:rPr>
          <w:rFonts w:ascii="Times New Roman" w:hAnsi="Times New Roman" w:cs="Times New Roman"/>
          <w:sz w:val="26"/>
          <w:szCs w:val="26"/>
        </w:rPr>
        <w:t xml:space="preserve"> address this matter in</w:t>
      </w:r>
      <w:r w:rsidR="00953978" w:rsidRPr="00C80D3A">
        <w:rPr>
          <w:rFonts w:ascii="Times New Roman" w:hAnsi="Times New Roman" w:cs="Times New Roman"/>
          <w:sz w:val="26"/>
          <w:szCs w:val="26"/>
        </w:rPr>
        <w:t xml:space="preserve"> their </w:t>
      </w:r>
      <w:r w:rsidR="00FA49BB" w:rsidRPr="00C80D3A">
        <w:rPr>
          <w:rFonts w:ascii="Times New Roman" w:hAnsi="Times New Roman" w:cs="Times New Roman"/>
          <w:sz w:val="26"/>
          <w:szCs w:val="26"/>
        </w:rPr>
        <w:t>next</w:t>
      </w:r>
      <w:r w:rsidR="00953978" w:rsidRPr="00C80D3A">
        <w:rPr>
          <w:rFonts w:ascii="Times New Roman" w:hAnsi="Times New Roman" w:cs="Times New Roman"/>
          <w:sz w:val="26"/>
          <w:szCs w:val="26"/>
        </w:rPr>
        <w:t xml:space="preserve"> USECP </w:t>
      </w:r>
      <w:r w:rsidR="00FA49BB" w:rsidRPr="00C80D3A">
        <w:rPr>
          <w:rFonts w:ascii="Times New Roman" w:hAnsi="Times New Roman" w:cs="Times New Roman"/>
          <w:sz w:val="26"/>
          <w:szCs w:val="26"/>
        </w:rPr>
        <w:t>proceeding</w:t>
      </w:r>
      <w:r w:rsidR="005B536E" w:rsidRPr="00C80D3A">
        <w:rPr>
          <w:rFonts w:ascii="Times New Roman" w:hAnsi="Times New Roman" w:cs="Times New Roman"/>
          <w:sz w:val="26"/>
          <w:szCs w:val="26"/>
        </w:rPr>
        <w:t>s</w:t>
      </w:r>
      <w:r w:rsidR="00FA49BB" w:rsidRPr="00C80D3A">
        <w:rPr>
          <w:rFonts w:ascii="Times New Roman" w:hAnsi="Times New Roman" w:cs="Times New Roman"/>
          <w:sz w:val="26"/>
          <w:szCs w:val="26"/>
        </w:rPr>
        <w:t xml:space="preserve">.  </w:t>
      </w:r>
    </w:p>
    <w:p w14:paraId="14F69EB3" w14:textId="1CCA237E" w:rsidR="00316E2F" w:rsidRPr="00C80D3A" w:rsidRDefault="00316E2F" w:rsidP="00315DBC">
      <w:pPr>
        <w:spacing w:after="0" w:line="360" w:lineRule="auto"/>
        <w:contextualSpacing/>
        <w:rPr>
          <w:rFonts w:ascii="Times New Roman" w:hAnsi="Times New Roman" w:cs="Times New Roman"/>
          <w:sz w:val="26"/>
          <w:szCs w:val="26"/>
        </w:rPr>
      </w:pPr>
    </w:p>
    <w:p w14:paraId="31C47528" w14:textId="222FED09" w:rsidR="00753B4E" w:rsidRDefault="000F2D01" w:rsidP="001C4093">
      <w:pPr>
        <w:spacing w:after="0" w:line="240" w:lineRule="auto"/>
        <w:contextualSpacing/>
        <w:rPr>
          <w:rFonts w:ascii="Times New Roman" w:hAnsi="Times New Roman" w:cs="Times New Roman"/>
          <w:b/>
          <w:bCs/>
          <w:iCs/>
          <w:sz w:val="26"/>
          <w:szCs w:val="26"/>
        </w:rPr>
      </w:pPr>
      <w:r w:rsidRPr="00A20145">
        <w:rPr>
          <w:rFonts w:ascii="Times New Roman" w:hAnsi="Times New Roman" w:cs="Times New Roman"/>
          <w:b/>
          <w:bCs/>
          <w:iCs/>
          <w:sz w:val="26"/>
          <w:szCs w:val="26"/>
        </w:rPr>
        <w:t xml:space="preserve">Resolution: </w:t>
      </w:r>
      <w:r w:rsidR="00753B4E" w:rsidRPr="00A20145">
        <w:rPr>
          <w:rFonts w:ascii="Times New Roman" w:hAnsi="Times New Roman" w:cs="Times New Roman"/>
          <w:b/>
          <w:bCs/>
          <w:iCs/>
          <w:sz w:val="26"/>
          <w:szCs w:val="26"/>
        </w:rPr>
        <w:t>Add New Section 69.265(6) – Late payment charges.</w:t>
      </w:r>
    </w:p>
    <w:p w14:paraId="23A52D17" w14:textId="77777777" w:rsidR="001C4093" w:rsidRPr="00A20145" w:rsidRDefault="001C4093" w:rsidP="009A3B4B">
      <w:pPr>
        <w:spacing w:after="0" w:line="240" w:lineRule="auto"/>
        <w:contextualSpacing/>
        <w:rPr>
          <w:rFonts w:ascii="Times New Roman" w:hAnsi="Times New Roman" w:cs="Times New Roman"/>
          <w:b/>
          <w:bCs/>
          <w:iCs/>
          <w:sz w:val="26"/>
          <w:szCs w:val="26"/>
        </w:rPr>
      </w:pPr>
    </w:p>
    <w:p w14:paraId="495FABEA" w14:textId="7843D961" w:rsidR="000F2D01" w:rsidRPr="00C80D3A" w:rsidRDefault="00753B4E"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4D334F" w:rsidRPr="00C80D3A">
        <w:rPr>
          <w:rFonts w:ascii="Times New Roman" w:hAnsi="Times New Roman" w:cs="Times New Roman"/>
          <w:sz w:val="26"/>
          <w:szCs w:val="26"/>
        </w:rPr>
        <w:t>This Order amends t</w:t>
      </w:r>
      <w:r w:rsidR="000F2D01" w:rsidRPr="00C80D3A">
        <w:rPr>
          <w:rFonts w:ascii="Times New Roman" w:hAnsi="Times New Roman" w:cs="Times New Roman"/>
          <w:sz w:val="26"/>
          <w:szCs w:val="26"/>
        </w:rPr>
        <w:t xml:space="preserve">he CAP Policy Statement </w:t>
      </w:r>
      <w:r w:rsidR="00897787" w:rsidRPr="00C80D3A">
        <w:rPr>
          <w:rFonts w:ascii="Times New Roman" w:hAnsi="Times New Roman" w:cs="Times New Roman"/>
          <w:sz w:val="26"/>
          <w:szCs w:val="26"/>
        </w:rPr>
        <w:t xml:space="preserve">by adding new subsection 69.265(6) </w:t>
      </w:r>
      <w:r w:rsidR="000F2D01" w:rsidRPr="00C80D3A">
        <w:rPr>
          <w:rFonts w:ascii="Times New Roman" w:hAnsi="Times New Roman" w:cs="Times New Roman"/>
          <w:sz w:val="26"/>
          <w:szCs w:val="26"/>
        </w:rPr>
        <w:t>to reflect that utilities should exempt CAP customers from late payment charges or fees.</w:t>
      </w:r>
    </w:p>
    <w:p w14:paraId="3642F357" w14:textId="77777777" w:rsidR="00547760" w:rsidRPr="00C80D3A" w:rsidRDefault="00547760" w:rsidP="00315DBC">
      <w:pPr>
        <w:spacing w:after="0" w:line="360" w:lineRule="auto"/>
        <w:contextualSpacing/>
        <w:rPr>
          <w:rFonts w:ascii="Times New Roman" w:hAnsi="Times New Roman" w:cs="Times New Roman"/>
          <w:sz w:val="26"/>
          <w:szCs w:val="26"/>
        </w:rPr>
      </w:pPr>
    </w:p>
    <w:p w14:paraId="1BD37B25" w14:textId="215E5BC4" w:rsidR="00506216" w:rsidRPr="00C80D3A" w:rsidRDefault="00506216" w:rsidP="007B6079">
      <w:pPr>
        <w:pStyle w:val="Heading3"/>
        <w:keepLines/>
        <w:contextualSpacing/>
        <w:rPr>
          <w:rFonts w:eastAsiaTheme="minorHAnsi"/>
          <w:sz w:val="26"/>
          <w:szCs w:val="26"/>
        </w:rPr>
      </w:pPr>
      <w:bookmarkStart w:id="17" w:name="_7._Proposed_Change:"/>
      <w:bookmarkEnd w:id="17"/>
      <w:r w:rsidRPr="00C80D3A">
        <w:rPr>
          <w:sz w:val="26"/>
          <w:szCs w:val="26"/>
        </w:rPr>
        <w:t xml:space="preserve">7. </w:t>
      </w:r>
      <w:r w:rsidR="00A613A4" w:rsidRPr="00C80D3A">
        <w:rPr>
          <w:sz w:val="26"/>
          <w:szCs w:val="26"/>
        </w:rPr>
        <w:t xml:space="preserve"> </w:t>
      </w:r>
      <w:bookmarkStart w:id="18" w:name="_Hlk13555778"/>
      <w:r w:rsidR="000F2D01" w:rsidRPr="00C80D3A">
        <w:rPr>
          <w:sz w:val="26"/>
          <w:szCs w:val="26"/>
        </w:rPr>
        <w:t>Utilities should provide CAP customers with (a) PPA forgiveness for each on-time and in-full monthly CAP payment regardless of in-CAP arrears and (b) retroactive PPA forgiveness for any month(s) missed once the household pays its in-CAP/in-program balance/debt in full</w:t>
      </w:r>
      <w:r w:rsidRPr="00C80D3A">
        <w:rPr>
          <w:rFonts w:eastAsiaTheme="minorHAnsi"/>
          <w:sz w:val="26"/>
          <w:szCs w:val="26"/>
        </w:rPr>
        <w:t>.</w:t>
      </w:r>
      <w:bookmarkEnd w:id="18"/>
    </w:p>
    <w:p w14:paraId="1B28066C" w14:textId="77777777" w:rsidR="00506216" w:rsidRPr="00C80D3A" w:rsidRDefault="00506216" w:rsidP="007B6079">
      <w:pPr>
        <w:keepNext/>
        <w:spacing w:after="0" w:line="240" w:lineRule="auto"/>
        <w:contextualSpacing/>
        <w:rPr>
          <w:rFonts w:ascii="Times New Roman" w:hAnsi="Times New Roman" w:cs="Times New Roman"/>
          <w:sz w:val="26"/>
          <w:szCs w:val="26"/>
        </w:rPr>
      </w:pPr>
    </w:p>
    <w:p w14:paraId="698B17C0" w14:textId="3987B36B"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Section 69.265(6)(ix) of the CAP Policy Statement recommends </w:t>
      </w:r>
      <w:r w:rsidR="00530CF6" w:rsidRPr="00C80D3A">
        <w:rPr>
          <w:rFonts w:ascii="Times New Roman" w:hAnsi="Times New Roman" w:cs="Times New Roman"/>
          <w:sz w:val="26"/>
          <w:szCs w:val="26"/>
        </w:rPr>
        <w:t xml:space="preserve">that </w:t>
      </w:r>
      <w:r w:rsidRPr="00C80D3A">
        <w:rPr>
          <w:rFonts w:ascii="Times New Roman" w:hAnsi="Times New Roman" w:cs="Times New Roman"/>
          <w:sz w:val="26"/>
          <w:szCs w:val="26"/>
        </w:rPr>
        <w:t>CAPs provide PPA forgiveness over “a 2- to 3-year period contingent upon receipt of regular monthly payments by the CAP participant.”</w:t>
      </w:r>
      <w:r w:rsidR="00D34E90" w:rsidRPr="00C80D3A">
        <w:rPr>
          <w:rStyle w:val="FootnoteReference"/>
          <w:rFonts w:ascii="Times New Roman" w:hAnsi="Times New Roman" w:cs="Times New Roman"/>
          <w:sz w:val="26"/>
          <w:szCs w:val="26"/>
        </w:rPr>
        <w:footnoteReference w:id="82"/>
      </w:r>
      <w:r w:rsidRPr="00C80D3A">
        <w:rPr>
          <w:rFonts w:ascii="Times New Roman" w:hAnsi="Times New Roman" w:cs="Times New Roman"/>
          <w:sz w:val="26"/>
          <w:szCs w:val="26"/>
        </w:rPr>
        <w:t xml:space="preserve">  In 2014, the Commission began directing utilities in their periodic USECP review proceedings to apply PPA forgiveness for each timely and in-full CAP payment, regardless of existing in-program debt.</w:t>
      </w:r>
      <w:r w:rsidRPr="00C80D3A">
        <w:rPr>
          <w:rFonts w:ascii="Times New Roman" w:hAnsi="Times New Roman" w:cs="Times New Roman"/>
          <w:sz w:val="26"/>
          <w:szCs w:val="26"/>
          <w:vertAlign w:val="superscript"/>
        </w:rPr>
        <w:footnoteReference w:id="83"/>
      </w:r>
      <w:r w:rsidRPr="00C80D3A">
        <w:rPr>
          <w:rFonts w:ascii="Times New Roman" w:hAnsi="Times New Roman" w:cs="Times New Roman"/>
          <w:sz w:val="26"/>
          <w:szCs w:val="26"/>
        </w:rPr>
        <w:t xml:space="preserve">  Some utilities have voluntarily adopted policies allowing CAP customers to receive PPA forgiveness for any monthly payments missed once the entire CAP balance (</w:t>
      </w:r>
      <w:r w:rsidRPr="00C80D3A">
        <w:rPr>
          <w:rFonts w:ascii="Times New Roman" w:hAnsi="Times New Roman" w:cs="Times New Roman"/>
          <w:i/>
          <w:sz w:val="26"/>
          <w:szCs w:val="26"/>
        </w:rPr>
        <w:t>i.e.</w:t>
      </w:r>
      <w:r w:rsidRPr="00C80D3A">
        <w:rPr>
          <w:rFonts w:ascii="Times New Roman" w:hAnsi="Times New Roman" w:cs="Times New Roman"/>
          <w:sz w:val="26"/>
          <w:szCs w:val="26"/>
        </w:rPr>
        <w:t xml:space="preserve">, in-program </w:t>
      </w:r>
      <w:r w:rsidR="00090AAC" w:rsidRPr="00C80D3A">
        <w:rPr>
          <w:rFonts w:ascii="Times New Roman" w:hAnsi="Times New Roman" w:cs="Times New Roman"/>
          <w:sz w:val="26"/>
          <w:szCs w:val="26"/>
        </w:rPr>
        <w:t>arrears</w:t>
      </w:r>
      <w:r w:rsidRPr="00C80D3A">
        <w:rPr>
          <w:rFonts w:ascii="Times New Roman" w:hAnsi="Times New Roman" w:cs="Times New Roman"/>
          <w:sz w:val="26"/>
          <w:szCs w:val="26"/>
        </w:rPr>
        <w:t>) is paid in full.</w:t>
      </w:r>
    </w:p>
    <w:p w14:paraId="181B1BA3" w14:textId="77777777" w:rsidR="00506216" w:rsidRPr="00C80D3A" w:rsidRDefault="00506216" w:rsidP="00315DBC">
      <w:pPr>
        <w:spacing w:after="0" w:line="360" w:lineRule="auto"/>
        <w:contextualSpacing/>
        <w:rPr>
          <w:rFonts w:ascii="Times New Roman" w:hAnsi="Times New Roman" w:cs="Times New Roman"/>
          <w:sz w:val="26"/>
          <w:szCs w:val="26"/>
        </w:rPr>
      </w:pPr>
    </w:p>
    <w:p w14:paraId="62FFEB7E" w14:textId="03D7C8FA"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During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proceeding, OCA expressed support for amending the CAP Policy Statement to allow participants to receive PPA forgiveness for each on-time and in-full monthly payment and retroactively for months missed once the CAP balance is completely paid.</w:t>
      </w:r>
      <w:r w:rsidRPr="00C80D3A">
        <w:rPr>
          <w:rFonts w:ascii="Times New Roman" w:hAnsi="Times New Roman" w:cs="Times New Roman"/>
          <w:sz w:val="26"/>
          <w:szCs w:val="26"/>
          <w:vertAlign w:val="superscript"/>
        </w:rPr>
        <w:footnoteReference w:id="84"/>
      </w:r>
      <w:r w:rsidRPr="00C80D3A">
        <w:rPr>
          <w:rFonts w:ascii="Times New Roman" w:hAnsi="Times New Roman" w:cs="Times New Roman"/>
          <w:sz w:val="26"/>
          <w:szCs w:val="26"/>
        </w:rPr>
        <w:t xml:space="preserve">  </w:t>
      </w:r>
      <w:r w:rsidRPr="00C80D3A">
        <w:rPr>
          <w:rFonts w:ascii="Times New Roman" w:hAnsi="Times New Roman" w:cs="Times New Roman"/>
          <w:color w:val="000000"/>
          <w:sz w:val="26"/>
          <w:szCs w:val="26"/>
        </w:rPr>
        <w:t>OCA Comments at 11</w:t>
      </w:r>
      <w:r w:rsidR="006A1381" w:rsidRPr="00C80D3A">
        <w:rPr>
          <w:rFonts w:ascii="Times New Roman" w:hAnsi="Times New Roman" w:cs="Times New Roman"/>
          <w:sz w:val="26"/>
          <w:szCs w:val="26"/>
        </w:rPr>
        <w:t>–</w:t>
      </w:r>
      <w:r w:rsidRPr="00C80D3A">
        <w:rPr>
          <w:rFonts w:ascii="Times New Roman" w:hAnsi="Times New Roman" w:cs="Times New Roman"/>
          <w:color w:val="000000"/>
          <w:sz w:val="26"/>
          <w:szCs w:val="26"/>
        </w:rPr>
        <w:t>12, Docket No. M-2017-2596907.</w:t>
      </w:r>
    </w:p>
    <w:p w14:paraId="0EFA3238" w14:textId="77777777" w:rsidR="00506216" w:rsidRPr="00C80D3A" w:rsidRDefault="00506216" w:rsidP="00315DBC">
      <w:pPr>
        <w:spacing w:after="0" w:line="360" w:lineRule="auto"/>
        <w:contextualSpacing/>
        <w:rPr>
          <w:rFonts w:ascii="Times New Roman" w:hAnsi="Times New Roman" w:cs="Times New Roman"/>
          <w:sz w:val="26"/>
          <w:szCs w:val="26"/>
        </w:rPr>
      </w:pPr>
    </w:p>
    <w:p w14:paraId="2F6541F8" w14:textId="77777777" w:rsidR="00506216" w:rsidRPr="00C80D3A" w:rsidRDefault="00506216" w:rsidP="007B6079">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60281889" w14:textId="5E644362"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As part of the CAP design, PPA forgiveness acts to both reduce customer PPA debt over time and reward consistent payment habits.  CAP customers may be more likely to be consistent with monthly payments – even if they fall behind – if there is a continuing opportunity to reduce PPA debt.  </w:t>
      </w:r>
      <w:r w:rsidR="00A156FC" w:rsidRPr="00C80D3A">
        <w:rPr>
          <w:rFonts w:ascii="Times New Roman" w:hAnsi="Times New Roman" w:cs="Times New Roman"/>
          <w:sz w:val="26"/>
          <w:szCs w:val="26"/>
        </w:rPr>
        <w:t>W</w:t>
      </w:r>
      <w:r w:rsidR="00EA459D" w:rsidRPr="00C80D3A">
        <w:rPr>
          <w:rFonts w:ascii="Times New Roman" w:hAnsi="Times New Roman" w:cs="Times New Roman"/>
          <w:sz w:val="26"/>
          <w:szCs w:val="26"/>
        </w:rPr>
        <w:t>e</w:t>
      </w:r>
      <w:r w:rsidRPr="00C80D3A">
        <w:rPr>
          <w:rFonts w:ascii="Times New Roman" w:hAnsi="Times New Roman" w:cs="Times New Roman"/>
          <w:sz w:val="26"/>
          <w:szCs w:val="26"/>
        </w:rPr>
        <w:t xml:space="preserve"> </w:t>
      </w:r>
      <w:r w:rsidR="00B83659" w:rsidRPr="00C80D3A">
        <w:rPr>
          <w:rFonts w:ascii="Times New Roman" w:hAnsi="Times New Roman" w:cs="Times New Roman"/>
          <w:sz w:val="26"/>
          <w:szCs w:val="26"/>
        </w:rPr>
        <w:t>find that</w:t>
      </w:r>
      <w:r w:rsidRPr="00C80D3A" w:rsidDel="00B83659">
        <w:rPr>
          <w:rFonts w:ascii="Times New Roman" w:hAnsi="Times New Roman" w:cs="Times New Roman"/>
          <w:sz w:val="26"/>
          <w:szCs w:val="26"/>
        </w:rPr>
        <w:t xml:space="preserve"> </w:t>
      </w:r>
      <w:r w:rsidRPr="00C80D3A">
        <w:rPr>
          <w:rFonts w:ascii="Times New Roman" w:hAnsi="Times New Roman" w:cs="Times New Roman"/>
          <w:sz w:val="26"/>
          <w:szCs w:val="26"/>
        </w:rPr>
        <w:t>granting PPA forgiveness with each on-time and in-full monthly payment, regardless of in-program arrears</w:t>
      </w:r>
      <w:r w:rsidR="005B60BB" w:rsidRPr="00C80D3A">
        <w:rPr>
          <w:rStyle w:val="FootnoteReference"/>
          <w:rFonts w:ascii="Times New Roman" w:hAnsi="Times New Roman" w:cs="Times New Roman"/>
          <w:sz w:val="26"/>
          <w:szCs w:val="26"/>
        </w:rPr>
        <w:footnoteReference w:id="85"/>
      </w:r>
      <w:r w:rsidR="0071572D" w:rsidRPr="00C80D3A">
        <w:rPr>
          <w:rFonts w:ascii="Times New Roman" w:hAnsi="Times New Roman" w:cs="Times New Roman"/>
          <w:sz w:val="26"/>
          <w:szCs w:val="26"/>
        </w:rPr>
        <w:t xml:space="preserve"> is appropriate and reasonable</w:t>
      </w:r>
      <w:r w:rsidRPr="00C80D3A">
        <w:rPr>
          <w:rFonts w:ascii="Times New Roman" w:hAnsi="Times New Roman" w:cs="Times New Roman"/>
          <w:sz w:val="26"/>
          <w:szCs w:val="26"/>
        </w:rPr>
        <w:t>.  Offering retroactive PPA forgiveness can also provide a strong incentive for customers to catch up on missed payments.</w:t>
      </w:r>
    </w:p>
    <w:p w14:paraId="7D42351B" w14:textId="77777777" w:rsidR="00506216" w:rsidRPr="00C80D3A" w:rsidRDefault="00506216" w:rsidP="00315DBC">
      <w:pPr>
        <w:spacing w:after="0" w:line="360" w:lineRule="auto"/>
        <w:contextualSpacing/>
        <w:rPr>
          <w:rFonts w:ascii="Times New Roman" w:hAnsi="Times New Roman" w:cs="Times New Roman"/>
          <w:sz w:val="26"/>
          <w:szCs w:val="26"/>
        </w:rPr>
      </w:pPr>
    </w:p>
    <w:p w14:paraId="6260E648" w14:textId="1689592C" w:rsidR="00897787" w:rsidRDefault="00592302" w:rsidP="001C4093">
      <w:pPr>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sz w:val="26"/>
          <w:szCs w:val="26"/>
        </w:rPr>
        <w:t>Resolution</w:t>
      </w:r>
      <w:r w:rsidR="00506216" w:rsidRPr="00A20145">
        <w:rPr>
          <w:rFonts w:ascii="Times New Roman" w:hAnsi="Times New Roman" w:cs="Times New Roman"/>
          <w:b/>
          <w:bCs/>
          <w:sz w:val="26"/>
          <w:szCs w:val="26"/>
        </w:rPr>
        <w:t xml:space="preserve">: </w:t>
      </w:r>
      <w:r w:rsidR="00897787" w:rsidRPr="00A20145">
        <w:rPr>
          <w:rFonts w:ascii="Times New Roman" w:hAnsi="Times New Roman" w:cs="Times New Roman"/>
          <w:b/>
          <w:bCs/>
          <w:sz w:val="26"/>
          <w:szCs w:val="26"/>
        </w:rPr>
        <w:t>Amend Section 69.265(8)(ix) – Pre-program arrearage forgiveness.</w:t>
      </w:r>
    </w:p>
    <w:p w14:paraId="2E2EAD6D" w14:textId="77777777" w:rsidR="001C4093" w:rsidRPr="00A20145" w:rsidRDefault="001C4093" w:rsidP="009A3B4B">
      <w:pPr>
        <w:spacing w:after="0" w:line="240" w:lineRule="auto"/>
        <w:contextualSpacing/>
        <w:rPr>
          <w:rFonts w:ascii="Times New Roman" w:hAnsi="Times New Roman" w:cs="Times New Roman"/>
          <w:b/>
          <w:bCs/>
          <w:sz w:val="26"/>
          <w:szCs w:val="26"/>
        </w:rPr>
      </w:pPr>
    </w:p>
    <w:p w14:paraId="5B32A2DC" w14:textId="4E07ACE9" w:rsidR="00614C14" w:rsidRPr="00C80D3A" w:rsidRDefault="00897787" w:rsidP="00AD296E">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487616" w:rsidRPr="00C80D3A">
        <w:rPr>
          <w:rFonts w:ascii="Times New Roman" w:hAnsi="Times New Roman" w:cs="Times New Roman"/>
          <w:sz w:val="26"/>
          <w:szCs w:val="26"/>
        </w:rPr>
        <w:t>C</w:t>
      </w:r>
      <w:r w:rsidR="00614C14" w:rsidRPr="00C80D3A">
        <w:rPr>
          <w:rFonts w:ascii="Times New Roman" w:hAnsi="Times New Roman" w:cs="Times New Roman"/>
          <w:sz w:val="26"/>
          <w:szCs w:val="26"/>
        </w:rPr>
        <w:t xml:space="preserve">onsistent with the discussion above, this Order </w:t>
      </w:r>
      <w:r w:rsidR="004D334F" w:rsidRPr="00C80D3A">
        <w:rPr>
          <w:rFonts w:ascii="Times New Roman" w:hAnsi="Times New Roman" w:cs="Times New Roman"/>
          <w:sz w:val="26"/>
          <w:szCs w:val="26"/>
        </w:rPr>
        <w:t xml:space="preserve">amends </w:t>
      </w:r>
      <w:r w:rsidR="00614C14" w:rsidRPr="00C80D3A">
        <w:rPr>
          <w:rFonts w:ascii="Times New Roman" w:hAnsi="Times New Roman" w:cs="Times New Roman"/>
          <w:sz w:val="26"/>
          <w:szCs w:val="26"/>
        </w:rPr>
        <w:t xml:space="preserve">the CAP Policy Statement as indicated in </w:t>
      </w:r>
      <w:r w:rsidR="00B769AE" w:rsidRPr="00C80D3A">
        <w:rPr>
          <w:rFonts w:ascii="Times New Roman" w:hAnsi="Times New Roman" w:cs="Times New Roman"/>
          <w:sz w:val="26"/>
          <w:szCs w:val="26"/>
        </w:rPr>
        <w:t>Annex</w:t>
      </w:r>
      <w:r w:rsidR="00614C14" w:rsidRPr="00C80D3A">
        <w:rPr>
          <w:rFonts w:ascii="Times New Roman" w:hAnsi="Times New Roman" w:cs="Times New Roman"/>
          <w:sz w:val="26"/>
          <w:szCs w:val="26"/>
        </w:rPr>
        <w:t xml:space="preserve">.  </w:t>
      </w:r>
      <w:r w:rsidR="00AD296E" w:rsidRPr="00C80D3A">
        <w:rPr>
          <w:rFonts w:ascii="Times New Roman" w:hAnsi="Times New Roman" w:cs="Times New Roman"/>
          <w:sz w:val="26"/>
          <w:szCs w:val="26"/>
        </w:rPr>
        <w:t xml:space="preserve">Specifically, </w:t>
      </w:r>
      <w:r w:rsidR="00D77E84" w:rsidRPr="00C80D3A">
        <w:rPr>
          <w:rFonts w:ascii="Times New Roman" w:hAnsi="Times New Roman" w:cs="Times New Roman"/>
          <w:sz w:val="26"/>
          <w:szCs w:val="26"/>
        </w:rPr>
        <w:t xml:space="preserve">EDCs and NGDCs </w:t>
      </w:r>
      <w:r w:rsidR="00883A01" w:rsidRPr="00C80D3A">
        <w:rPr>
          <w:rFonts w:ascii="Times New Roman" w:hAnsi="Times New Roman" w:cs="Times New Roman"/>
          <w:sz w:val="26"/>
          <w:szCs w:val="26"/>
        </w:rPr>
        <w:t xml:space="preserve">should </w:t>
      </w:r>
      <w:r w:rsidR="00D77E84" w:rsidRPr="00C80D3A">
        <w:rPr>
          <w:rFonts w:ascii="Times New Roman" w:hAnsi="Times New Roman" w:cs="Times New Roman"/>
          <w:sz w:val="26"/>
          <w:szCs w:val="26"/>
        </w:rPr>
        <w:t xml:space="preserve">allow PPA forgiveness for each on-time and in-full monthly payment, regardless of </w:t>
      </w:r>
      <w:r w:rsidR="00664D4F" w:rsidRPr="00C80D3A">
        <w:rPr>
          <w:rFonts w:ascii="Times New Roman" w:hAnsi="Times New Roman" w:cs="Times New Roman"/>
          <w:sz w:val="26"/>
          <w:szCs w:val="26"/>
        </w:rPr>
        <w:t xml:space="preserve">in-program </w:t>
      </w:r>
      <w:r w:rsidR="00D77E84" w:rsidRPr="00C80D3A">
        <w:rPr>
          <w:rFonts w:ascii="Times New Roman" w:hAnsi="Times New Roman" w:cs="Times New Roman"/>
          <w:sz w:val="26"/>
          <w:szCs w:val="26"/>
        </w:rPr>
        <w:t xml:space="preserve">arrears, and retroactive </w:t>
      </w:r>
      <w:r w:rsidR="000F2D01" w:rsidRPr="00C80D3A">
        <w:rPr>
          <w:rFonts w:ascii="Times New Roman" w:hAnsi="Times New Roman" w:cs="Times New Roman"/>
          <w:sz w:val="26"/>
          <w:szCs w:val="26"/>
        </w:rPr>
        <w:t xml:space="preserve">PPA </w:t>
      </w:r>
      <w:r w:rsidR="00D77E84" w:rsidRPr="00C80D3A">
        <w:rPr>
          <w:rFonts w:ascii="Times New Roman" w:hAnsi="Times New Roman" w:cs="Times New Roman"/>
          <w:sz w:val="26"/>
          <w:szCs w:val="26"/>
        </w:rPr>
        <w:t xml:space="preserve">forgiveness for any months missed once the customer pays the CAP balance in full.  </w:t>
      </w:r>
      <w:r w:rsidR="008115AC" w:rsidRPr="00C80D3A">
        <w:rPr>
          <w:rFonts w:ascii="Times New Roman" w:hAnsi="Times New Roman" w:cs="Times New Roman"/>
          <w:sz w:val="26"/>
          <w:szCs w:val="26"/>
        </w:rPr>
        <w:t>Further, to recognize th</w:t>
      </w:r>
      <w:r w:rsidR="00A60843" w:rsidRPr="00C80D3A">
        <w:rPr>
          <w:rFonts w:ascii="Times New Roman" w:hAnsi="Times New Roman" w:cs="Times New Roman"/>
          <w:sz w:val="26"/>
          <w:szCs w:val="26"/>
        </w:rPr>
        <w:t>at</w:t>
      </w:r>
      <w:r w:rsidR="008115AC" w:rsidRPr="00C80D3A">
        <w:rPr>
          <w:rFonts w:ascii="Times New Roman" w:hAnsi="Times New Roman" w:cs="Times New Roman"/>
          <w:sz w:val="26"/>
          <w:szCs w:val="26"/>
        </w:rPr>
        <w:t xml:space="preserve"> at least one utility is using a one-year timeframe</w:t>
      </w:r>
      <w:r w:rsidR="00A60843" w:rsidRPr="00C80D3A">
        <w:rPr>
          <w:rFonts w:ascii="Times New Roman" w:hAnsi="Times New Roman" w:cs="Times New Roman"/>
          <w:sz w:val="26"/>
          <w:szCs w:val="26"/>
        </w:rPr>
        <w:t xml:space="preserve"> for PPA forgiveness</w:t>
      </w:r>
      <w:r w:rsidR="008115AC" w:rsidRPr="00C80D3A">
        <w:rPr>
          <w:rFonts w:ascii="Times New Roman" w:hAnsi="Times New Roman" w:cs="Times New Roman"/>
          <w:sz w:val="26"/>
          <w:szCs w:val="26"/>
        </w:rPr>
        <w:t xml:space="preserve">, we shall </w:t>
      </w:r>
      <w:r w:rsidR="00554A26" w:rsidRPr="00C80D3A">
        <w:rPr>
          <w:rFonts w:ascii="Times New Roman" w:hAnsi="Times New Roman" w:cs="Times New Roman"/>
          <w:sz w:val="26"/>
          <w:szCs w:val="26"/>
        </w:rPr>
        <w:t>change the recommended timeframe from “2</w:t>
      </w:r>
      <w:r w:rsidR="00F3584C" w:rsidRPr="00C80D3A">
        <w:rPr>
          <w:rFonts w:ascii="Times New Roman" w:hAnsi="Times New Roman" w:cs="Times New Roman"/>
          <w:sz w:val="26"/>
          <w:szCs w:val="26"/>
        </w:rPr>
        <w:t> </w:t>
      </w:r>
      <w:r w:rsidR="00554A26" w:rsidRPr="00C80D3A">
        <w:rPr>
          <w:rFonts w:ascii="Times New Roman" w:hAnsi="Times New Roman" w:cs="Times New Roman"/>
          <w:sz w:val="26"/>
          <w:szCs w:val="26"/>
        </w:rPr>
        <w:t>to</w:t>
      </w:r>
      <w:r w:rsidR="00F3584C" w:rsidRPr="00C80D3A">
        <w:rPr>
          <w:rFonts w:ascii="Times New Roman" w:hAnsi="Times New Roman" w:cs="Times New Roman"/>
          <w:sz w:val="26"/>
          <w:szCs w:val="26"/>
        </w:rPr>
        <w:t> </w:t>
      </w:r>
      <w:r w:rsidR="00554A26" w:rsidRPr="00C80D3A">
        <w:rPr>
          <w:rFonts w:ascii="Times New Roman" w:hAnsi="Times New Roman" w:cs="Times New Roman"/>
          <w:sz w:val="26"/>
          <w:szCs w:val="26"/>
        </w:rPr>
        <w:t>3” years to “1 to 3”</w:t>
      </w:r>
      <w:r w:rsidR="00AC0749" w:rsidRPr="00C80D3A">
        <w:rPr>
          <w:rFonts w:ascii="Times New Roman" w:hAnsi="Times New Roman" w:cs="Times New Roman"/>
          <w:sz w:val="26"/>
          <w:szCs w:val="26"/>
        </w:rPr>
        <w:t> years.</w:t>
      </w:r>
    </w:p>
    <w:p w14:paraId="2385572E" w14:textId="77777777" w:rsidR="00310D2F" w:rsidRPr="00C80D3A" w:rsidRDefault="00310D2F" w:rsidP="00614C14">
      <w:pPr>
        <w:spacing w:after="0" w:line="360" w:lineRule="auto"/>
        <w:ind w:firstLine="720"/>
        <w:contextualSpacing/>
        <w:rPr>
          <w:rFonts w:ascii="Times New Roman" w:hAnsi="Times New Roman" w:cs="Times New Roman"/>
          <w:sz w:val="26"/>
          <w:szCs w:val="26"/>
        </w:rPr>
      </w:pPr>
    </w:p>
    <w:p w14:paraId="12777603" w14:textId="4D79770E" w:rsidR="00506216" w:rsidRPr="00C80D3A" w:rsidRDefault="00506216" w:rsidP="007B6079">
      <w:pPr>
        <w:pStyle w:val="Heading3"/>
        <w:contextualSpacing/>
        <w:rPr>
          <w:rFonts w:eastAsiaTheme="minorHAnsi"/>
          <w:sz w:val="26"/>
          <w:szCs w:val="26"/>
        </w:rPr>
      </w:pPr>
      <w:bookmarkStart w:id="19" w:name="_8._Proposed_Change:"/>
      <w:bookmarkEnd w:id="19"/>
      <w:r w:rsidRPr="00C80D3A">
        <w:rPr>
          <w:sz w:val="26"/>
          <w:szCs w:val="26"/>
        </w:rPr>
        <w:t xml:space="preserve">8. </w:t>
      </w:r>
      <w:r w:rsidR="00A613A4" w:rsidRPr="00C80D3A">
        <w:rPr>
          <w:rFonts w:eastAsiaTheme="minorHAnsi"/>
          <w:sz w:val="26"/>
          <w:szCs w:val="26"/>
        </w:rPr>
        <w:t xml:space="preserve"> </w:t>
      </w:r>
      <w:bookmarkStart w:id="20" w:name="_Hlk13555801"/>
      <w:r w:rsidR="003A2754" w:rsidRPr="00C80D3A">
        <w:rPr>
          <w:bCs/>
          <w:sz w:val="26"/>
          <w:szCs w:val="26"/>
        </w:rPr>
        <w:t xml:space="preserve">Utilities may request SSNs but not require them for household members when verifying identity for CAP enrollment.  Utilities should </w:t>
      </w:r>
      <w:r w:rsidR="007116CB" w:rsidRPr="00C80D3A">
        <w:rPr>
          <w:bCs/>
          <w:sz w:val="26"/>
          <w:szCs w:val="26"/>
        </w:rPr>
        <w:t xml:space="preserve">offer and </w:t>
      </w:r>
      <w:r w:rsidR="003A2754" w:rsidRPr="00C80D3A">
        <w:rPr>
          <w:bCs/>
          <w:sz w:val="26"/>
          <w:szCs w:val="26"/>
        </w:rPr>
        <w:t>explain the options on CAP applications and other communications with customers</w:t>
      </w:r>
      <w:r w:rsidRPr="00C80D3A">
        <w:rPr>
          <w:rFonts w:eastAsiaTheme="minorHAnsi"/>
          <w:sz w:val="26"/>
          <w:szCs w:val="26"/>
        </w:rPr>
        <w:t>.</w:t>
      </w:r>
      <w:bookmarkEnd w:id="20"/>
      <w:r w:rsidRPr="00C80D3A">
        <w:rPr>
          <w:rFonts w:eastAsiaTheme="minorHAnsi"/>
          <w:sz w:val="26"/>
          <w:szCs w:val="26"/>
        </w:rPr>
        <w:t xml:space="preserve">  </w:t>
      </w:r>
    </w:p>
    <w:p w14:paraId="0BF7053E" w14:textId="77777777" w:rsidR="00506216" w:rsidRPr="00C80D3A" w:rsidRDefault="00506216" w:rsidP="007B6079">
      <w:pPr>
        <w:keepNext/>
        <w:spacing w:after="0" w:line="240" w:lineRule="auto"/>
        <w:contextualSpacing/>
        <w:rPr>
          <w:rFonts w:ascii="Times New Roman" w:hAnsi="Times New Roman" w:cs="Times New Roman"/>
          <w:sz w:val="26"/>
          <w:szCs w:val="26"/>
        </w:rPr>
      </w:pPr>
    </w:p>
    <w:p w14:paraId="1E90DF30" w14:textId="35658D6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Commission</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CAP Policy Statement </w:t>
      </w:r>
      <w:r w:rsidR="00782C42" w:rsidRPr="00C80D3A">
        <w:rPr>
          <w:rFonts w:ascii="Times New Roman" w:hAnsi="Times New Roman" w:cs="Times New Roman"/>
          <w:sz w:val="26"/>
          <w:szCs w:val="26"/>
        </w:rPr>
        <w:t xml:space="preserve">recommends that </w:t>
      </w:r>
      <w:r w:rsidRPr="00C80D3A">
        <w:rPr>
          <w:rFonts w:ascii="Times New Roman" w:hAnsi="Times New Roman" w:cs="Times New Roman"/>
          <w:sz w:val="26"/>
          <w:szCs w:val="26"/>
        </w:rPr>
        <w:t xml:space="preserve">EDCs and NGDCs verify the identity of the CAP applicant and the household size/income.  Section 69.265(6)(ii).  As part of this process, utilities request identification for each household member, often by requesting SSNs.  During </w:t>
      </w:r>
      <w:r w:rsidR="00F3584C" w:rsidRPr="00C80D3A">
        <w:rPr>
          <w:rFonts w:ascii="Times New Roman" w:hAnsi="Times New Roman" w:cs="Times New Roman"/>
          <w:sz w:val="26"/>
          <w:szCs w:val="26"/>
        </w:rPr>
        <w:t xml:space="preserve">utility-specific </w:t>
      </w:r>
      <w:r w:rsidRPr="00C80D3A">
        <w:rPr>
          <w:rFonts w:ascii="Times New Roman" w:hAnsi="Times New Roman" w:cs="Times New Roman"/>
          <w:sz w:val="26"/>
          <w:szCs w:val="26"/>
        </w:rPr>
        <w:t xml:space="preserve">USECP proceedings over the past several years, the Commission has </w:t>
      </w:r>
      <w:r w:rsidR="00FD7A62" w:rsidRPr="00C80D3A">
        <w:rPr>
          <w:rFonts w:ascii="Times New Roman" w:hAnsi="Times New Roman" w:cs="Times New Roman"/>
          <w:sz w:val="26"/>
          <w:szCs w:val="26"/>
        </w:rPr>
        <w:t xml:space="preserve">directed </w:t>
      </w:r>
      <w:r w:rsidRPr="00C80D3A">
        <w:rPr>
          <w:rFonts w:ascii="Times New Roman" w:hAnsi="Times New Roman" w:cs="Times New Roman"/>
          <w:sz w:val="26"/>
          <w:szCs w:val="26"/>
        </w:rPr>
        <w:t>utilities to allow customers applying for universal service programs to verify the identity of household members through other means (</w:t>
      </w:r>
      <w:r w:rsidRPr="00C80D3A">
        <w:rPr>
          <w:rFonts w:ascii="Times New Roman" w:hAnsi="Times New Roman" w:cs="Times New Roman"/>
          <w:i/>
          <w:iCs/>
          <w:sz w:val="26"/>
          <w:szCs w:val="26"/>
        </w:rPr>
        <w:t>e.g.</w:t>
      </w:r>
      <w:r w:rsidRPr="00C80D3A">
        <w:rPr>
          <w:rFonts w:ascii="Times New Roman" w:hAnsi="Times New Roman" w:cs="Times New Roman"/>
          <w:sz w:val="26"/>
          <w:szCs w:val="26"/>
        </w:rPr>
        <w:t>, State Driver</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License, U.S. Passport, etc.) if they </w:t>
      </w:r>
      <w:r w:rsidR="00040723" w:rsidRPr="00C80D3A">
        <w:rPr>
          <w:rFonts w:ascii="Times New Roman" w:hAnsi="Times New Roman" w:cs="Times New Roman"/>
          <w:sz w:val="26"/>
          <w:szCs w:val="26"/>
        </w:rPr>
        <w:t>are unable or u</w:t>
      </w:r>
      <w:r w:rsidR="00115B35" w:rsidRPr="00C80D3A">
        <w:rPr>
          <w:rFonts w:ascii="Times New Roman" w:hAnsi="Times New Roman" w:cs="Times New Roman"/>
          <w:sz w:val="26"/>
          <w:szCs w:val="26"/>
        </w:rPr>
        <w:t>n</w:t>
      </w:r>
      <w:r w:rsidR="00040723" w:rsidRPr="00C80D3A">
        <w:rPr>
          <w:rFonts w:ascii="Times New Roman" w:hAnsi="Times New Roman" w:cs="Times New Roman"/>
          <w:sz w:val="26"/>
          <w:szCs w:val="26"/>
        </w:rPr>
        <w:t xml:space="preserve">willing to provide </w:t>
      </w:r>
      <w:r w:rsidR="00115B35" w:rsidRPr="00C80D3A">
        <w:rPr>
          <w:rFonts w:ascii="Times New Roman" w:hAnsi="Times New Roman" w:cs="Times New Roman"/>
          <w:sz w:val="26"/>
          <w:szCs w:val="26"/>
        </w:rPr>
        <w:t xml:space="preserve">an </w:t>
      </w:r>
      <w:r w:rsidRPr="00C80D3A">
        <w:rPr>
          <w:rFonts w:ascii="Times New Roman" w:hAnsi="Times New Roman" w:cs="Times New Roman"/>
          <w:sz w:val="26"/>
          <w:szCs w:val="26"/>
        </w:rPr>
        <w:t>SSN.</w:t>
      </w:r>
    </w:p>
    <w:p w14:paraId="36CEE8BD" w14:textId="77777777" w:rsidR="00506216" w:rsidRPr="00C80D3A" w:rsidRDefault="00506216" w:rsidP="00315DBC">
      <w:pPr>
        <w:spacing w:after="0" w:line="360" w:lineRule="auto"/>
        <w:contextualSpacing/>
        <w:rPr>
          <w:rFonts w:ascii="Times New Roman" w:hAnsi="Times New Roman" w:cs="Times New Roman"/>
          <w:sz w:val="26"/>
          <w:szCs w:val="26"/>
        </w:rPr>
      </w:pPr>
    </w:p>
    <w:p w14:paraId="3AC36C42" w14:textId="7777777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During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proceeding, stakeholders expressed support for allowing customers to provide alternative identification for household members if they are unable or unwilling to provide SSNs.</w:t>
      </w:r>
      <w:r w:rsidRPr="00C80D3A">
        <w:rPr>
          <w:rFonts w:ascii="Times New Roman" w:hAnsi="Times New Roman" w:cs="Times New Roman"/>
          <w:sz w:val="26"/>
          <w:szCs w:val="26"/>
          <w:vertAlign w:val="superscript"/>
        </w:rPr>
        <w:footnoteReference w:id="86"/>
      </w:r>
    </w:p>
    <w:p w14:paraId="761CF265" w14:textId="77777777" w:rsidR="00506216" w:rsidRPr="00C80D3A" w:rsidRDefault="00506216" w:rsidP="00315DBC">
      <w:pPr>
        <w:spacing w:after="0" w:line="360" w:lineRule="auto"/>
        <w:contextualSpacing/>
        <w:rPr>
          <w:rFonts w:ascii="Times New Roman" w:hAnsi="Times New Roman" w:cs="Times New Roman"/>
          <w:sz w:val="26"/>
          <w:szCs w:val="26"/>
        </w:rPr>
      </w:pPr>
    </w:p>
    <w:p w14:paraId="4F8C0566" w14:textId="18F12FE8" w:rsidR="00506216" w:rsidRPr="00C80D3A" w:rsidRDefault="00506216" w:rsidP="007B6079">
      <w:pPr>
        <w:keepNext/>
        <w:spacing w:after="0" w:line="240" w:lineRule="auto"/>
        <w:contextualSpacing/>
        <w:rPr>
          <w:rFonts w:ascii="Times New Roman" w:hAnsi="Times New Roman" w:cs="Times New Roman"/>
          <w:i/>
          <w:sz w:val="26"/>
          <w:szCs w:val="26"/>
        </w:rPr>
      </w:pPr>
      <w:r w:rsidRPr="00C80D3A">
        <w:rPr>
          <w:rFonts w:ascii="Times New Roman" w:hAnsi="Times New Roman" w:cs="Times New Roman"/>
          <w:i/>
          <w:sz w:val="26"/>
          <w:szCs w:val="26"/>
        </w:rPr>
        <w:t>Review of Universal Service and Energy Conservation Programs, Docket No. M</w:t>
      </w:r>
      <w:r w:rsidR="007B6079" w:rsidRPr="00C80D3A">
        <w:rPr>
          <w:rFonts w:ascii="Times New Roman" w:hAnsi="Times New Roman" w:cs="Times New Roman"/>
          <w:i/>
          <w:sz w:val="26"/>
          <w:szCs w:val="26"/>
        </w:rPr>
        <w:t>­</w:t>
      </w:r>
      <w:r w:rsidRPr="00C80D3A">
        <w:rPr>
          <w:rFonts w:ascii="Times New Roman" w:hAnsi="Times New Roman" w:cs="Times New Roman"/>
          <w:i/>
          <w:sz w:val="26"/>
          <w:szCs w:val="26"/>
        </w:rPr>
        <w:t>2017</w:t>
      </w:r>
      <w:r w:rsidR="007B6079" w:rsidRPr="00C80D3A">
        <w:rPr>
          <w:rFonts w:ascii="Times New Roman" w:hAnsi="Times New Roman" w:cs="Times New Roman"/>
          <w:i/>
          <w:sz w:val="26"/>
          <w:szCs w:val="26"/>
        </w:rPr>
        <w:t>­</w:t>
      </w:r>
      <w:r w:rsidRPr="00C80D3A">
        <w:rPr>
          <w:rFonts w:ascii="Times New Roman" w:hAnsi="Times New Roman" w:cs="Times New Roman"/>
          <w:i/>
          <w:sz w:val="26"/>
          <w:szCs w:val="26"/>
        </w:rPr>
        <w:t>2596907</w:t>
      </w:r>
    </w:p>
    <w:p w14:paraId="49B80BDF" w14:textId="77777777" w:rsidR="00506216" w:rsidRPr="00C80D3A" w:rsidRDefault="00506216" w:rsidP="007B6079">
      <w:pPr>
        <w:keepNext/>
        <w:spacing w:after="0" w:line="240" w:lineRule="auto"/>
        <w:contextualSpacing/>
        <w:rPr>
          <w:rFonts w:ascii="Times New Roman" w:hAnsi="Times New Roman" w:cs="Times New Roman"/>
          <w:color w:val="000000"/>
          <w:sz w:val="26"/>
          <w:szCs w:val="26"/>
        </w:rPr>
      </w:pPr>
    </w:p>
    <w:p w14:paraId="34AC407B" w14:textId="77777777" w:rsidR="00506216" w:rsidRPr="00C80D3A" w:rsidRDefault="00506216" w:rsidP="007B6079">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from Parties</w:t>
      </w:r>
    </w:p>
    <w:p w14:paraId="5E7327F5" w14:textId="7A89E081"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OCA submits that a utility should not require a customer to provide his or her SSN as prerequisite to program participation.  Moreover, while the utilities may request such SSNs, before doing so, utilities should notify and educate consumers that the request is not, and may not be, mandatory.  Utilities should adopt alternatives to the provision of SSNs for those not likely to have SSNs.  Finally, utilities should not provide access to SSNs to anyone not requiring access to determine program eligibility and should not maintain records of the SSN beyond the time required to use the SSN to determine program eligibility.  OCA Comments at 19</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21.</w:t>
      </w:r>
    </w:p>
    <w:p w14:paraId="02D0C5BD" w14:textId="77777777" w:rsidR="00506216" w:rsidRPr="00C80D3A" w:rsidRDefault="00506216" w:rsidP="00315DBC">
      <w:pPr>
        <w:spacing w:after="0" w:line="360" w:lineRule="auto"/>
        <w:contextualSpacing/>
        <w:rPr>
          <w:rFonts w:ascii="Times New Roman" w:hAnsi="Times New Roman" w:cs="Times New Roman"/>
          <w:sz w:val="26"/>
          <w:szCs w:val="26"/>
        </w:rPr>
      </w:pPr>
    </w:p>
    <w:p w14:paraId="1E3E8E12" w14:textId="605B3DF6"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Duquesne, PGW, FirstEnergy, and Columbia confirm that they currently accept other forms of identification in lieu of SSNs when determining CAP eligibility.  DLC Reply Comments at 18, PGW Reply Comments at 4, FirstEnergy Reply Comments at 4, and Columbia Reply Comments at 2</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3.</w:t>
      </w:r>
    </w:p>
    <w:p w14:paraId="60DD1B09" w14:textId="77777777" w:rsidR="00506216" w:rsidRPr="00C80D3A" w:rsidRDefault="00506216" w:rsidP="00315DBC">
      <w:pPr>
        <w:spacing w:after="0" w:line="360" w:lineRule="auto"/>
        <w:contextualSpacing/>
        <w:rPr>
          <w:rFonts w:ascii="Times New Roman" w:hAnsi="Times New Roman" w:cs="Times New Roman"/>
          <w:sz w:val="26"/>
          <w:szCs w:val="26"/>
        </w:rPr>
      </w:pPr>
    </w:p>
    <w:p w14:paraId="1D631897" w14:textId="63B24628"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Columbia agrees that SSNs should not be required but customers should be permitted to voluntarily provide SSNs.  Columbia suggests that the CAP Policy Statement, if updated, clearly state that utilities cannot require an SSN for CAP enrollment but can ask for and use one when provided voluntarily.  Columbia Reply Comments at 2</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3.</w:t>
      </w:r>
    </w:p>
    <w:p w14:paraId="7DB3170B" w14:textId="77777777" w:rsidR="00506216" w:rsidRPr="00C80D3A" w:rsidRDefault="00506216" w:rsidP="00315DBC">
      <w:pPr>
        <w:spacing w:after="0" w:line="360" w:lineRule="auto"/>
        <w:contextualSpacing/>
        <w:rPr>
          <w:rFonts w:ascii="Times New Roman" w:hAnsi="Times New Roman" w:cs="Times New Roman"/>
          <w:sz w:val="26"/>
          <w:szCs w:val="26"/>
        </w:rPr>
      </w:pPr>
    </w:p>
    <w:p w14:paraId="5A87F80E" w14:textId="77777777" w:rsidR="00506216" w:rsidRPr="00C80D3A" w:rsidRDefault="00506216" w:rsidP="007B6079">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2A018E21" w14:textId="65190E16" w:rsidR="00506216" w:rsidRDefault="00774669"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We are</w:t>
      </w:r>
      <w:r w:rsidR="00506216" w:rsidRPr="00C80D3A">
        <w:rPr>
          <w:rFonts w:ascii="Times New Roman" w:hAnsi="Times New Roman" w:cs="Times New Roman"/>
          <w:sz w:val="26"/>
          <w:szCs w:val="26"/>
        </w:rPr>
        <w:t xml:space="preserve"> not aware that any EDC or NGDC currently requires customers to provide SSNs for household members as part of its CAP application process.  Many utilities specify in their USECPs that household members can verify their identity through federal/state government identification or other documentation.  Due to </w:t>
      </w:r>
      <w:r w:rsidR="00AC2CF2" w:rsidRPr="00C80D3A">
        <w:rPr>
          <w:rFonts w:ascii="Times New Roman" w:hAnsi="Times New Roman" w:cs="Times New Roman"/>
          <w:sz w:val="26"/>
          <w:szCs w:val="26"/>
        </w:rPr>
        <w:t xml:space="preserve">federal </w:t>
      </w:r>
      <w:r w:rsidR="00724C0F" w:rsidRPr="00C80D3A">
        <w:rPr>
          <w:rFonts w:ascii="Times New Roman" w:hAnsi="Times New Roman" w:cs="Times New Roman"/>
          <w:sz w:val="26"/>
          <w:szCs w:val="26"/>
        </w:rPr>
        <w:t>requirements</w:t>
      </w:r>
      <w:r w:rsidR="005B536E" w:rsidRPr="00C80D3A">
        <w:rPr>
          <w:rStyle w:val="FootnoteReference"/>
          <w:rFonts w:ascii="Times New Roman" w:hAnsi="Times New Roman" w:cs="Times New Roman"/>
          <w:color w:val="0D0D0D" w:themeColor="text1" w:themeTint="F2"/>
          <w:sz w:val="26"/>
          <w:szCs w:val="26"/>
        </w:rPr>
        <w:footnoteReference w:id="87"/>
      </w:r>
      <w:r w:rsidR="00AC2CF2" w:rsidRPr="00C80D3A">
        <w:rPr>
          <w:rFonts w:ascii="Times New Roman" w:hAnsi="Times New Roman" w:cs="Times New Roman"/>
          <w:sz w:val="26"/>
          <w:szCs w:val="26"/>
        </w:rPr>
        <w:t xml:space="preserve"> </w:t>
      </w:r>
      <w:r w:rsidR="00151035" w:rsidRPr="00C80D3A">
        <w:rPr>
          <w:rFonts w:ascii="Times New Roman" w:hAnsi="Times New Roman" w:cs="Times New Roman"/>
          <w:sz w:val="26"/>
          <w:szCs w:val="26"/>
        </w:rPr>
        <w:t xml:space="preserve">on the use of SSNs </w:t>
      </w:r>
      <w:r w:rsidR="00AC2CF2" w:rsidRPr="00C80D3A">
        <w:rPr>
          <w:rFonts w:ascii="Times New Roman" w:hAnsi="Times New Roman" w:cs="Times New Roman"/>
          <w:sz w:val="26"/>
          <w:szCs w:val="26"/>
        </w:rPr>
        <w:t xml:space="preserve">and the </w:t>
      </w:r>
      <w:r w:rsidR="00506216" w:rsidRPr="00C80D3A">
        <w:rPr>
          <w:rFonts w:ascii="Times New Roman" w:hAnsi="Times New Roman" w:cs="Times New Roman"/>
          <w:sz w:val="26"/>
          <w:szCs w:val="26"/>
        </w:rPr>
        <w:t>increased risk of identity theft whenever an SSN is shared</w:t>
      </w:r>
      <w:r w:rsidR="00897787" w:rsidRPr="00C80D3A">
        <w:rPr>
          <w:rFonts w:ascii="Times New Roman" w:hAnsi="Times New Roman" w:cs="Times New Roman"/>
          <w:sz w:val="26"/>
          <w:szCs w:val="26"/>
        </w:rPr>
        <w:t>,</w:t>
      </w:r>
      <w:r w:rsidR="00506216" w:rsidRPr="00C80D3A">
        <w:rPr>
          <w:rFonts w:ascii="Times New Roman" w:hAnsi="Times New Roman" w:cs="Times New Roman"/>
          <w:sz w:val="26"/>
          <w:szCs w:val="26"/>
        </w:rPr>
        <w:t xml:space="preserve"> either through documentation or electronically</w:t>
      </w:r>
      <w:r w:rsidR="00897787" w:rsidRPr="00C80D3A">
        <w:rPr>
          <w:rFonts w:ascii="Times New Roman" w:hAnsi="Times New Roman" w:cs="Times New Roman"/>
          <w:sz w:val="26"/>
          <w:szCs w:val="26"/>
        </w:rPr>
        <w:t>,</w:t>
      </w:r>
      <w:r w:rsidR="00506216" w:rsidRPr="00C80D3A">
        <w:rPr>
          <w:rFonts w:ascii="Times New Roman" w:hAnsi="Times New Roman" w:cs="Times New Roman"/>
          <w:sz w:val="26"/>
          <w:szCs w:val="26"/>
        </w:rPr>
        <w:t xml:space="preserve"> </w:t>
      </w:r>
      <w:r w:rsidR="00DE56B9" w:rsidRPr="00C80D3A">
        <w:rPr>
          <w:rFonts w:ascii="Times New Roman" w:hAnsi="Times New Roman" w:cs="Times New Roman"/>
          <w:sz w:val="26"/>
          <w:szCs w:val="26"/>
        </w:rPr>
        <w:t>the Commission</w:t>
      </w:r>
      <w:r w:rsidR="00506216" w:rsidRPr="00C80D3A">
        <w:rPr>
          <w:rFonts w:ascii="Times New Roman" w:hAnsi="Times New Roman" w:cs="Times New Roman"/>
          <w:sz w:val="26"/>
          <w:szCs w:val="26"/>
        </w:rPr>
        <w:t xml:space="preserve"> </w:t>
      </w:r>
      <w:r w:rsidR="00B97CB2" w:rsidRPr="00C80D3A">
        <w:rPr>
          <w:rFonts w:ascii="Times New Roman" w:hAnsi="Times New Roman" w:cs="Times New Roman"/>
          <w:sz w:val="26"/>
          <w:szCs w:val="26"/>
        </w:rPr>
        <w:t xml:space="preserve">concludes that </w:t>
      </w:r>
      <w:r w:rsidR="00506216" w:rsidRPr="00C80D3A">
        <w:rPr>
          <w:rFonts w:ascii="Times New Roman" w:hAnsi="Times New Roman" w:cs="Times New Roman"/>
          <w:sz w:val="26"/>
          <w:szCs w:val="26"/>
        </w:rPr>
        <w:t>giving customers the option of verifying their identity through alternative means</w:t>
      </w:r>
      <w:r w:rsidR="00B97CB2" w:rsidRPr="00C80D3A">
        <w:rPr>
          <w:rFonts w:ascii="Times New Roman" w:hAnsi="Times New Roman" w:cs="Times New Roman"/>
          <w:sz w:val="26"/>
          <w:szCs w:val="26"/>
        </w:rPr>
        <w:t xml:space="preserve"> is </w:t>
      </w:r>
      <w:r w:rsidR="00FE5745" w:rsidRPr="00C80D3A">
        <w:rPr>
          <w:rFonts w:ascii="Times New Roman" w:hAnsi="Times New Roman" w:cs="Times New Roman"/>
          <w:sz w:val="26"/>
          <w:szCs w:val="26"/>
        </w:rPr>
        <w:t>essential</w:t>
      </w:r>
      <w:r w:rsidR="00506216" w:rsidRPr="00C80D3A">
        <w:rPr>
          <w:rFonts w:ascii="Times New Roman" w:hAnsi="Times New Roman" w:cs="Times New Roman"/>
          <w:sz w:val="26"/>
          <w:szCs w:val="26"/>
        </w:rPr>
        <w:t xml:space="preserve">.  Further </w:t>
      </w:r>
      <w:r w:rsidR="00147577" w:rsidRPr="00C80D3A">
        <w:rPr>
          <w:rFonts w:ascii="Times New Roman" w:hAnsi="Times New Roman" w:cs="Times New Roman"/>
          <w:sz w:val="26"/>
          <w:szCs w:val="26"/>
        </w:rPr>
        <w:t>we</w:t>
      </w:r>
      <w:r w:rsidR="00506216" w:rsidRPr="00C80D3A">
        <w:rPr>
          <w:rFonts w:ascii="Times New Roman" w:hAnsi="Times New Roman" w:cs="Times New Roman"/>
          <w:sz w:val="26"/>
          <w:szCs w:val="26"/>
        </w:rPr>
        <w:t xml:space="preserve"> agree with OCA that all CAP applicants should understand that providing their SSNs is not required and </w:t>
      </w:r>
      <w:r w:rsidR="00D91B97" w:rsidRPr="00C80D3A">
        <w:rPr>
          <w:rFonts w:ascii="Times New Roman" w:hAnsi="Times New Roman" w:cs="Times New Roman"/>
          <w:sz w:val="26"/>
          <w:szCs w:val="26"/>
        </w:rPr>
        <w:t xml:space="preserve">that </w:t>
      </w:r>
      <w:r w:rsidR="00506216" w:rsidRPr="00C80D3A">
        <w:rPr>
          <w:rFonts w:ascii="Times New Roman" w:hAnsi="Times New Roman" w:cs="Times New Roman"/>
          <w:sz w:val="26"/>
          <w:szCs w:val="26"/>
        </w:rPr>
        <w:t xml:space="preserve">the option of submitting other identification should be fully explained.  </w:t>
      </w:r>
      <w:r w:rsidR="003A2754" w:rsidRPr="00C80D3A">
        <w:rPr>
          <w:rFonts w:ascii="Times New Roman" w:hAnsi="Times New Roman" w:cs="Times New Roman"/>
          <w:sz w:val="26"/>
          <w:szCs w:val="26"/>
        </w:rPr>
        <w:t>Utilities should work with their USACs in developing language to clarify this provision in CAP documents.</w:t>
      </w:r>
      <w:r w:rsidR="003A2754" w:rsidRPr="00C80D3A">
        <w:rPr>
          <w:rFonts w:ascii="Times New Roman" w:hAnsi="Times New Roman" w:cs="Times New Roman"/>
          <w:sz w:val="26"/>
          <w:szCs w:val="26"/>
          <w:vertAlign w:val="superscript"/>
        </w:rPr>
        <w:footnoteReference w:id="88"/>
      </w:r>
      <w:r w:rsidR="003A2754" w:rsidRPr="00C80D3A">
        <w:rPr>
          <w:rFonts w:ascii="Times New Roman" w:hAnsi="Times New Roman" w:cs="Times New Roman"/>
          <w:sz w:val="26"/>
          <w:szCs w:val="26"/>
        </w:rPr>
        <w:t xml:space="preserve">  </w:t>
      </w:r>
    </w:p>
    <w:p w14:paraId="0D3E4D38" w14:textId="77777777" w:rsidR="00B90DFB" w:rsidRPr="00C80D3A" w:rsidRDefault="00B90DFB" w:rsidP="00315DBC">
      <w:pPr>
        <w:spacing w:after="0" w:line="360" w:lineRule="auto"/>
        <w:ind w:firstLine="720"/>
        <w:contextualSpacing/>
        <w:rPr>
          <w:rFonts w:ascii="Times New Roman" w:hAnsi="Times New Roman" w:cs="Times New Roman"/>
          <w:sz w:val="26"/>
          <w:szCs w:val="26"/>
        </w:rPr>
      </w:pPr>
    </w:p>
    <w:p w14:paraId="19B49ADF" w14:textId="017913BA" w:rsidR="00897787" w:rsidRDefault="001D46D0" w:rsidP="001C4093">
      <w:pPr>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sz w:val="26"/>
          <w:szCs w:val="26"/>
        </w:rPr>
        <w:t>Resolution</w:t>
      </w:r>
      <w:r w:rsidR="00506216" w:rsidRPr="00A20145">
        <w:rPr>
          <w:rFonts w:ascii="Times New Roman" w:hAnsi="Times New Roman" w:cs="Times New Roman"/>
          <w:b/>
          <w:bCs/>
          <w:sz w:val="26"/>
          <w:szCs w:val="26"/>
        </w:rPr>
        <w:t>:</w:t>
      </w:r>
      <w:r w:rsidR="00506216" w:rsidRPr="00A20145" w:rsidDel="0017174D">
        <w:rPr>
          <w:rFonts w:ascii="Times New Roman" w:hAnsi="Times New Roman" w:cs="Times New Roman"/>
          <w:b/>
          <w:bCs/>
          <w:sz w:val="26"/>
          <w:szCs w:val="26"/>
        </w:rPr>
        <w:t xml:space="preserve"> </w:t>
      </w:r>
      <w:r w:rsidR="00897787" w:rsidRPr="00A20145">
        <w:rPr>
          <w:rFonts w:ascii="Times New Roman" w:hAnsi="Times New Roman" w:cs="Times New Roman"/>
          <w:b/>
          <w:bCs/>
          <w:sz w:val="26"/>
          <w:szCs w:val="26"/>
        </w:rPr>
        <w:t>Amend Section 69.265(8)(ii)</w:t>
      </w:r>
      <w:r w:rsidR="00B90DFB">
        <w:rPr>
          <w:rFonts w:ascii="Times New Roman" w:hAnsi="Times New Roman" w:cs="Times New Roman"/>
          <w:b/>
          <w:bCs/>
          <w:sz w:val="26"/>
          <w:szCs w:val="26"/>
        </w:rPr>
        <w:t>(A)</w:t>
      </w:r>
      <w:r w:rsidR="00897787" w:rsidRPr="00A20145">
        <w:rPr>
          <w:rFonts w:ascii="Times New Roman" w:hAnsi="Times New Roman" w:cs="Times New Roman"/>
          <w:b/>
          <w:bCs/>
          <w:sz w:val="26"/>
          <w:szCs w:val="26"/>
        </w:rPr>
        <w:t xml:space="preserve"> – Intake and verification.</w:t>
      </w:r>
    </w:p>
    <w:p w14:paraId="1CF6873C" w14:textId="77777777" w:rsidR="001C4093" w:rsidRPr="00A20145" w:rsidRDefault="001C4093" w:rsidP="009A3B4B">
      <w:pPr>
        <w:spacing w:after="0" w:line="240" w:lineRule="auto"/>
        <w:contextualSpacing/>
        <w:rPr>
          <w:rFonts w:ascii="Times New Roman" w:hAnsi="Times New Roman" w:cs="Times New Roman"/>
          <w:b/>
          <w:bCs/>
          <w:sz w:val="26"/>
          <w:szCs w:val="26"/>
        </w:rPr>
      </w:pPr>
    </w:p>
    <w:p w14:paraId="3F541A0A" w14:textId="5552B3C9" w:rsidR="00786934" w:rsidRPr="00C80D3A" w:rsidRDefault="00897787"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4D334F" w:rsidRPr="00C80D3A">
        <w:rPr>
          <w:rFonts w:ascii="Times New Roman" w:hAnsi="Times New Roman" w:cs="Times New Roman"/>
          <w:sz w:val="26"/>
          <w:szCs w:val="26"/>
        </w:rPr>
        <w:t>This Order</w:t>
      </w:r>
      <w:r w:rsidR="004D334F" w:rsidRPr="00C80D3A" w:rsidDel="00DF559F">
        <w:rPr>
          <w:rFonts w:ascii="Times New Roman" w:hAnsi="Times New Roman" w:cs="Times New Roman"/>
          <w:sz w:val="26"/>
          <w:szCs w:val="26"/>
        </w:rPr>
        <w:t xml:space="preserve"> </w:t>
      </w:r>
      <w:r w:rsidR="004D334F" w:rsidRPr="00C80D3A">
        <w:rPr>
          <w:rFonts w:ascii="Times New Roman" w:hAnsi="Times New Roman" w:cs="Times New Roman"/>
          <w:sz w:val="26"/>
          <w:szCs w:val="26"/>
        </w:rPr>
        <w:t xml:space="preserve">amends </w:t>
      </w:r>
      <w:r w:rsidRPr="00C80D3A">
        <w:rPr>
          <w:rFonts w:ascii="Times New Roman" w:hAnsi="Times New Roman" w:cs="Times New Roman"/>
          <w:sz w:val="26"/>
          <w:szCs w:val="26"/>
        </w:rPr>
        <w:t>Section 69.265(8)(ii)</w:t>
      </w:r>
      <w:r w:rsidR="00B90DFB">
        <w:rPr>
          <w:rFonts w:ascii="Times New Roman" w:hAnsi="Times New Roman" w:cs="Times New Roman"/>
          <w:sz w:val="26"/>
          <w:szCs w:val="26"/>
        </w:rPr>
        <w:t>(A)</w:t>
      </w:r>
      <w:r w:rsidRPr="00C80D3A">
        <w:rPr>
          <w:rFonts w:ascii="Times New Roman" w:hAnsi="Times New Roman" w:cs="Times New Roman"/>
          <w:sz w:val="26"/>
          <w:szCs w:val="26"/>
        </w:rPr>
        <w:t xml:space="preserve"> of </w:t>
      </w:r>
      <w:r w:rsidR="004D334F" w:rsidRPr="00C80D3A">
        <w:rPr>
          <w:rFonts w:ascii="Times New Roman" w:hAnsi="Times New Roman" w:cs="Times New Roman"/>
          <w:sz w:val="26"/>
          <w:szCs w:val="26"/>
        </w:rPr>
        <w:t xml:space="preserve">the CAP Policy Statement as indicated in Annex A to address alternatives to SSNs.  </w:t>
      </w:r>
      <w:r w:rsidR="001310B2" w:rsidRPr="00C80D3A">
        <w:rPr>
          <w:rFonts w:ascii="Times New Roman" w:hAnsi="Times New Roman" w:cs="Times New Roman"/>
          <w:sz w:val="26"/>
          <w:szCs w:val="26"/>
        </w:rPr>
        <w:t xml:space="preserve">Consistent with the discussion above, </w:t>
      </w:r>
      <w:r w:rsidR="00506216" w:rsidRPr="00C80D3A">
        <w:rPr>
          <w:rFonts w:ascii="Times New Roman" w:hAnsi="Times New Roman" w:cs="Times New Roman"/>
          <w:sz w:val="26"/>
          <w:szCs w:val="26"/>
        </w:rPr>
        <w:t xml:space="preserve">EDCs and NGDCs may request, but not require, SSNs for household members when verifying identity for CAP enrollment.  Household members who are unable or unwilling to provide SSNs </w:t>
      </w:r>
      <w:r w:rsidR="00D352AF" w:rsidRPr="00C80D3A">
        <w:rPr>
          <w:rFonts w:ascii="Times New Roman" w:hAnsi="Times New Roman" w:cs="Times New Roman"/>
          <w:sz w:val="26"/>
          <w:szCs w:val="26"/>
        </w:rPr>
        <w:t>should</w:t>
      </w:r>
      <w:r w:rsidR="00506216" w:rsidRPr="00C80D3A">
        <w:rPr>
          <w:rFonts w:ascii="Times New Roman" w:hAnsi="Times New Roman" w:cs="Times New Roman"/>
          <w:sz w:val="26"/>
          <w:szCs w:val="26"/>
        </w:rPr>
        <w:t xml:space="preserve"> be allowed to provide alternative identification.  Utilities </w:t>
      </w:r>
      <w:r w:rsidR="007240F6" w:rsidRPr="00C80D3A">
        <w:rPr>
          <w:rFonts w:ascii="Times New Roman" w:hAnsi="Times New Roman" w:cs="Times New Roman"/>
          <w:sz w:val="26"/>
          <w:szCs w:val="26"/>
        </w:rPr>
        <w:t xml:space="preserve">should </w:t>
      </w:r>
      <w:r w:rsidR="00506216" w:rsidRPr="00C80D3A">
        <w:rPr>
          <w:rFonts w:ascii="Times New Roman" w:hAnsi="Times New Roman" w:cs="Times New Roman"/>
          <w:sz w:val="26"/>
          <w:szCs w:val="26"/>
        </w:rPr>
        <w:t xml:space="preserve">also educate customers </w:t>
      </w:r>
      <w:r w:rsidR="005B536E" w:rsidRPr="00C80D3A">
        <w:rPr>
          <w:rFonts w:ascii="Times New Roman" w:hAnsi="Times New Roman" w:cs="Times New Roman"/>
          <w:sz w:val="26"/>
          <w:szCs w:val="26"/>
        </w:rPr>
        <w:t xml:space="preserve">and their </w:t>
      </w:r>
      <w:r w:rsidR="00B47F07">
        <w:rPr>
          <w:rFonts w:ascii="Times New Roman" w:hAnsi="Times New Roman" w:cs="Times New Roman"/>
          <w:sz w:val="26"/>
          <w:szCs w:val="26"/>
        </w:rPr>
        <w:t xml:space="preserve">community-based </w:t>
      </w:r>
      <w:r w:rsidR="0032228F">
        <w:rPr>
          <w:rFonts w:ascii="Times New Roman" w:hAnsi="Times New Roman" w:cs="Times New Roman"/>
          <w:sz w:val="26"/>
          <w:szCs w:val="26"/>
        </w:rPr>
        <w:t>organizations (</w:t>
      </w:r>
      <w:r w:rsidR="005B536E" w:rsidRPr="00C80D3A">
        <w:rPr>
          <w:rFonts w:ascii="Times New Roman" w:hAnsi="Times New Roman" w:cs="Times New Roman"/>
          <w:sz w:val="26"/>
          <w:szCs w:val="26"/>
        </w:rPr>
        <w:t>CBOs</w:t>
      </w:r>
      <w:r w:rsidR="0032228F">
        <w:rPr>
          <w:rFonts w:ascii="Times New Roman" w:hAnsi="Times New Roman" w:cs="Times New Roman"/>
          <w:sz w:val="26"/>
          <w:szCs w:val="26"/>
        </w:rPr>
        <w:t>)</w:t>
      </w:r>
      <w:r w:rsidR="005B536E" w:rsidRPr="00C80D3A">
        <w:rPr>
          <w:rFonts w:ascii="Times New Roman" w:hAnsi="Times New Roman" w:cs="Times New Roman"/>
          <w:sz w:val="26"/>
          <w:szCs w:val="26"/>
        </w:rPr>
        <w:t xml:space="preserve"> </w:t>
      </w:r>
      <w:r w:rsidR="00506216" w:rsidRPr="00C80D3A">
        <w:rPr>
          <w:rFonts w:ascii="Times New Roman" w:hAnsi="Times New Roman" w:cs="Times New Roman"/>
          <w:sz w:val="26"/>
          <w:szCs w:val="26"/>
        </w:rPr>
        <w:t xml:space="preserve">about this policy through explanations on CAP applications and other communications.  </w:t>
      </w:r>
      <w:r w:rsidR="00786934" w:rsidRPr="00C80D3A">
        <w:rPr>
          <w:rFonts w:ascii="Times New Roman" w:hAnsi="Times New Roman" w:cs="Times New Roman"/>
          <w:sz w:val="26"/>
          <w:szCs w:val="26"/>
        </w:rPr>
        <w:t xml:space="preserve">  </w:t>
      </w:r>
    </w:p>
    <w:p w14:paraId="47DF65F4" w14:textId="77777777" w:rsidR="00786934" w:rsidRPr="00C80D3A" w:rsidRDefault="00786934" w:rsidP="00315DBC">
      <w:pPr>
        <w:spacing w:after="0" w:line="360" w:lineRule="auto"/>
        <w:contextualSpacing/>
        <w:rPr>
          <w:rFonts w:ascii="Times New Roman" w:hAnsi="Times New Roman" w:cs="Times New Roman"/>
          <w:sz w:val="26"/>
          <w:szCs w:val="26"/>
        </w:rPr>
      </w:pPr>
    </w:p>
    <w:p w14:paraId="68164649" w14:textId="3BE8FF1D" w:rsidR="00506216" w:rsidRPr="00C80D3A" w:rsidRDefault="00506216">
      <w:pPr>
        <w:pStyle w:val="Heading3"/>
        <w:contextualSpacing/>
        <w:rPr>
          <w:sz w:val="26"/>
          <w:szCs w:val="26"/>
        </w:rPr>
      </w:pPr>
      <w:bookmarkStart w:id="21" w:name="_9._Proposed_Change:"/>
      <w:bookmarkEnd w:id="21"/>
      <w:r w:rsidRPr="00C80D3A">
        <w:rPr>
          <w:sz w:val="26"/>
          <w:szCs w:val="26"/>
        </w:rPr>
        <w:t xml:space="preserve">9. </w:t>
      </w:r>
      <w:r w:rsidR="00A613A4" w:rsidRPr="00C80D3A">
        <w:rPr>
          <w:sz w:val="26"/>
          <w:szCs w:val="26"/>
        </w:rPr>
        <w:t xml:space="preserve"> </w:t>
      </w:r>
      <w:bookmarkStart w:id="22" w:name="_Hlk13555828"/>
      <w:r w:rsidRPr="00C80D3A">
        <w:rPr>
          <w:sz w:val="26"/>
          <w:szCs w:val="26"/>
        </w:rPr>
        <w:t xml:space="preserve">Maximum CAP credit limits </w:t>
      </w:r>
      <w:r w:rsidR="00DF559F" w:rsidRPr="00C80D3A">
        <w:rPr>
          <w:sz w:val="26"/>
          <w:szCs w:val="26"/>
        </w:rPr>
        <w:t xml:space="preserve">should </w:t>
      </w:r>
      <w:r w:rsidRPr="00C80D3A">
        <w:rPr>
          <w:sz w:val="26"/>
          <w:szCs w:val="26"/>
        </w:rPr>
        <w:t>be set in USECP review proceeding</w:t>
      </w:r>
      <w:r w:rsidR="008A113D" w:rsidRPr="00C80D3A">
        <w:rPr>
          <w:sz w:val="26"/>
          <w:szCs w:val="26"/>
        </w:rPr>
        <w:t>s</w:t>
      </w:r>
      <w:r w:rsidRPr="00C80D3A">
        <w:rPr>
          <w:sz w:val="26"/>
          <w:szCs w:val="26"/>
        </w:rPr>
        <w:t xml:space="preserve"> </w:t>
      </w:r>
      <w:r w:rsidR="003A2754" w:rsidRPr="00C80D3A">
        <w:rPr>
          <w:sz w:val="26"/>
          <w:szCs w:val="26"/>
        </w:rPr>
        <w:t xml:space="preserve">rather than in the CAP Policy Statement </w:t>
      </w:r>
      <w:r w:rsidRPr="00C80D3A">
        <w:rPr>
          <w:sz w:val="26"/>
          <w:szCs w:val="26"/>
        </w:rPr>
        <w:t xml:space="preserve">and </w:t>
      </w:r>
      <w:r w:rsidR="00CF3368" w:rsidRPr="00C80D3A">
        <w:rPr>
          <w:sz w:val="26"/>
          <w:szCs w:val="26"/>
        </w:rPr>
        <w:t xml:space="preserve">should </w:t>
      </w:r>
      <w:r w:rsidRPr="00C80D3A">
        <w:rPr>
          <w:sz w:val="26"/>
          <w:szCs w:val="26"/>
        </w:rPr>
        <w:t>consist of a tiered structure based on the household</w:t>
      </w:r>
      <w:r w:rsidR="001529C6">
        <w:rPr>
          <w:sz w:val="26"/>
          <w:szCs w:val="26"/>
        </w:rPr>
        <w:t>’</w:t>
      </w:r>
      <w:r w:rsidRPr="00C80D3A">
        <w:rPr>
          <w:sz w:val="26"/>
          <w:szCs w:val="26"/>
        </w:rPr>
        <w:t>s FPIG level (</w:t>
      </w:r>
      <w:r w:rsidRPr="00C80D3A">
        <w:rPr>
          <w:i/>
          <w:iCs/>
          <w:sz w:val="26"/>
          <w:szCs w:val="26"/>
        </w:rPr>
        <w:t>i.e.</w:t>
      </w:r>
      <w:r w:rsidRPr="00C80D3A">
        <w:rPr>
          <w:sz w:val="26"/>
          <w:szCs w:val="26"/>
        </w:rPr>
        <w:t>, 0-50%, 51</w:t>
      </w:r>
      <w:r w:rsidRPr="00C80D3A">
        <w:rPr>
          <w:sz w:val="26"/>
          <w:szCs w:val="26"/>
        </w:rPr>
        <w:noBreakHyphen/>
        <w:t xml:space="preserve">100%, and 101-150%) which </w:t>
      </w:r>
      <w:r w:rsidR="00247146" w:rsidRPr="00C80D3A">
        <w:rPr>
          <w:sz w:val="26"/>
          <w:szCs w:val="26"/>
        </w:rPr>
        <w:t xml:space="preserve">should </w:t>
      </w:r>
      <w:r w:rsidR="00F8328E" w:rsidRPr="00C80D3A">
        <w:rPr>
          <w:sz w:val="26"/>
          <w:szCs w:val="26"/>
        </w:rPr>
        <w:t xml:space="preserve">provide </w:t>
      </w:r>
      <w:r w:rsidRPr="00C80D3A">
        <w:rPr>
          <w:sz w:val="26"/>
          <w:szCs w:val="26"/>
        </w:rPr>
        <w:t xml:space="preserve">lower income households </w:t>
      </w:r>
      <w:r w:rsidR="00F8328E" w:rsidRPr="00C80D3A">
        <w:rPr>
          <w:sz w:val="26"/>
          <w:szCs w:val="26"/>
        </w:rPr>
        <w:t xml:space="preserve">with </w:t>
      </w:r>
      <w:r w:rsidRPr="00C80D3A">
        <w:rPr>
          <w:sz w:val="26"/>
          <w:szCs w:val="26"/>
        </w:rPr>
        <w:t xml:space="preserve">higher CAP credit limits.  Utilities </w:t>
      </w:r>
      <w:r w:rsidR="00D6615F" w:rsidRPr="00C80D3A">
        <w:rPr>
          <w:sz w:val="26"/>
          <w:szCs w:val="26"/>
        </w:rPr>
        <w:t xml:space="preserve">should </w:t>
      </w:r>
      <w:r w:rsidRPr="00C80D3A">
        <w:rPr>
          <w:sz w:val="26"/>
          <w:szCs w:val="26"/>
        </w:rPr>
        <w:t xml:space="preserve">notify CAP customers when they approach their CAP credit limits, instruct them to contact the utility if they meet </w:t>
      </w:r>
      <w:r w:rsidR="00563E1F" w:rsidRPr="00C80D3A">
        <w:rPr>
          <w:sz w:val="26"/>
          <w:szCs w:val="26"/>
        </w:rPr>
        <w:t xml:space="preserve">any </w:t>
      </w:r>
      <w:r w:rsidRPr="00C80D3A">
        <w:rPr>
          <w:sz w:val="26"/>
          <w:szCs w:val="26"/>
        </w:rPr>
        <w:t>exceptions, and refer them to LIURP (if eligible).</w:t>
      </w:r>
      <w:bookmarkEnd w:id="22"/>
    </w:p>
    <w:p w14:paraId="39935B20" w14:textId="77777777" w:rsidR="00506216" w:rsidRPr="00C80D3A" w:rsidRDefault="00506216" w:rsidP="009A3B4B">
      <w:pPr>
        <w:spacing w:after="0" w:line="240" w:lineRule="auto"/>
        <w:contextualSpacing/>
        <w:rPr>
          <w:rFonts w:ascii="Times New Roman" w:hAnsi="Times New Roman" w:cs="Times New Roman"/>
          <w:sz w:val="26"/>
          <w:szCs w:val="26"/>
        </w:rPr>
      </w:pPr>
    </w:p>
    <w:p w14:paraId="651BB716" w14:textId="2D737CDD"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CAP Policy Statement recommends limiting the amount of CAP credits applied to customer bills to $1,400 annually; $840 for natural gas heating, $560 for electric non-heating, and $1,400 for electric heating.  Section 69.265(3)(v)(A</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C).  The Commission has since allowed EDCs to set CAP credit limits beyond these 1992 thresholds</w:t>
      </w:r>
      <w:r w:rsidR="001D13BF" w:rsidRPr="00C80D3A">
        <w:rPr>
          <w:rFonts w:ascii="Times New Roman" w:hAnsi="Times New Roman" w:cs="Times New Roman"/>
          <w:sz w:val="26"/>
          <w:szCs w:val="26"/>
        </w:rPr>
        <w:t xml:space="preserve"> in utility-specific proceedings</w:t>
      </w:r>
      <w:r w:rsidRPr="00C80D3A">
        <w:rPr>
          <w:rFonts w:ascii="Times New Roman" w:hAnsi="Times New Roman" w:cs="Times New Roman"/>
          <w:sz w:val="26"/>
          <w:szCs w:val="26"/>
        </w:rPr>
        <w:t>.</w:t>
      </w:r>
      <w:r w:rsidRPr="00C80D3A">
        <w:rPr>
          <w:rFonts w:ascii="Times New Roman" w:hAnsi="Times New Roman" w:cs="Times New Roman"/>
          <w:sz w:val="26"/>
          <w:szCs w:val="26"/>
          <w:vertAlign w:val="superscript"/>
        </w:rPr>
        <w:footnoteReference w:id="89"/>
      </w:r>
      <w:r w:rsidRPr="00C80D3A">
        <w:rPr>
          <w:rFonts w:ascii="Times New Roman" w:hAnsi="Times New Roman" w:cs="Times New Roman"/>
          <w:sz w:val="26"/>
          <w:szCs w:val="26"/>
        </w:rPr>
        <w:t xml:space="preserve">  NGDCs currently have no limits on CAP credit allowances.</w:t>
      </w:r>
      <w:r w:rsidRPr="00C80D3A">
        <w:rPr>
          <w:rFonts w:ascii="Times New Roman" w:hAnsi="Times New Roman" w:cs="Times New Roman"/>
          <w:sz w:val="26"/>
          <w:szCs w:val="26"/>
          <w:vertAlign w:val="superscript"/>
        </w:rPr>
        <w:footnoteReference w:id="90"/>
      </w:r>
      <w:r w:rsidRPr="00C80D3A">
        <w:rPr>
          <w:rFonts w:ascii="Times New Roman" w:hAnsi="Times New Roman" w:cs="Times New Roman"/>
          <w:sz w:val="26"/>
          <w:szCs w:val="26"/>
        </w:rPr>
        <w:t xml:space="preserve">   </w:t>
      </w:r>
    </w:p>
    <w:p w14:paraId="383A937B" w14:textId="6C25BCC9"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CAP Policy Statement allows utilities to exempt a CAP household from these credit limits if they meet one or more of the following conditions:</w:t>
      </w:r>
    </w:p>
    <w:p w14:paraId="7EC86347" w14:textId="77777777" w:rsidR="005C42CD" w:rsidRPr="00C80D3A" w:rsidRDefault="005C42CD" w:rsidP="007D288F">
      <w:pPr>
        <w:spacing w:after="0" w:line="240" w:lineRule="auto"/>
        <w:contextualSpacing/>
        <w:rPr>
          <w:rFonts w:ascii="Times New Roman" w:hAnsi="Times New Roman" w:cs="Times New Roman"/>
          <w:sz w:val="26"/>
          <w:szCs w:val="26"/>
        </w:rPr>
      </w:pPr>
    </w:p>
    <w:p w14:paraId="3A38B106" w14:textId="77777777" w:rsidR="00506216" w:rsidRPr="00C80D3A" w:rsidRDefault="00506216" w:rsidP="007D288F">
      <w:pPr>
        <w:numPr>
          <w:ilvl w:val="0"/>
          <w:numId w:val="6"/>
        </w:numPr>
        <w:spacing w:after="0"/>
        <w:ind w:left="1440" w:right="720" w:hanging="720"/>
        <w:contextualSpacing/>
        <w:rPr>
          <w:rFonts w:ascii="Times New Roman" w:hAnsi="Times New Roman" w:cs="Times New Roman"/>
          <w:sz w:val="26"/>
          <w:szCs w:val="26"/>
        </w:rPr>
      </w:pPr>
      <w:bookmarkStart w:id="23" w:name="69.265."/>
      <w:r w:rsidRPr="00C80D3A">
        <w:rPr>
          <w:rFonts w:ascii="Times New Roman" w:hAnsi="Times New Roman" w:cs="Times New Roman"/>
          <w:sz w:val="26"/>
          <w:szCs w:val="26"/>
        </w:rPr>
        <w:t xml:space="preserve">The household experienced the addition of a family member. </w:t>
      </w:r>
    </w:p>
    <w:p w14:paraId="2BEBF6C4" w14:textId="77777777" w:rsidR="00506216" w:rsidRPr="00C80D3A" w:rsidRDefault="00506216" w:rsidP="007D288F">
      <w:pPr>
        <w:numPr>
          <w:ilvl w:val="0"/>
          <w:numId w:val="6"/>
        </w:numPr>
        <w:spacing w:after="0"/>
        <w:ind w:left="1440" w:right="72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A member of the household experienced a serious illness. </w:t>
      </w:r>
    </w:p>
    <w:p w14:paraId="166690E7" w14:textId="49985C79" w:rsidR="00506216" w:rsidRPr="00C80D3A" w:rsidRDefault="00506216" w:rsidP="007D288F">
      <w:pPr>
        <w:numPr>
          <w:ilvl w:val="0"/>
          <w:numId w:val="6"/>
        </w:numPr>
        <w:spacing w:after="0"/>
        <w:ind w:left="1440" w:right="720" w:hanging="720"/>
        <w:contextualSpacing/>
        <w:rPr>
          <w:rFonts w:ascii="Times New Roman" w:hAnsi="Times New Roman" w:cs="Times New Roman"/>
          <w:sz w:val="26"/>
          <w:szCs w:val="26"/>
        </w:rPr>
      </w:pPr>
      <w:r w:rsidRPr="00C80D3A">
        <w:rPr>
          <w:rFonts w:ascii="Times New Roman" w:hAnsi="Times New Roman" w:cs="Times New Roman"/>
          <w:sz w:val="26"/>
          <w:szCs w:val="26"/>
        </w:rPr>
        <w:t>Energy consumption was beyond the household</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ability to control. </w:t>
      </w:r>
    </w:p>
    <w:p w14:paraId="77D19D45" w14:textId="77777777" w:rsidR="00506216" w:rsidRPr="00C80D3A" w:rsidRDefault="00506216" w:rsidP="007D288F">
      <w:pPr>
        <w:numPr>
          <w:ilvl w:val="0"/>
          <w:numId w:val="6"/>
        </w:numPr>
        <w:spacing w:after="0" w:line="240" w:lineRule="auto"/>
        <w:ind w:left="1440" w:right="72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household is located in housing that is or has been condemned or has housing code violations that negatively affect energy consumption. </w:t>
      </w:r>
    </w:p>
    <w:p w14:paraId="3F8B587A" w14:textId="0905C75F" w:rsidR="00506216" w:rsidRPr="00C80D3A" w:rsidRDefault="00506216" w:rsidP="007D288F">
      <w:pPr>
        <w:numPr>
          <w:ilvl w:val="0"/>
          <w:numId w:val="6"/>
        </w:numPr>
        <w:spacing w:after="0" w:line="240" w:lineRule="auto"/>
        <w:ind w:left="1440" w:right="72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Energy consumption estimates have been based on consumption of a previous occupant. </w:t>
      </w:r>
    </w:p>
    <w:p w14:paraId="3DBE3AB0" w14:textId="77777777" w:rsidR="008E7AFC" w:rsidRPr="00C80D3A" w:rsidRDefault="008E7AFC" w:rsidP="008E7AFC">
      <w:pPr>
        <w:spacing w:after="0"/>
        <w:ind w:right="720"/>
        <w:contextualSpacing/>
        <w:rPr>
          <w:rFonts w:ascii="Times New Roman" w:hAnsi="Times New Roman" w:cs="Times New Roman"/>
          <w:sz w:val="26"/>
          <w:szCs w:val="26"/>
        </w:rPr>
      </w:pPr>
    </w:p>
    <w:bookmarkEnd w:id="23"/>
    <w:p w14:paraId="5FCE1643" w14:textId="3FA58126"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Section 69.265(3)(vi)(A</w:t>
      </w:r>
      <w:r w:rsidR="002C0AA8" w:rsidRPr="00C80D3A">
        <w:rPr>
          <w:rFonts w:ascii="Times New Roman" w:hAnsi="Times New Roman" w:cs="Times New Roman"/>
          <w:sz w:val="26"/>
          <w:szCs w:val="26"/>
        </w:rPr>
        <w:t>)–(</w:t>
      </w:r>
      <w:r w:rsidRPr="00C80D3A">
        <w:rPr>
          <w:rFonts w:ascii="Times New Roman" w:hAnsi="Times New Roman" w:cs="Times New Roman"/>
          <w:sz w:val="26"/>
          <w:szCs w:val="26"/>
        </w:rPr>
        <w:t>E)</w:t>
      </w:r>
      <w:r w:rsidR="00FB29E6" w:rsidRPr="00C80D3A">
        <w:rPr>
          <w:rFonts w:ascii="Times New Roman" w:hAnsi="Times New Roman" w:cs="Times New Roman"/>
          <w:sz w:val="26"/>
          <w:szCs w:val="26"/>
        </w:rPr>
        <w:t>.</w:t>
      </w:r>
    </w:p>
    <w:p w14:paraId="0038EF4C" w14:textId="77777777" w:rsidR="00506216" w:rsidRPr="00C80D3A" w:rsidRDefault="00506216" w:rsidP="00315DBC">
      <w:pPr>
        <w:spacing w:after="0" w:line="360" w:lineRule="auto"/>
        <w:contextualSpacing/>
        <w:rPr>
          <w:rFonts w:ascii="Times New Roman" w:hAnsi="Times New Roman" w:cs="Times New Roman"/>
          <w:sz w:val="26"/>
          <w:szCs w:val="26"/>
        </w:rPr>
      </w:pPr>
    </w:p>
    <w:p w14:paraId="2340D9C1" w14:textId="7917F94F"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Most EDCs have one CAP credit limit for electric non-heating accounts and another limit for electric heating accounts.  However, PECO and PPL have recently adopted tiered maximum CAP credit limits, which set different limits based on a CAP customer</w:t>
      </w:r>
      <w:r w:rsidR="001529C6">
        <w:rPr>
          <w:rFonts w:ascii="Times New Roman" w:hAnsi="Times New Roman" w:cs="Times New Roman"/>
          <w:sz w:val="26"/>
          <w:szCs w:val="26"/>
        </w:rPr>
        <w:t>’</w:t>
      </w:r>
      <w:r w:rsidRPr="00C80D3A">
        <w:rPr>
          <w:rFonts w:ascii="Times New Roman" w:hAnsi="Times New Roman" w:cs="Times New Roman"/>
          <w:sz w:val="26"/>
          <w:szCs w:val="26"/>
        </w:rPr>
        <w:t>s FPIG level.</w:t>
      </w:r>
      <w:r w:rsidRPr="00C80D3A">
        <w:rPr>
          <w:rFonts w:ascii="Times New Roman" w:hAnsi="Times New Roman" w:cs="Times New Roman"/>
          <w:sz w:val="26"/>
          <w:szCs w:val="26"/>
          <w:vertAlign w:val="superscript"/>
        </w:rPr>
        <w:footnoteReference w:id="91"/>
      </w:r>
      <w:r w:rsidRPr="00C80D3A">
        <w:rPr>
          <w:rFonts w:ascii="Times New Roman" w:hAnsi="Times New Roman" w:cs="Times New Roman"/>
          <w:sz w:val="26"/>
          <w:szCs w:val="26"/>
        </w:rPr>
        <w:t xml:space="preserve">  This allows customers with less income to have higher CAP credit limits.</w:t>
      </w:r>
    </w:p>
    <w:p w14:paraId="09EE7BDD" w14:textId="77777777" w:rsidR="00506216" w:rsidRPr="00C80D3A" w:rsidRDefault="00506216" w:rsidP="00315DBC">
      <w:pPr>
        <w:spacing w:after="0" w:line="360" w:lineRule="auto"/>
        <w:contextualSpacing/>
        <w:rPr>
          <w:rFonts w:ascii="Times New Roman" w:hAnsi="Times New Roman" w:cs="Times New Roman"/>
          <w:sz w:val="26"/>
          <w:szCs w:val="26"/>
        </w:rPr>
      </w:pPr>
    </w:p>
    <w:p w14:paraId="1D12785F" w14:textId="7777777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During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proceeding, stakeholders proposed changing how CAP credit limits are calculated, allocated, and communicated.</w:t>
      </w:r>
      <w:r w:rsidRPr="00C80D3A">
        <w:rPr>
          <w:rFonts w:ascii="Times New Roman" w:hAnsi="Times New Roman" w:cs="Times New Roman"/>
          <w:sz w:val="26"/>
          <w:szCs w:val="26"/>
          <w:vertAlign w:val="superscript"/>
        </w:rPr>
        <w:footnoteReference w:id="92"/>
      </w:r>
    </w:p>
    <w:p w14:paraId="68A098FE" w14:textId="77777777" w:rsidR="00506216" w:rsidRPr="00C80D3A" w:rsidRDefault="00506216" w:rsidP="00315DBC">
      <w:pPr>
        <w:spacing w:after="0" w:line="360" w:lineRule="auto"/>
        <w:contextualSpacing/>
        <w:rPr>
          <w:rFonts w:ascii="Times New Roman" w:hAnsi="Times New Roman" w:cs="Times New Roman"/>
          <w:sz w:val="26"/>
          <w:szCs w:val="26"/>
        </w:rPr>
      </w:pPr>
    </w:p>
    <w:p w14:paraId="741A4939" w14:textId="77777777" w:rsidR="00506216" w:rsidRPr="00C80D3A" w:rsidRDefault="00506216" w:rsidP="007D288F">
      <w:pPr>
        <w:keepNext/>
        <w:spacing w:after="0" w:line="240" w:lineRule="auto"/>
        <w:contextualSpacing/>
        <w:rPr>
          <w:rFonts w:ascii="Times New Roman" w:hAnsi="Times New Roman" w:cs="Times New Roman"/>
          <w:color w:val="000000"/>
          <w:sz w:val="26"/>
          <w:szCs w:val="26"/>
        </w:rPr>
      </w:pPr>
      <w:r w:rsidRPr="00C80D3A">
        <w:rPr>
          <w:rFonts w:ascii="Times New Roman" w:hAnsi="Times New Roman" w:cs="Times New Roman"/>
          <w:i/>
          <w:sz w:val="26"/>
          <w:szCs w:val="26"/>
        </w:rPr>
        <w:t>Review of Universal Service and Energy Conservation Programs, Docket No. M</w:t>
      </w:r>
      <w:r w:rsidRPr="00C80D3A">
        <w:rPr>
          <w:rFonts w:ascii="Times New Roman" w:hAnsi="Times New Roman" w:cs="Times New Roman"/>
          <w:i/>
          <w:sz w:val="26"/>
          <w:szCs w:val="26"/>
        </w:rPr>
        <w:noBreakHyphen/>
        <w:t>2017</w:t>
      </w:r>
      <w:r w:rsidRPr="00C80D3A">
        <w:rPr>
          <w:rFonts w:ascii="Times New Roman" w:hAnsi="Times New Roman" w:cs="Times New Roman"/>
          <w:i/>
          <w:sz w:val="26"/>
          <w:szCs w:val="26"/>
        </w:rPr>
        <w:noBreakHyphen/>
        <w:t>2596907</w:t>
      </w:r>
    </w:p>
    <w:p w14:paraId="5E224A0F" w14:textId="77777777" w:rsidR="007D288F" w:rsidRPr="00C80D3A" w:rsidRDefault="007D288F" w:rsidP="007D288F">
      <w:pPr>
        <w:keepNext/>
        <w:spacing w:after="0" w:line="240" w:lineRule="auto"/>
        <w:contextualSpacing/>
        <w:rPr>
          <w:rFonts w:ascii="Times New Roman" w:hAnsi="Times New Roman" w:cs="Times New Roman"/>
          <w:b/>
          <w:bCs/>
          <w:sz w:val="26"/>
          <w:szCs w:val="26"/>
        </w:rPr>
      </w:pPr>
    </w:p>
    <w:p w14:paraId="2F7800B3" w14:textId="77777777" w:rsidR="00506216" w:rsidRPr="00C80D3A" w:rsidRDefault="00506216" w:rsidP="007D288F">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from Parties</w:t>
      </w:r>
    </w:p>
    <w:p w14:paraId="38D91803" w14:textId="7777777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Low Income Advocates assert that limits to CAP credits are unduly punitive.  They state that CAP credits need to be different for each income tier.  Because the lowest-income customers receive the biggest discounts on CAP discounts, these customers can quickly deplete allowable credits.  Low Income Advocates Comments at 6.</w:t>
      </w:r>
    </w:p>
    <w:p w14:paraId="7B7AF9FC" w14:textId="77777777" w:rsidR="00506216" w:rsidRPr="00C80D3A" w:rsidRDefault="00506216" w:rsidP="00315DBC">
      <w:pPr>
        <w:spacing w:after="0" w:line="360" w:lineRule="auto"/>
        <w:contextualSpacing/>
        <w:rPr>
          <w:rFonts w:ascii="Times New Roman" w:hAnsi="Times New Roman" w:cs="Times New Roman"/>
          <w:sz w:val="26"/>
          <w:szCs w:val="26"/>
        </w:rPr>
      </w:pPr>
    </w:p>
    <w:p w14:paraId="37D54304" w14:textId="77777777" w:rsidR="00506216" w:rsidRPr="00C80D3A" w:rsidRDefault="00506216" w:rsidP="001D5DA4">
      <w:pPr>
        <w:keepNext/>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OCA proposes that:</w:t>
      </w:r>
    </w:p>
    <w:p w14:paraId="0B78BDB5" w14:textId="77777777" w:rsidR="00506216" w:rsidRPr="00C80D3A" w:rsidRDefault="00506216" w:rsidP="001D5DA4">
      <w:pPr>
        <w:keepNext/>
        <w:spacing w:after="0" w:line="240" w:lineRule="auto"/>
        <w:contextualSpacing/>
        <w:rPr>
          <w:rFonts w:ascii="Times New Roman" w:hAnsi="Times New Roman" w:cs="Times New Roman"/>
          <w:sz w:val="26"/>
          <w:szCs w:val="26"/>
        </w:rPr>
      </w:pPr>
    </w:p>
    <w:p w14:paraId="321286A5" w14:textId="3186A452" w:rsidR="00506216" w:rsidRPr="00C80D3A" w:rsidRDefault="00506216" w:rsidP="001D5DA4">
      <w:pPr>
        <w:keepNext/>
        <w:numPr>
          <w:ilvl w:val="0"/>
          <w:numId w:val="7"/>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Instead of a fixed ceiling on CAP credits, the maximum CAP credits should be indexed to the individual utility</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average annual rates, including the default service price (electric) or supplier of last resort price (natural gas), so that the amount of the maximum CAP credit makes sense given the fluctuations in energy costs in the service territory and distribution rate changes.  </w:t>
      </w:r>
    </w:p>
    <w:p w14:paraId="486B5BDB" w14:textId="77777777" w:rsidR="007D288F" w:rsidRPr="00C80D3A" w:rsidRDefault="007D288F" w:rsidP="007D288F">
      <w:pPr>
        <w:spacing w:after="0" w:line="240" w:lineRule="auto"/>
        <w:ind w:left="1440"/>
        <w:contextualSpacing/>
        <w:rPr>
          <w:rFonts w:ascii="Times New Roman" w:hAnsi="Times New Roman" w:cs="Times New Roman"/>
          <w:sz w:val="26"/>
          <w:szCs w:val="26"/>
        </w:rPr>
      </w:pPr>
    </w:p>
    <w:p w14:paraId="0BC44322" w14:textId="77777777" w:rsidR="00506216" w:rsidRPr="00C80D3A" w:rsidRDefault="00506216" w:rsidP="007D288F">
      <w:pPr>
        <w:numPr>
          <w:ilvl w:val="0"/>
          <w:numId w:val="7"/>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Limitations should be placed on the maximum CAP credits, and they need not be uniform across utilities due to differences in housing stock and participant income.  </w:t>
      </w:r>
    </w:p>
    <w:p w14:paraId="19CF632C" w14:textId="77777777" w:rsidR="007D288F" w:rsidRPr="00C80D3A" w:rsidRDefault="007D288F" w:rsidP="007D288F">
      <w:pPr>
        <w:spacing w:after="0" w:line="240" w:lineRule="auto"/>
        <w:ind w:left="1440"/>
        <w:contextualSpacing/>
        <w:rPr>
          <w:rFonts w:ascii="Times New Roman" w:hAnsi="Times New Roman" w:cs="Times New Roman"/>
          <w:sz w:val="26"/>
          <w:szCs w:val="26"/>
        </w:rPr>
      </w:pPr>
    </w:p>
    <w:p w14:paraId="03502501" w14:textId="51D3A939" w:rsidR="00506216" w:rsidRPr="00C80D3A" w:rsidRDefault="00506216" w:rsidP="007D288F">
      <w:pPr>
        <w:numPr>
          <w:ilvl w:val="0"/>
          <w:numId w:val="7"/>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maximum CAP credit </w:t>
      </w:r>
      <w:r w:rsidR="00492597" w:rsidRPr="00C80D3A">
        <w:rPr>
          <w:rFonts w:ascii="Times New Roman" w:hAnsi="Times New Roman" w:cs="Times New Roman"/>
          <w:sz w:val="26"/>
          <w:szCs w:val="26"/>
        </w:rPr>
        <w:t xml:space="preserve">limits </w:t>
      </w:r>
      <w:r w:rsidRPr="00C80D3A">
        <w:rPr>
          <w:rFonts w:ascii="Times New Roman" w:hAnsi="Times New Roman" w:cs="Times New Roman"/>
          <w:sz w:val="26"/>
          <w:szCs w:val="26"/>
        </w:rPr>
        <w:t xml:space="preserve">should vary by FPIG level so that they do not disproportionately affect the lowest income customers.  </w:t>
      </w:r>
      <w:r w:rsidR="000B720A" w:rsidRPr="00C80D3A">
        <w:rPr>
          <w:rFonts w:ascii="Times New Roman" w:hAnsi="Times New Roman" w:cs="Times New Roman"/>
          <w:sz w:val="26"/>
          <w:szCs w:val="26"/>
        </w:rPr>
        <w:t xml:space="preserve">OCA </w:t>
      </w:r>
      <w:r w:rsidRPr="00C80D3A">
        <w:rPr>
          <w:rFonts w:ascii="Times New Roman" w:hAnsi="Times New Roman" w:cs="Times New Roman"/>
          <w:sz w:val="26"/>
          <w:szCs w:val="26"/>
        </w:rPr>
        <w:t>suggested using the average of all utilities</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 maximum credit</w:t>
      </w:r>
      <w:r w:rsidR="000B720A" w:rsidRPr="00C80D3A">
        <w:rPr>
          <w:rFonts w:ascii="Times New Roman" w:hAnsi="Times New Roman" w:cs="Times New Roman"/>
          <w:sz w:val="26"/>
          <w:szCs w:val="26"/>
        </w:rPr>
        <w:t xml:space="preserve"> limit</w:t>
      </w:r>
      <w:r w:rsidRPr="00C80D3A">
        <w:rPr>
          <w:rFonts w:ascii="Times New Roman" w:hAnsi="Times New Roman" w:cs="Times New Roman"/>
          <w:sz w:val="26"/>
          <w:szCs w:val="26"/>
        </w:rPr>
        <w:t>s.</w:t>
      </w:r>
    </w:p>
    <w:p w14:paraId="6A239DD3" w14:textId="77777777" w:rsidR="007D288F" w:rsidRPr="00C80D3A" w:rsidRDefault="007D288F" w:rsidP="007D288F">
      <w:pPr>
        <w:spacing w:after="0" w:line="240" w:lineRule="auto"/>
        <w:ind w:left="1440"/>
        <w:contextualSpacing/>
        <w:rPr>
          <w:rFonts w:ascii="Times New Roman" w:hAnsi="Times New Roman" w:cs="Times New Roman"/>
          <w:sz w:val="26"/>
          <w:szCs w:val="26"/>
        </w:rPr>
      </w:pPr>
    </w:p>
    <w:p w14:paraId="34A84CF0" w14:textId="77777777" w:rsidR="00506216" w:rsidRPr="00C80D3A" w:rsidRDefault="00506216" w:rsidP="007D288F">
      <w:pPr>
        <w:numPr>
          <w:ilvl w:val="0"/>
          <w:numId w:val="7"/>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Utilities should notify CAP participants when they are approaching the CAP credit ceiling and automatically evaluate them for LIURP. </w:t>
      </w:r>
    </w:p>
    <w:p w14:paraId="608EBC1B" w14:textId="77777777" w:rsidR="007D288F" w:rsidRPr="00C80D3A" w:rsidRDefault="007D288F" w:rsidP="007D288F">
      <w:pPr>
        <w:spacing w:after="0" w:line="240" w:lineRule="auto"/>
        <w:ind w:left="1440"/>
        <w:contextualSpacing/>
        <w:rPr>
          <w:rFonts w:ascii="Times New Roman" w:hAnsi="Times New Roman" w:cs="Times New Roman"/>
          <w:sz w:val="26"/>
          <w:szCs w:val="26"/>
        </w:rPr>
      </w:pPr>
    </w:p>
    <w:p w14:paraId="379C6829" w14:textId="77777777" w:rsidR="00506216" w:rsidRPr="00C80D3A" w:rsidRDefault="00506216" w:rsidP="007D288F">
      <w:pPr>
        <w:numPr>
          <w:ilvl w:val="0"/>
          <w:numId w:val="7"/>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Utilities should waive maximum limits if customers meet the usage exemptions in the CAP Policy Statement.  </w:t>
      </w:r>
    </w:p>
    <w:p w14:paraId="0654B6A1" w14:textId="77777777" w:rsidR="00506216" w:rsidRPr="00C80D3A" w:rsidRDefault="00506216" w:rsidP="007D288F">
      <w:pPr>
        <w:spacing w:after="0" w:line="240" w:lineRule="auto"/>
        <w:ind w:left="720"/>
        <w:contextualSpacing/>
        <w:rPr>
          <w:rFonts w:ascii="Times New Roman" w:hAnsi="Times New Roman" w:cs="Times New Roman"/>
          <w:sz w:val="26"/>
          <w:szCs w:val="26"/>
        </w:rPr>
      </w:pPr>
    </w:p>
    <w:p w14:paraId="7AEEE7C5" w14:textId="1C1C9340"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 xml:space="preserve">OCA Comments </w:t>
      </w:r>
      <w:r w:rsidR="000B720A" w:rsidRPr="00C80D3A">
        <w:rPr>
          <w:rFonts w:ascii="Times New Roman" w:hAnsi="Times New Roman" w:cs="Times New Roman"/>
          <w:sz w:val="26"/>
          <w:szCs w:val="26"/>
        </w:rPr>
        <w:t xml:space="preserve">at </w:t>
      </w:r>
      <w:r w:rsidRPr="00C80D3A">
        <w:rPr>
          <w:rFonts w:ascii="Times New Roman" w:hAnsi="Times New Roman" w:cs="Times New Roman"/>
          <w:sz w:val="26"/>
          <w:szCs w:val="26"/>
        </w:rPr>
        <w:t>25</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 xml:space="preserve">27, as summarized in the </w:t>
      </w:r>
      <w:r w:rsidRPr="00C80D3A">
        <w:rPr>
          <w:rFonts w:ascii="Times New Roman" w:hAnsi="Times New Roman" w:cs="Times New Roman"/>
          <w:i/>
          <w:sz w:val="26"/>
          <w:szCs w:val="26"/>
        </w:rPr>
        <w:t>Report</w:t>
      </w:r>
      <w:r w:rsidRPr="00C80D3A">
        <w:rPr>
          <w:rFonts w:ascii="Times New Roman" w:hAnsi="Times New Roman" w:cs="Times New Roman"/>
          <w:sz w:val="26"/>
          <w:szCs w:val="26"/>
        </w:rPr>
        <w:t>.</w:t>
      </w:r>
    </w:p>
    <w:p w14:paraId="3A3E73FE" w14:textId="77777777" w:rsidR="00506216" w:rsidRPr="00C80D3A" w:rsidRDefault="00506216" w:rsidP="00315DBC">
      <w:pPr>
        <w:spacing w:after="0" w:line="360" w:lineRule="auto"/>
        <w:contextualSpacing/>
        <w:rPr>
          <w:rFonts w:ascii="Times New Roman" w:hAnsi="Times New Roman" w:cs="Times New Roman"/>
          <w:sz w:val="26"/>
          <w:szCs w:val="26"/>
        </w:rPr>
      </w:pPr>
    </w:p>
    <w:p w14:paraId="08F4A1D5" w14:textId="32025251"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Duquesne agrees with OCA that the maximum CAP </w:t>
      </w:r>
      <w:r w:rsidR="00481D2A" w:rsidRPr="00C80D3A">
        <w:rPr>
          <w:rFonts w:ascii="Times New Roman" w:hAnsi="Times New Roman" w:cs="Times New Roman"/>
          <w:sz w:val="26"/>
          <w:szCs w:val="26"/>
        </w:rPr>
        <w:t>c</w:t>
      </w:r>
      <w:r w:rsidRPr="00C80D3A">
        <w:rPr>
          <w:rFonts w:ascii="Times New Roman" w:hAnsi="Times New Roman" w:cs="Times New Roman"/>
          <w:sz w:val="26"/>
          <w:szCs w:val="26"/>
        </w:rPr>
        <w:t xml:space="preserve">redit limit provisions need to be updated or reviewed for inflation and need not be </w:t>
      </w:r>
      <w:r w:rsidR="00481D2A" w:rsidRPr="00C80D3A">
        <w:rPr>
          <w:rFonts w:ascii="Times New Roman" w:hAnsi="Times New Roman" w:cs="Times New Roman"/>
          <w:sz w:val="26"/>
          <w:szCs w:val="26"/>
        </w:rPr>
        <w:t xml:space="preserve">identical </w:t>
      </w:r>
      <w:r w:rsidRPr="00C80D3A">
        <w:rPr>
          <w:rFonts w:ascii="Times New Roman" w:hAnsi="Times New Roman" w:cs="Times New Roman"/>
          <w:sz w:val="26"/>
          <w:szCs w:val="26"/>
        </w:rPr>
        <w:t>among utilities.  Duquesne Reply Comments at 20.</w:t>
      </w:r>
    </w:p>
    <w:p w14:paraId="2BF11197" w14:textId="77777777" w:rsidR="00506216" w:rsidRPr="00C80D3A" w:rsidRDefault="00506216" w:rsidP="00315DBC">
      <w:pPr>
        <w:spacing w:after="0" w:line="360" w:lineRule="auto"/>
        <w:contextualSpacing/>
        <w:rPr>
          <w:rFonts w:ascii="Times New Roman" w:hAnsi="Times New Roman" w:cs="Times New Roman"/>
          <w:sz w:val="26"/>
          <w:szCs w:val="26"/>
        </w:rPr>
      </w:pPr>
    </w:p>
    <w:p w14:paraId="5A3CA3F2" w14:textId="224820C1"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EAP generally agrees that if maximum CAP credit</w:t>
      </w:r>
      <w:r w:rsidR="00B21286" w:rsidRPr="00C80D3A">
        <w:rPr>
          <w:rFonts w:ascii="Times New Roman" w:hAnsi="Times New Roman" w:cs="Times New Roman"/>
          <w:sz w:val="26"/>
          <w:szCs w:val="26"/>
        </w:rPr>
        <w:t xml:space="preserve"> limit</w:t>
      </w:r>
      <w:r w:rsidRPr="00C80D3A">
        <w:rPr>
          <w:rFonts w:ascii="Times New Roman" w:hAnsi="Times New Roman" w:cs="Times New Roman"/>
          <w:sz w:val="26"/>
          <w:szCs w:val="26"/>
        </w:rPr>
        <w:t>s remain part of the CAP Policy Statement, they should be flexible and not part of a regulation.  EAP Reply Comments at 8.</w:t>
      </w:r>
    </w:p>
    <w:p w14:paraId="636A6FCD" w14:textId="77777777" w:rsidR="00506216" w:rsidRPr="00C80D3A" w:rsidRDefault="00506216" w:rsidP="00315DBC">
      <w:pPr>
        <w:spacing w:after="0" w:line="360" w:lineRule="auto"/>
        <w:contextualSpacing/>
        <w:rPr>
          <w:rFonts w:ascii="Times New Roman" w:hAnsi="Times New Roman" w:cs="Times New Roman"/>
          <w:sz w:val="26"/>
          <w:szCs w:val="26"/>
        </w:rPr>
      </w:pPr>
    </w:p>
    <w:p w14:paraId="054FF31A" w14:textId="6FD43DCB"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PPL contends that maximum CAP credit</w:t>
      </w:r>
      <w:r w:rsidR="00B21286" w:rsidRPr="00C80D3A">
        <w:rPr>
          <w:rFonts w:ascii="Times New Roman" w:hAnsi="Times New Roman" w:cs="Times New Roman"/>
          <w:sz w:val="26"/>
          <w:szCs w:val="26"/>
        </w:rPr>
        <w:t xml:space="preserve"> limit</w:t>
      </w:r>
      <w:r w:rsidRPr="00C80D3A">
        <w:rPr>
          <w:rFonts w:ascii="Times New Roman" w:hAnsi="Times New Roman" w:cs="Times New Roman"/>
          <w:sz w:val="26"/>
          <w:szCs w:val="26"/>
        </w:rPr>
        <w:t>s should be determined in USECPs, not in the CAP Policy Statement.  PPL Comments at 11.</w:t>
      </w:r>
    </w:p>
    <w:p w14:paraId="672DE7F0" w14:textId="77777777" w:rsidR="00506216" w:rsidRPr="00C80D3A" w:rsidRDefault="00506216" w:rsidP="00315DBC">
      <w:pPr>
        <w:spacing w:after="0" w:line="360" w:lineRule="auto"/>
        <w:contextualSpacing/>
        <w:rPr>
          <w:rFonts w:ascii="Times New Roman" w:hAnsi="Times New Roman" w:cs="Times New Roman"/>
          <w:sz w:val="26"/>
          <w:szCs w:val="26"/>
        </w:rPr>
      </w:pPr>
    </w:p>
    <w:p w14:paraId="6727C491" w14:textId="5907457C"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Peoples opposes setting an absolute limit on the level of CAP credits available to customers.  Any </w:t>
      </w:r>
      <w:r w:rsidR="00A27ACA" w:rsidRPr="00C80D3A">
        <w:rPr>
          <w:rFonts w:ascii="Times New Roman" w:hAnsi="Times New Roman" w:cs="Times New Roman"/>
          <w:sz w:val="26"/>
          <w:szCs w:val="26"/>
        </w:rPr>
        <w:t xml:space="preserve">future </w:t>
      </w:r>
      <w:r w:rsidRPr="00C80D3A">
        <w:rPr>
          <w:rFonts w:ascii="Times New Roman" w:hAnsi="Times New Roman" w:cs="Times New Roman"/>
          <w:sz w:val="26"/>
          <w:szCs w:val="26"/>
        </w:rPr>
        <w:t xml:space="preserve">regulation should continue to permit exceptions </w:t>
      </w:r>
      <w:r w:rsidR="00A27ACA" w:rsidRPr="00C80D3A">
        <w:rPr>
          <w:rFonts w:ascii="Times New Roman" w:hAnsi="Times New Roman" w:cs="Times New Roman"/>
          <w:sz w:val="26"/>
          <w:szCs w:val="26"/>
        </w:rPr>
        <w:t xml:space="preserve">to CAP </w:t>
      </w:r>
      <w:r w:rsidR="00DA7D17" w:rsidRPr="00C80D3A">
        <w:rPr>
          <w:rFonts w:ascii="Times New Roman" w:hAnsi="Times New Roman" w:cs="Times New Roman"/>
          <w:sz w:val="26"/>
          <w:szCs w:val="26"/>
        </w:rPr>
        <w:t>credit limits,</w:t>
      </w:r>
      <w:r w:rsidRPr="00C80D3A">
        <w:rPr>
          <w:rFonts w:ascii="Times New Roman" w:hAnsi="Times New Roman" w:cs="Times New Roman"/>
          <w:sz w:val="26"/>
          <w:szCs w:val="26"/>
        </w:rPr>
        <w:t xml:space="preserve"> such as increased household members, inability to weatherize, and poor housing stock.  Peoples Reply Comments at 5.</w:t>
      </w:r>
    </w:p>
    <w:p w14:paraId="7BACDB78" w14:textId="77777777" w:rsidR="00506216" w:rsidRPr="00C80D3A" w:rsidRDefault="00506216" w:rsidP="00315DBC">
      <w:pPr>
        <w:spacing w:after="0" w:line="360" w:lineRule="auto"/>
        <w:contextualSpacing/>
        <w:rPr>
          <w:rFonts w:ascii="Times New Roman" w:hAnsi="Times New Roman" w:cs="Times New Roman"/>
          <w:sz w:val="26"/>
          <w:szCs w:val="26"/>
        </w:rPr>
      </w:pPr>
    </w:p>
    <w:p w14:paraId="316C80E8" w14:textId="77777777" w:rsidR="00506216" w:rsidRPr="00C80D3A" w:rsidRDefault="00506216" w:rsidP="007D288F">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746E6959" w14:textId="12F17A5C" w:rsidR="0048148A" w:rsidRPr="00C80D3A" w:rsidRDefault="00506216" w:rsidP="0048148A">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4E10B1" w:rsidRPr="00C80D3A">
        <w:rPr>
          <w:rFonts w:ascii="Times New Roman" w:hAnsi="Times New Roman" w:cs="Times New Roman"/>
          <w:sz w:val="26"/>
          <w:szCs w:val="26"/>
        </w:rPr>
        <w:t>T</w:t>
      </w:r>
      <w:r w:rsidR="00CE5425" w:rsidRPr="00C80D3A">
        <w:rPr>
          <w:rFonts w:ascii="Times New Roman" w:hAnsi="Times New Roman" w:cs="Times New Roman"/>
          <w:sz w:val="26"/>
          <w:szCs w:val="26"/>
        </w:rPr>
        <w:t>he Commission</w:t>
      </w:r>
      <w:r w:rsidRPr="00C80D3A">
        <w:rPr>
          <w:rFonts w:ascii="Times New Roman" w:hAnsi="Times New Roman" w:cs="Times New Roman"/>
          <w:sz w:val="26"/>
          <w:szCs w:val="26"/>
        </w:rPr>
        <w:t xml:space="preserve"> agrees with stakeholders that establishing a </w:t>
      </w:r>
      <w:r w:rsidR="00B41387" w:rsidRPr="00C80D3A">
        <w:rPr>
          <w:rFonts w:ascii="Times New Roman" w:hAnsi="Times New Roman" w:cs="Times New Roman"/>
          <w:sz w:val="26"/>
          <w:szCs w:val="26"/>
        </w:rPr>
        <w:t xml:space="preserve">uniform </w:t>
      </w:r>
      <w:r w:rsidR="00DA7D17" w:rsidRPr="00C80D3A">
        <w:rPr>
          <w:rFonts w:ascii="Times New Roman" w:hAnsi="Times New Roman" w:cs="Times New Roman"/>
          <w:sz w:val="26"/>
          <w:szCs w:val="26"/>
        </w:rPr>
        <w:t xml:space="preserve">fixed </w:t>
      </w:r>
      <w:r w:rsidR="00B41387" w:rsidRPr="00C80D3A">
        <w:rPr>
          <w:rFonts w:ascii="Times New Roman" w:hAnsi="Times New Roman" w:cs="Times New Roman"/>
          <w:sz w:val="26"/>
          <w:szCs w:val="26"/>
        </w:rPr>
        <w:t xml:space="preserve">limit </w:t>
      </w:r>
      <w:r w:rsidRPr="00C80D3A">
        <w:rPr>
          <w:rFonts w:ascii="Times New Roman" w:hAnsi="Times New Roman" w:cs="Times New Roman"/>
          <w:sz w:val="26"/>
          <w:szCs w:val="26"/>
        </w:rPr>
        <w:t>for annual CAP credits, whether based on account type (</w:t>
      </w:r>
      <w:r w:rsidRPr="00C80D3A">
        <w:rPr>
          <w:rFonts w:ascii="Times New Roman" w:hAnsi="Times New Roman" w:cs="Times New Roman"/>
          <w:i/>
          <w:sz w:val="26"/>
          <w:szCs w:val="26"/>
        </w:rPr>
        <w:t>i.e</w:t>
      </w:r>
      <w:r w:rsidRPr="00C80D3A">
        <w:rPr>
          <w:rFonts w:ascii="Times New Roman" w:hAnsi="Times New Roman" w:cs="Times New Roman"/>
          <w:sz w:val="26"/>
          <w:szCs w:val="26"/>
        </w:rPr>
        <w:t>., heating or non-heating) or FPIG level and account type, is not practical given the changing costs of energy and differing energy needs of each service territory.  By approving increases in CAP limits that exceed the CAP Policy Statement</w:t>
      </w:r>
      <w:r w:rsidR="001529C6">
        <w:rPr>
          <w:rFonts w:ascii="Times New Roman" w:hAnsi="Times New Roman" w:cs="Times New Roman"/>
          <w:sz w:val="26"/>
          <w:szCs w:val="26"/>
        </w:rPr>
        <w:t>’</w:t>
      </w:r>
      <w:r w:rsidR="002D7884" w:rsidRPr="00C80D3A">
        <w:rPr>
          <w:rFonts w:ascii="Times New Roman" w:hAnsi="Times New Roman" w:cs="Times New Roman"/>
          <w:sz w:val="26"/>
          <w:szCs w:val="26"/>
        </w:rPr>
        <w:t>s</w:t>
      </w:r>
      <w:r w:rsidRPr="00C80D3A">
        <w:rPr>
          <w:rFonts w:ascii="Times New Roman" w:hAnsi="Times New Roman" w:cs="Times New Roman"/>
          <w:sz w:val="26"/>
          <w:szCs w:val="26"/>
        </w:rPr>
        <w:t xml:space="preserve"> recommend</w:t>
      </w:r>
      <w:r w:rsidR="009F1898" w:rsidRPr="00C80D3A">
        <w:rPr>
          <w:rFonts w:ascii="Times New Roman" w:hAnsi="Times New Roman" w:cs="Times New Roman"/>
          <w:sz w:val="26"/>
          <w:szCs w:val="26"/>
        </w:rPr>
        <w:t>ations</w:t>
      </w:r>
      <w:r w:rsidRPr="00C80D3A">
        <w:rPr>
          <w:rFonts w:ascii="Times New Roman" w:hAnsi="Times New Roman" w:cs="Times New Roman"/>
          <w:sz w:val="26"/>
          <w:szCs w:val="26"/>
        </w:rPr>
        <w:t xml:space="preserve">, the Commission has acknowledged that the limits established in 1992 are no longer </w:t>
      </w:r>
      <w:r w:rsidR="00376D22" w:rsidRPr="00C80D3A">
        <w:rPr>
          <w:rFonts w:ascii="Times New Roman" w:hAnsi="Times New Roman" w:cs="Times New Roman"/>
          <w:sz w:val="26"/>
          <w:szCs w:val="26"/>
        </w:rPr>
        <w:t xml:space="preserve">an </w:t>
      </w:r>
      <w:r w:rsidRPr="00C80D3A">
        <w:rPr>
          <w:rFonts w:ascii="Times New Roman" w:hAnsi="Times New Roman" w:cs="Times New Roman"/>
          <w:sz w:val="26"/>
          <w:szCs w:val="26"/>
        </w:rPr>
        <w:t xml:space="preserve">adequate </w:t>
      </w:r>
      <w:r w:rsidR="00376D22" w:rsidRPr="00C80D3A">
        <w:rPr>
          <w:rFonts w:ascii="Times New Roman" w:hAnsi="Times New Roman" w:cs="Times New Roman"/>
          <w:sz w:val="26"/>
          <w:szCs w:val="26"/>
        </w:rPr>
        <w:t xml:space="preserve">mechanism </w:t>
      </w:r>
      <w:r w:rsidRPr="00C80D3A">
        <w:rPr>
          <w:rFonts w:ascii="Times New Roman" w:hAnsi="Times New Roman" w:cs="Times New Roman"/>
          <w:sz w:val="26"/>
          <w:szCs w:val="26"/>
        </w:rPr>
        <w:t xml:space="preserve">to </w:t>
      </w:r>
      <w:r w:rsidR="00376D22" w:rsidRPr="00C80D3A">
        <w:rPr>
          <w:rFonts w:ascii="Times New Roman" w:hAnsi="Times New Roman" w:cs="Times New Roman"/>
          <w:sz w:val="26"/>
          <w:szCs w:val="26"/>
        </w:rPr>
        <w:t xml:space="preserve">address </w:t>
      </w:r>
      <w:r w:rsidR="00403EA7" w:rsidRPr="00C80D3A">
        <w:rPr>
          <w:rFonts w:ascii="Times New Roman" w:hAnsi="Times New Roman" w:cs="Times New Roman"/>
          <w:sz w:val="26"/>
          <w:szCs w:val="26"/>
        </w:rPr>
        <w:t xml:space="preserve">energy burdens and </w:t>
      </w:r>
      <w:r w:rsidRPr="00C80D3A">
        <w:rPr>
          <w:rFonts w:ascii="Times New Roman" w:hAnsi="Times New Roman" w:cs="Times New Roman"/>
          <w:sz w:val="26"/>
          <w:szCs w:val="26"/>
        </w:rPr>
        <w:t xml:space="preserve">affordability.  Amending the CAP Policy Statement with </w:t>
      </w:r>
      <w:r w:rsidR="00403EA7" w:rsidRPr="00C80D3A">
        <w:rPr>
          <w:rFonts w:ascii="Times New Roman" w:hAnsi="Times New Roman" w:cs="Times New Roman"/>
          <w:sz w:val="26"/>
          <w:szCs w:val="26"/>
        </w:rPr>
        <w:t xml:space="preserve">specific </w:t>
      </w:r>
      <w:r w:rsidRPr="00C80D3A">
        <w:rPr>
          <w:rFonts w:ascii="Times New Roman" w:hAnsi="Times New Roman" w:cs="Times New Roman"/>
          <w:sz w:val="26"/>
          <w:szCs w:val="26"/>
        </w:rPr>
        <w:t xml:space="preserve">new limits would only result in the same situation over time.  Instead, </w:t>
      </w:r>
      <w:r w:rsidR="00DA7D17" w:rsidRPr="00C80D3A">
        <w:rPr>
          <w:rFonts w:ascii="Times New Roman" w:hAnsi="Times New Roman" w:cs="Times New Roman"/>
          <w:sz w:val="26"/>
          <w:szCs w:val="26"/>
        </w:rPr>
        <w:t xml:space="preserve">we </w:t>
      </w:r>
      <w:r w:rsidR="008C3334" w:rsidRPr="00C80D3A">
        <w:rPr>
          <w:rFonts w:ascii="Times New Roman" w:hAnsi="Times New Roman" w:cs="Times New Roman"/>
          <w:sz w:val="26"/>
          <w:szCs w:val="26"/>
        </w:rPr>
        <w:t xml:space="preserve">find that it is </w:t>
      </w:r>
      <w:r w:rsidR="00F248E2" w:rsidRPr="00C80D3A">
        <w:rPr>
          <w:rFonts w:ascii="Times New Roman" w:hAnsi="Times New Roman" w:cs="Times New Roman"/>
          <w:sz w:val="26"/>
          <w:szCs w:val="26"/>
        </w:rPr>
        <w:t xml:space="preserve">reasonable to </w:t>
      </w:r>
      <w:r w:rsidRPr="00C80D3A">
        <w:rPr>
          <w:rFonts w:ascii="Times New Roman" w:hAnsi="Times New Roman" w:cs="Times New Roman"/>
          <w:sz w:val="26"/>
          <w:szCs w:val="26"/>
        </w:rPr>
        <w:t xml:space="preserve">allow utilities to </w:t>
      </w:r>
      <w:r w:rsidR="00403EA7" w:rsidRPr="00C80D3A">
        <w:rPr>
          <w:rFonts w:ascii="Times New Roman" w:hAnsi="Times New Roman" w:cs="Times New Roman"/>
          <w:sz w:val="26"/>
          <w:szCs w:val="26"/>
        </w:rPr>
        <w:t xml:space="preserve">establish and </w:t>
      </w:r>
      <w:r w:rsidRPr="00C80D3A">
        <w:rPr>
          <w:rFonts w:ascii="Times New Roman" w:hAnsi="Times New Roman" w:cs="Times New Roman"/>
          <w:sz w:val="26"/>
          <w:szCs w:val="26"/>
        </w:rPr>
        <w:t xml:space="preserve">propose changes to their CAP credit limits, </w:t>
      </w:r>
      <w:r w:rsidR="00F248E2" w:rsidRPr="00C80D3A">
        <w:rPr>
          <w:rFonts w:ascii="Times New Roman" w:hAnsi="Times New Roman" w:cs="Times New Roman"/>
          <w:sz w:val="26"/>
          <w:szCs w:val="26"/>
        </w:rPr>
        <w:t>subject to justification on the record</w:t>
      </w:r>
      <w:r w:rsidRPr="00C80D3A">
        <w:rPr>
          <w:rFonts w:ascii="Times New Roman" w:hAnsi="Times New Roman" w:cs="Times New Roman"/>
          <w:sz w:val="26"/>
          <w:szCs w:val="26"/>
        </w:rPr>
        <w:t>, as part of their USECP</w:t>
      </w:r>
      <w:r w:rsidR="002322EE" w:rsidRPr="00C80D3A">
        <w:rPr>
          <w:rFonts w:ascii="Times New Roman" w:hAnsi="Times New Roman" w:cs="Times New Roman"/>
          <w:sz w:val="26"/>
          <w:szCs w:val="26"/>
        </w:rPr>
        <w:t>s</w:t>
      </w:r>
      <w:r w:rsidRPr="00C80D3A">
        <w:rPr>
          <w:rFonts w:ascii="Times New Roman" w:hAnsi="Times New Roman" w:cs="Times New Roman"/>
          <w:sz w:val="26"/>
          <w:szCs w:val="26"/>
        </w:rPr>
        <w:t>.  This w</w:t>
      </w:r>
      <w:r w:rsidR="00DA7D17" w:rsidRPr="00C80D3A">
        <w:rPr>
          <w:rFonts w:ascii="Times New Roman" w:hAnsi="Times New Roman" w:cs="Times New Roman"/>
          <w:sz w:val="26"/>
          <w:szCs w:val="26"/>
        </w:rPr>
        <w:t>ill</w:t>
      </w:r>
      <w:r w:rsidRPr="00C80D3A">
        <w:rPr>
          <w:rFonts w:ascii="Times New Roman" w:hAnsi="Times New Roman" w:cs="Times New Roman"/>
          <w:sz w:val="26"/>
          <w:szCs w:val="26"/>
        </w:rPr>
        <w:t xml:space="preserve"> give </w:t>
      </w:r>
      <w:r w:rsidR="003D5A51" w:rsidRPr="00C80D3A">
        <w:rPr>
          <w:rFonts w:ascii="Times New Roman" w:hAnsi="Times New Roman" w:cs="Times New Roman"/>
          <w:sz w:val="26"/>
          <w:szCs w:val="26"/>
        </w:rPr>
        <w:t xml:space="preserve">a </w:t>
      </w:r>
      <w:r w:rsidRPr="00C80D3A">
        <w:rPr>
          <w:rFonts w:ascii="Times New Roman" w:hAnsi="Times New Roman" w:cs="Times New Roman"/>
          <w:sz w:val="26"/>
          <w:szCs w:val="26"/>
        </w:rPr>
        <w:t>utilit</w:t>
      </w:r>
      <w:r w:rsidR="003D5A51" w:rsidRPr="00C80D3A">
        <w:rPr>
          <w:rFonts w:ascii="Times New Roman" w:hAnsi="Times New Roman" w:cs="Times New Roman"/>
          <w:sz w:val="26"/>
          <w:szCs w:val="26"/>
        </w:rPr>
        <w:t>y</w:t>
      </w:r>
      <w:r w:rsidRPr="00C80D3A">
        <w:rPr>
          <w:rFonts w:ascii="Times New Roman" w:hAnsi="Times New Roman" w:cs="Times New Roman"/>
          <w:sz w:val="26"/>
          <w:szCs w:val="26"/>
        </w:rPr>
        <w:t xml:space="preserve"> </w:t>
      </w:r>
      <w:r w:rsidR="008F6E76" w:rsidRPr="00C80D3A">
        <w:rPr>
          <w:rFonts w:ascii="Times New Roman" w:hAnsi="Times New Roman" w:cs="Times New Roman"/>
          <w:sz w:val="26"/>
          <w:szCs w:val="26"/>
        </w:rPr>
        <w:t xml:space="preserve">and stakeholders the </w:t>
      </w:r>
      <w:r w:rsidRPr="00C80D3A">
        <w:rPr>
          <w:rFonts w:ascii="Times New Roman" w:hAnsi="Times New Roman" w:cs="Times New Roman"/>
          <w:sz w:val="26"/>
          <w:szCs w:val="26"/>
        </w:rPr>
        <w:t xml:space="preserve">flexibility to </w:t>
      </w:r>
      <w:r w:rsidR="002322EE" w:rsidRPr="00C80D3A">
        <w:rPr>
          <w:rFonts w:ascii="Times New Roman" w:hAnsi="Times New Roman" w:cs="Times New Roman"/>
          <w:sz w:val="26"/>
          <w:szCs w:val="26"/>
        </w:rPr>
        <w:t xml:space="preserve">adapt </w:t>
      </w:r>
      <w:r w:rsidRPr="00C80D3A">
        <w:rPr>
          <w:rFonts w:ascii="Times New Roman" w:hAnsi="Times New Roman" w:cs="Times New Roman"/>
          <w:sz w:val="26"/>
          <w:szCs w:val="26"/>
        </w:rPr>
        <w:t xml:space="preserve">the limits based on the energy costs and needs </w:t>
      </w:r>
      <w:r w:rsidR="008F6E76" w:rsidRPr="00C80D3A">
        <w:rPr>
          <w:rFonts w:ascii="Times New Roman" w:hAnsi="Times New Roman" w:cs="Times New Roman"/>
          <w:sz w:val="26"/>
          <w:szCs w:val="26"/>
        </w:rPr>
        <w:t>in the utility</w:t>
      </w:r>
      <w:r w:rsidR="001529C6">
        <w:rPr>
          <w:rFonts w:ascii="Times New Roman" w:hAnsi="Times New Roman" w:cs="Times New Roman"/>
          <w:sz w:val="26"/>
          <w:szCs w:val="26"/>
        </w:rPr>
        <w:t>’</w:t>
      </w:r>
      <w:r w:rsidR="008F6E76" w:rsidRPr="00C80D3A">
        <w:rPr>
          <w:rFonts w:ascii="Times New Roman" w:hAnsi="Times New Roman" w:cs="Times New Roman"/>
          <w:sz w:val="26"/>
          <w:szCs w:val="26"/>
        </w:rPr>
        <w:t>s</w:t>
      </w:r>
      <w:r w:rsidRPr="00C80D3A">
        <w:rPr>
          <w:rFonts w:ascii="Times New Roman" w:hAnsi="Times New Roman" w:cs="Times New Roman"/>
          <w:sz w:val="26"/>
          <w:szCs w:val="26"/>
        </w:rPr>
        <w:t xml:space="preserve"> service territor</w:t>
      </w:r>
      <w:r w:rsidR="008F6E76" w:rsidRPr="00C80D3A">
        <w:rPr>
          <w:rFonts w:ascii="Times New Roman" w:hAnsi="Times New Roman" w:cs="Times New Roman"/>
          <w:sz w:val="26"/>
          <w:szCs w:val="26"/>
        </w:rPr>
        <w:t>y</w:t>
      </w:r>
      <w:r w:rsidRPr="00C80D3A">
        <w:rPr>
          <w:rFonts w:ascii="Times New Roman" w:hAnsi="Times New Roman" w:cs="Times New Roman"/>
          <w:sz w:val="26"/>
          <w:szCs w:val="26"/>
        </w:rPr>
        <w:t>.</w:t>
      </w:r>
    </w:p>
    <w:p w14:paraId="0891E0AB" w14:textId="77777777" w:rsidR="00220F3D" w:rsidRPr="00C80D3A" w:rsidRDefault="00220F3D" w:rsidP="00315DBC">
      <w:pPr>
        <w:spacing w:after="0" w:line="360" w:lineRule="auto"/>
        <w:contextualSpacing/>
        <w:rPr>
          <w:rFonts w:ascii="Times New Roman" w:hAnsi="Times New Roman" w:cs="Times New Roman"/>
          <w:sz w:val="26"/>
          <w:szCs w:val="26"/>
        </w:rPr>
      </w:pPr>
    </w:p>
    <w:p w14:paraId="1DA6F6D1" w14:textId="0C62339F"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0D50E3" w:rsidRPr="00C80D3A">
        <w:rPr>
          <w:rFonts w:ascii="Times New Roman" w:hAnsi="Times New Roman" w:cs="Times New Roman"/>
          <w:sz w:val="26"/>
          <w:szCs w:val="26"/>
        </w:rPr>
        <w:t>We</w:t>
      </w:r>
      <w:r w:rsidRPr="00C80D3A">
        <w:rPr>
          <w:rFonts w:ascii="Times New Roman" w:hAnsi="Times New Roman" w:cs="Times New Roman"/>
          <w:sz w:val="26"/>
          <w:szCs w:val="26"/>
        </w:rPr>
        <w:t xml:space="preserve"> also </w:t>
      </w:r>
      <w:r w:rsidR="00B80E69" w:rsidRPr="00C80D3A">
        <w:rPr>
          <w:rFonts w:ascii="Times New Roman" w:hAnsi="Times New Roman" w:cs="Times New Roman"/>
          <w:sz w:val="26"/>
          <w:szCs w:val="26"/>
        </w:rPr>
        <w:t xml:space="preserve">find that </w:t>
      </w:r>
      <w:r w:rsidRPr="00C80D3A">
        <w:rPr>
          <w:rFonts w:ascii="Times New Roman" w:hAnsi="Times New Roman" w:cs="Times New Roman"/>
          <w:sz w:val="26"/>
          <w:szCs w:val="26"/>
        </w:rPr>
        <w:t>the tiered CAP credit limit approach adopted by PECO and PPL</w:t>
      </w:r>
      <w:r w:rsidR="00B80E69" w:rsidRPr="00C80D3A">
        <w:rPr>
          <w:rFonts w:ascii="Times New Roman" w:hAnsi="Times New Roman" w:cs="Times New Roman"/>
          <w:sz w:val="26"/>
          <w:szCs w:val="26"/>
        </w:rPr>
        <w:t xml:space="preserve"> </w:t>
      </w:r>
      <w:r w:rsidR="0005756F" w:rsidRPr="00C80D3A">
        <w:rPr>
          <w:rFonts w:ascii="Times New Roman" w:hAnsi="Times New Roman" w:cs="Times New Roman"/>
          <w:sz w:val="26"/>
          <w:szCs w:val="26"/>
        </w:rPr>
        <w:t xml:space="preserve">results in </w:t>
      </w:r>
      <w:r w:rsidR="00A065B3" w:rsidRPr="00C80D3A">
        <w:rPr>
          <w:rFonts w:ascii="Times New Roman" w:hAnsi="Times New Roman" w:cs="Times New Roman"/>
          <w:sz w:val="26"/>
          <w:szCs w:val="26"/>
        </w:rPr>
        <w:t>more equitable outcomes</w:t>
      </w:r>
      <w:r w:rsidRPr="00C80D3A">
        <w:rPr>
          <w:rFonts w:ascii="Times New Roman" w:hAnsi="Times New Roman" w:cs="Times New Roman"/>
          <w:sz w:val="26"/>
          <w:szCs w:val="26"/>
        </w:rPr>
        <w:t>.  This approach affords customers the opportunity to receive higher or lower maximum credit amounts based on their FPIG level tier (</w:t>
      </w:r>
      <w:r w:rsidRPr="00C80D3A">
        <w:rPr>
          <w:rFonts w:ascii="Times New Roman" w:hAnsi="Times New Roman" w:cs="Times New Roman"/>
          <w:i/>
          <w:sz w:val="26"/>
          <w:szCs w:val="26"/>
        </w:rPr>
        <w:t>i.e</w:t>
      </w:r>
      <w:r w:rsidRPr="00C80D3A">
        <w:rPr>
          <w:rFonts w:ascii="Times New Roman" w:hAnsi="Times New Roman" w:cs="Times New Roman"/>
          <w:sz w:val="26"/>
          <w:szCs w:val="26"/>
        </w:rPr>
        <w:t>., 0</w:t>
      </w:r>
      <w:r w:rsidR="00AD3EE1" w:rsidRPr="00C80D3A">
        <w:rPr>
          <w:rFonts w:ascii="Times New Roman" w:hAnsi="Times New Roman" w:cs="Times New Roman"/>
          <w:sz w:val="26"/>
          <w:szCs w:val="26"/>
        </w:rPr>
        <w:noBreakHyphen/>
      </w:r>
      <w:r w:rsidRPr="00C80D3A">
        <w:rPr>
          <w:rFonts w:ascii="Times New Roman" w:hAnsi="Times New Roman" w:cs="Times New Roman"/>
          <w:sz w:val="26"/>
          <w:szCs w:val="26"/>
        </w:rPr>
        <w:t>50%, 51-100%, 101</w:t>
      </w:r>
      <w:r w:rsidRPr="00C80D3A">
        <w:rPr>
          <w:rFonts w:ascii="Times New Roman" w:hAnsi="Times New Roman" w:cs="Times New Roman"/>
          <w:sz w:val="26"/>
          <w:szCs w:val="26"/>
        </w:rPr>
        <w:noBreakHyphen/>
        <w:t>150%) and their electric heat</w:t>
      </w:r>
      <w:r w:rsidR="004120AC">
        <w:rPr>
          <w:rFonts w:ascii="Times New Roman" w:hAnsi="Times New Roman" w:cs="Times New Roman"/>
          <w:sz w:val="26"/>
          <w:szCs w:val="26"/>
        </w:rPr>
        <w:t>ing</w:t>
      </w:r>
      <w:r w:rsidRPr="00C80D3A">
        <w:rPr>
          <w:rFonts w:ascii="Times New Roman" w:hAnsi="Times New Roman" w:cs="Times New Roman"/>
          <w:sz w:val="26"/>
          <w:szCs w:val="26"/>
        </w:rPr>
        <w:t xml:space="preserve"> and </w:t>
      </w:r>
      <w:r w:rsidR="00E45A95">
        <w:rPr>
          <w:rFonts w:ascii="Times New Roman" w:hAnsi="Times New Roman" w:cs="Times New Roman"/>
          <w:sz w:val="26"/>
          <w:szCs w:val="26"/>
        </w:rPr>
        <w:t>elect</w:t>
      </w:r>
      <w:r w:rsidR="00A36903">
        <w:rPr>
          <w:rFonts w:ascii="Times New Roman" w:hAnsi="Times New Roman" w:cs="Times New Roman"/>
          <w:sz w:val="26"/>
          <w:szCs w:val="26"/>
        </w:rPr>
        <w:t>r</w:t>
      </w:r>
      <w:r w:rsidR="00E45A95">
        <w:rPr>
          <w:rFonts w:ascii="Times New Roman" w:hAnsi="Times New Roman" w:cs="Times New Roman"/>
          <w:sz w:val="26"/>
          <w:szCs w:val="26"/>
        </w:rPr>
        <w:t xml:space="preserve">ic </w:t>
      </w:r>
      <w:r w:rsidR="000E59DA">
        <w:rPr>
          <w:rFonts w:ascii="Times New Roman" w:hAnsi="Times New Roman" w:cs="Times New Roman"/>
          <w:sz w:val="26"/>
          <w:szCs w:val="26"/>
        </w:rPr>
        <w:t>non-</w:t>
      </w:r>
      <w:r w:rsidRPr="00C80D3A">
        <w:rPr>
          <w:rFonts w:ascii="Times New Roman" w:hAnsi="Times New Roman" w:cs="Times New Roman"/>
          <w:sz w:val="26"/>
          <w:szCs w:val="26"/>
        </w:rPr>
        <w:t>heat</w:t>
      </w:r>
      <w:r w:rsidR="004120AC">
        <w:rPr>
          <w:rFonts w:ascii="Times New Roman" w:hAnsi="Times New Roman" w:cs="Times New Roman"/>
          <w:sz w:val="26"/>
          <w:szCs w:val="26"/>
        </w:rPr>
        <w:t>ing</w:t>
      </w:r>
      <w:r w:rsidRPr="00C80D3A">
        <w:rPr>
          <w:rFonts w:ascii="Times New Roman" w:hAnsi="Times New Roman" w:cs="Times New Roman"/>
          <w:sz w:val="26"/>
          <w:szCs w:val="26"/>
        </w:rPr>
        <w:t xml:space="preserve"> status.  This method redirects subsidies to the lowest-income customers that need the most aid to pay their electric bills.</w:t>
      </w:r>
    </w:p>
    <w:p w14:paraId="29577B75" w14:textId="77777777" w:rsidR="00506216" w:rsidRPr="00C80D3A" w:rsidRDefault="00506216" w:rsidP="00315DBC">
      <w:pPr>
        <w:spacing w:after="0" w:line="360" w:lineRule="auto"/>
        <w:contextualSpacing/>
        <w:rPr>
          <w:rFonts w:ascii="Times New Roman" w:hAnsi="Times New Roman" w:cs="Times New Roman"/>
          <w:sz w:val="26"/>
          <w:szCs w:val="26"/>
        </w:rPr>
      </w:pPr>
    </w:p>
    <w:p w14:paraId="1C27EE94" w14:textId="06480475"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Finally, </w:t>
      </w:r>
      <w:r w:rsidR="00EA4EAA" w:rsidRPr="00C80D3A">
        <w:rPr>
          <w:rFonts w:ascii="Times New Roman" w:hAnsi="Times New Roman" w:cs="Times New Roman"/>
          <w:sz w:val="26"/>
          <w:szCs w:val="26"/>
        </w:rPr>
        <w:t>the Commission</w:t>
      </w:r>
      <w:r w:rsidRPr="00C80D3A">
        <w:rPr>
          <w:rFonts w:ascii="Times New Roman" w:hAnsi="Times New Roman" w:cs="Times New Roman"/>
          <w:sz w:val="26"/>
          <w:szCs w:val="26"/>
        </w:rPr>
        <w:t xml:space="preserve"> agrees with OCA that CAP households should be notified when they are approaching their CAP credit limits and </w:t>
      </w:r>
      <w:r w:rsidR="00CC2E35" w:rsidRPr="00C80D3A">
        <w:rPr>
          <w:rFonts w:ascii="Times New Roman" w:hAnsi="Times New Roman" w:cs="Times New Roman"/>
          <w:sz w:val="26"/>
          <w:szCs w:val="26"/>
        </w:rPr>
        <w:t xml:space="preserve">should be </w:t>
      </w:r>
      <w:r w:rsidRPr="00C80D3A">
        <w:rPr>
          <w:rFonts w:ascii="Times New Roman" w:hAnsi="Times New Roman" w:cs="Times New Roman"/>
          <w:sz w:val="26"/>
          <w:szCs w:val="26"/>
        </w:rPr>
        <w:t xml:space="preserve">made aware of the exceptions to the CAP credit limits listed in </w:t>
      </w:r>
      <w:r w:rsidR="00E46A47" w:rsidRPr="00C80D3A">
        <w:rPr>
          <w:rFonts w:ascii="Times New Roman" w:hAnsi="Times New Roman" w:cs="Times New Roman"/>
          <w:sz w:val="26"/>
          <w:szCs w:val="26"/>
        </w:rPr>
        <w:t>the CAP Policy Statement</w:t>
      </w:r>
      <w:r w:rsidRPr="00C80D3A">
        <w:rPr>
          <w:rFonts w:ascii="Times New Roman" w:hAnsi="Times New Roman" w:cs="Times New Roman"/>
          <w:sz w:val="26"/>
          <w:szCs w:val="26"/>
        </w:rPr>
        <w:t xml:space="preserve">.  Customers should be instructed to contact the utility if they meet any of the exemptions so that a </w:t>
      </w:r>
      <w:r w:rsidR="00CC2E35" w:rsidRPr="00C80D3A">
        <w:rPr>
          <w:rFonts w:ascii="Times New Roman" w:hAnsi="Times New Roman" w:cs="Times New Roman"/>
          <w:sz w:val="26"/>
          <w:szCs w:val="26"/>
        </w:rPr>
        <w:t xml:space="preserve">suspension </w:t>
      </w:r>
      <w:r w:rsidRPr="00C80D3A">
        <w:rPr>
          <w:rFonts w:ascii="Times New Roman" w:hAnsi="Times New Roman" w:cs="Times New Roman"/>
          <w:sz w:val="26"/>
          <w:szCs w:val="26"/>
        </w:rPr>
        <w:t xml:space="preserve">of these CAP credit limits </w:t>
      </w:r>
      <w:r w:rsidR="00D35363">
        <w:rPr>
          <w:rFonts w:ascii="Times New Roman" w:hAnsi="Times New Roman" w:cs="Times New Roman"/>
          <w:sz w:val="26"/>
          <w:szCs w:val="26"/>
        </w:rPr>
        <w:t xml:space="preserve">or consumption limits </w:t>
      </w:r>
      <w:r w:rsidRPr="00C80D3A">
        <w:rPr>
          <w:rFonts w:ascii="Times New Roman" w:hAnsi="Times New Roman" w:cs="Times New Roman"/>
          <w:sz w:val="26"/>
          <w:szCs w:val="26"/>
        </w:rPr>
        <w:t xml:space="preserve">may be considered.  Utilities should also refer these households to LIURP, if eligible.  These actions will provide these households with an opportunity to either reduce their energy usage and/or apply for an exception to the CAP credit limits before they exceed their maximum benefit level.  </w:t>
      </w:r>
    </w:p>
    <w:p w14:paraId="162E807B" w14:textId="77777777" w:rsidR="004D334F" w:rsidRPr="00C80D3A" w:rsidRDefault="004D334F" w:rsidP="00315DBC">
      <w:pPr>
        <w:spacing w:after="0" w:line="360" w:lineRule="auto"/>
        <w:contextualSpacing/>
        <w:rPr>
          <w:rFonts w:ascii="Times New Roman" w:hAnsi="Times New Roman" w:cs="Times New Roman"/>
          <w:sz w:val="26"/>
          <w:szCs w:val="26"/>
        </w:rPr>
      </w:pPr>
    </w:p>
    <w:p w14:paraId="109997EA" w14:textId="50079DE0" w:rsidR="00897787" w:rsidRDefault="006C13F0" w:rsidP="001C4093">
      <w:pPr>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sz w:val="26"/>
          <w:szCs w:val="26"/>
        </w:rPr>
        <w:t>Resolution</w:t>
      </w:r>
      <w:r w:rsidR="00506216" w:rsidRPr="00A20145">
        <w:rPr>
          <w:rFonts w:ascii="Times New Roman" w:hAnsi="Times New Roman" w:cs="Times New Roman"/>
          <w:b/>
          <w:bCs/>
          <w:sz w:val="26"/>
          <w:szCs w:val="26"/>
        </w:rPr>
        <w:t xml:space="preserve">: </w:t>
      </w:r>
      <w:r w:rsidR="00897787" w:rsidRPr="00A20145">
        <w:rPr>
          <w:rFonts w:ascii="Times New Roman" w:hAnsi="Times New Roman" w:cs="Times New Roman"/>
          <w:b/>
          <w:bCs/>
          <w:sz w:val="26"/>
          <w:szCs w:val="26"/>
        </w:rPr>
        <w:t>Amend Section 69.265(3)(v) – Maximum CAP credits.</w:t>
      </w:r>
    </w:p>
    <w:p w14:paraId="4F408765" w14:textId="77777777" w:rsidR="001C4093" w:rsidRPr="00A20145" w:rsidRDefault="001C4093" w:rsidP="009A3B4B">
      <w:pPr>
        <w:spacing w:after="0" w:line="240" w:lineRule="auto"/>
        <w:contextualSpacing/>
        <w:rPr>
          <w:rFonts w:ascii="Times New Roman" w:hAnsi="Times New Roman" w:cs="Times New Roman"/>
          <w:b/>
          <w:bCs/>
          <w:sz w:val="26"/>
          <w:szCs w:val="26"/>
        </w:rPr>
      </w:pPr>
    </w:p>
    <w:p w14:paraId="4F2035B3" w14:textId="1242584D" w:rsidR="00506216" w:rsidRPr="00C80D3A" w:rsidRDefault="00897787"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506216" w:rsidRPr="00C80D3A">
        <w:rPr>
          <w:rFonts w:ascii="Times New Roman" w:hAnsi="Times New Roman" w:cs="Times New Roman"/>
          <w:sz w:val="26"/>
          <w:szCs w:val="26"/>
        </w:rPr>
        <w:t xml:space="preserve">Based on the reasons cited above, </w:t>
      </w:r>
      <w:r w:rsidR="007423DC" w:rsidRPr="00C80D3A">
        <w:rPr>
          <w:rFonts w:ascii="Times New Roman" w:hAnsi="Times New Roman" w:cs="Times New Roman"/>
          <w:sz w:val="26"/>
          <w:szCs w:val="26"/>
        </w:rPr>
        <w:t xml:space="preserve">this Order </w:t>
      </w:r>
      <w:r w:rsidR="004D334F" w:rsidRPr="00C80D3A">
        <w:rPr>
          <w:rFonts w:ascii="Times New Roman" w:hAnsi="Times New Roman" w:cs="Times New Roman"/>
          <w:sz w:val="26"/>
          <w:szCs w:val="26"/>
        </w:rPr>
        <w:t xml:space="preserve">amends </w:t>
      </w:r>
      <w:r w:rsidR="007423DC" w:rsidRPr="00C80D3A">
        <w:rPr>
          <w:rFonts w:ascii="Times New Roman" w:hAnsi="Times New Roman" w:cs="Times New Roman"/>
          <w:sz w:val="26"/>
          <w:szCs w:val="26"/>
        </w:rPr>
        <w:t xml:space="preserve">the CAP Policy Statement </w:t>
      </w:r>
      <w:r w:rsidRPr="00C80D3A">
        <w:rPr>
          <w:rFonts w:ascii="Times New Roman" w:hAnsi="Times New Roman" w:cs="Times New Roman"/>
          <w:sz w:val="26"/>
          <w:szCs w:val="26"/>
        </w:rPr>
        <w:t>at Sectio</w:t>
      </w:r>
      <w:r w:rsidR="00113B03" w:rsidRPr="00C80D3A">
        <w:rPr>
          <w:rFonts w:ascii="Times New Roman" w:hAnsi="Times New Roman" w:cs="Times New Roman"/>
          <w:sz w:val="26"/>
          <w:szCs w:val="26"/>
        </w:rPr>
        <w:t>n</w:t>
      </w:r>
      <w:r w:rsidRPr="00C80D3A">
        <w:rPr>
          <w:rFonts w:ascii="Times New Roman" w:hAnsi="Times New Roman" w:cs="Times New Roman"/>
          <w:sz w:val="26"/>
          <w:szCs w:val="26"/>
        </w:rPr>
        <w:t xml:space="preserve"> 69.265(3)(v) </w:t>
      </w:r>
      <w:r w:rsidR="007423DC" w:rsidRPr="00C80D3A">
        <w:rPr>
          <w:rFonts w:ascii="Times New Roman" w:hAnsi="Times New Roman" w:cs="Times New Roman"/>
          <w:sz w:val="26"/>
          <w:szCs w:val="26"/>
        </w:rPr>
        <w:t xml:space="preserve">as indicated in </w:t>
      </w:r>
      <w:r w:rsidR="00A23FAD" w:rsidRPr="00C80D3A">
        <w:rPr>
          <w:rFonts w:ascii="Times New Roman" w:hAnsi="Times New Roman" w:cs="Times New Roman"/>
          <w:sz w:val="26"/>
          <w:szCs w:val="26"/>
        </w:rPr>
        <w:t>Annex</w:t>
      </w:r>
      <w:r w:rsidR="007423DC" w:rsidRPr="00C80D3A">
        <w:rPr>
          <w:rFonts w:ascii="Times New Roman" w:hAnsi="Times New Roman" w:cs="Times New Roman"/>
          <w:sz w:val="26"/>
          <w:szCs w:val="26"/>
        </w:rPr>
        <w:t xml:space="preserve"> </w:t>
      </w:r>
      <w:r w:rsidR="005704DB" w:rsidRPr="00C80D3A">
        <w:rPr>
          <w:rFonts w:ascii="Times New Roman" w:hAnsi="Times New Roman" w:cs="Times New Roman"/>
          <w:sz w:val="26"/>
          <w:szCs w:val="26"/>
        </w:rPr>
        <w:t xml:space="preserve">A </w:t>
      </w:r>
      <w:r w:rsidR="007423DC" w:rsidRPr="00C80D3A">
        <w:rPr>
          <w:rFonts w:ascii="Times New Roman" w:hAnsi="Times New Roman" w:cs="Times New Roman"/>
          <w:sz w:val="26"/>
          <w:szCs w:val="26"/>
        </w:rPr>
        <w:t xml:space="preserve">to address </w:t>
      </w:r>
      <w:r w:rsidR="00C411EE" w:rsidRPr="00C80D3A">
        <w:rPr>
          <w:rFonts w:ascii="Times New Roman" w:hAnsi="Times New Roman" w:cs="Times New Roman"/>
          <w:sz w:val="26"/>
          <w:szCs w:val="26"/>
        </w:rPr>
        <w:t>CAP credit limits.</w:t>
      </w:r>
      <w:r w:rsidR="007423DC" w:rsidRPr="00C80D3A">
        <w:rPr>
          <w:rFonts w:ascii="Times New Roman" w:hAnsi="Times New Roman" w:cs="Times New Roman"/>
          <w:sz w:val="26"/>
          <w:szCs w:val="26"/>
        </w:rPr>
        <w:t xml:space="preserve">  </w:t>
      </w:r>
      <w:r w:rsidR="00506216" w:rsidRPr="00C80D3A">
        <w:rPr>
          <w:rFonts w:ascii="Times New Roman" w:hAnsi="Times New Roman" w:cs="Times New Roman"/>
          <w:sz w:val="26"/>
          <w:szCs w:val="26"/>
        </w:rPr>
        <w:t>CAP credit</w:t>
      </w:r>
      <w:r w:rsidR="004C0C83" w:rsidRPr="00C80D3A">
        <w:rPr>
          <w:rFonts w:ascii="Times New Roman" w:hAnsi="Times New Roman" w:cs="Times New Roman"/>
          <w:sz w:val="26"/>
          <w:szCs w:val="26"/>
        </w:rPr>
        <w:t xml:space="preserve"> limits</w:t>
      </w:r>
      <w:r w:rsidR="00E65E2A" w:rsidRPr="00C80D3A">
        <w:rPr>
          <w:rFonts w:ascii="Times New Roman" w:hAnsi="Times New Roman" w:cs="Times New Roman"/>
          <w:sz w:val="26"/>
          <w:szCs w:val="26"/>
        </w:rPr>
        <w:t xml:space="preserve">, if appropriate, </w:t>
      </w:r>
      <w:r w:rsidR="00D6615F" w:rsidRPr="00C80D3A">
        <w:rPr>
          <w:rFonts w:ascii="Times New Roman" w:hAnsi="Times New Roman" w:cs="Times New Roman"/>
          <w:sz w:val="26"/>
          <w:szCs w:val="26"/>
        </w:rPr>
        <w:t xml:space="preserve">should </w:t>
      </w:r>
      <w:r w:rsidR="00506216" w:rsidRPr="00C80D3A">
        <w:rPr>
          <w:rFonts w:ascii="Times New Roman" w:hAnsi="Times New Roman" w:cs="Times New Roman"/>
          <w:sz w:val="26"/>
          <w:szCs w:val="26"/>
        </w:rPr>
        <w:t xml:space="preserve">be established in </w:t>
      </w:r>
      <w:r w:rsidR="0046597B" w:rsidRPr="00C80D3A">
        <w:rPr>
          <w:rFonts w:ascii="Times New Roman" w:hAnsi="Times New Roman" w:cs="Times New Roman"/>
          <w:sz w:val="26"/>
          <w:szCs w:val="26"/>
        </w:rPr>
        <w:t xml:space="preserve">utility-specific </w:t>
      </w:r>
      <w:r w:rsidR="00506216" w:rsidRPr="00C80D3A">
        <w:rPr>
          <w:rFonts w:ascii="Times New Roman" w:hAnsi="Times New Roman" w:cs="Times New Roman"/>
          <w:sz w:val="26"/>
          <w:szCs w:val="26"/>
        </w:rPr>
        <w:t xml:space="preserve">USECPs </w:t>
      </w:r>
      <w:r w:rsidR="00B271D3" w:rsidRPr="00C80D3A">
        <w:rPr>
          <w:rFonts w:ascii="Times New Roman" w:hAnsi="Times New Roman" w:cs="Times New Roman"/>
          <w:sz w:val="26"/>
          <w:szCs w:val="26"/>
        </w:rPr>
        <w:t xml:space="preserve">rather than generically.  </w:t>
      </w:r>
      <w:r w:rsidR="002A2C2E" w:rsidRPr="00C80D3A">
        <w:rPr>
          <w:rFonts w:ascii="Times New Roman" w:hAnsi="Times New Roman" w:cs="Times New Roman"/>
          <w:sz w:val="26"/>
          <w:szCs w:val="26"/>
        </w:rPr>
        <w:t xml:space="preserve">Utilities will be expected to predicate any proposal for CAP credit limits </w:t>
      </w:r>
      <w:r w:rsidR="001052F0" w:rsidRPr="00C80D3A">
        <w:rPr>
          <w:rFonts w:ascii="Times New Roman" w:hAnsi="Times New Roman" w:cs="Times New Roman"/>
          <w:sz w:val="26"/>
          <w:szCs w:val="26"/>
        </w:rPr>
        <w:t xml:space="preserve">on </w:t>
      </w:r>
      <w:r w:rsidR="00506216" w:rsidRPr="00C80D3A">
        <w:rPr>
          <w:rFonts w:ascii="Times New Roman" w:hAnsi="Times New Roman" w:cs="Times New Roman"/>
          <w:sz w:val="26"/>
          <w:szCs w:val="26"/>
        </w:rPr>
        <w:t>a tiered structure based on the household</w:t>
      </w:r>
      <w:r w:rsidR="001529C6">
        <w:rPr>
          <w:rFonts w:ascii="Times New Roman" w:hAnsi="Times New Roman" w:cs="Times New Roman"/>
          <w:sz w:val="26"/>
          <w:szCs w:val="26"/>
        </w:rPr>
        <w:t>’</w:t>
      </w:r>
      <w:r w:rsidR="00506216" w:rsidRPr="00C80D3A">
        <w:rPr>
          <w:rFonts w:ascii="Times New Roman" w:hAnsi="Times New Roman" w:cs="Times New Roman"/>
          <w:sz w:val="26"/>
          <w:szCs w:val="26"/>
        </w:rPr>
        <w:t>s FPIG level (</w:t>
      </w:r>
      <w:r w:rsidR="00506216" w:rsidRPr="00C80D3A">
        <w:rPr>
          <w:rFonts w:ascii="Times New Roman" w:hAnsi="Times New Roman" w:cs="Times New Roman"/>
          <w:i/>
          <w:iCs/>
          <w:sz w:val="26"/>
          <w:szCs w:val="26"/>
        </w:rPr>
        <w:t>i.e.</w:t>
      </w:r>
      <w:r w:rsidR="00506216" w:rsidRPr="00C80D3A">
        <w:rPr>
          <w:rFonts w:ascii="Times New Roman" w:hAnsi="Times New Roman" w:cs="Times New Roman"/>
          <w:sz w:val="26"/>
          <w:szCs w:val="26"/>
        </w:rPr>
        <w:t>, 0-50%, 51</w:t>
      </w:r>
      <w:r w:rsidR="00C727B9" w:rsidRPr="00C80D3A">
        <w:rPr>
          <w:rFonts w:ascii="Times New Roman" w:hAnsi="Times New Roman" w:cs="Times New Roman"/>
          <w:sz w:val="26"/>
          <w:szCs w:val="26"/>
        </w:rPr>
        <w:noBreakHyphen/>
      </w:r>
      <w:r w:rsidR="00506216" w:rsidRPr="00C80D3A">
        <w:rPr>
          <w:rFonts w:ascii="Times New Roman" w:hAnsi="Times New Roman" w:cs="Times New Roman"/>
          <w:sz w:val="26"/>
          <w:szCs w:val="26"/>
        </w:rPr>
        <w:t>100%, and 101-150%</w:t>
      </w:r>
      <w:r w:rsidR="0046597B" w:rsidRPr="00C80D3A">
        <w:rPr>
          <w:rFonts w:ascii="Times New Roman" w:hAnsi="Times New Roman" w:cs="Times New Roman"/>
          <w:sz w:val="26"/>
          <w:szCs w:val="26"/>
        </w:rPr>
        <w:t xml:space="preserve"> of FPIG</w:t>
      </w:r>
      <w:r w:rsidR="00506216" w:rsidRPr="00C80D3A">
        <w:rPr>
          <w:rFonts w:ascii="Times New Roman" w:hAnsi="Times New Roman" w:cs="Times New Roman"/>
          <w:sz w:val="26"/>
          <w:szCs w:val="26"/>
        </w:rPr>
        <w:t xml:space="preserve">) which </w:t>
      </w:r>
      <w:r w:rsidR="00B4161D" w:rsidRPr="00C80D3A">
        <w:rPr>
          <w:rFonts w:ascii="Times New Roman" w:hAnsi="Times New Roman" w:cs="Times New Roman"/>
          <w:sz w:val="26"/>
          <w:szCs w:val="26"/>
        </w:rPr>
        <w:t xml:space="preserve">will </w:t>
      </w:r>
      <w:r w:rsidR="00506216" w:rsidRPr="00C80D3A">
        <w:rPr>
          <w:rFonts w:ascii="Times New Roman" w:hAnsi="Times New Roman" w:cs="Times New Roman"/>
          <w:sz w:val="26"/>
          <w:szCs w:val="26"/>
        </w:rPr>
        <w:t>allow lower income households to receive higher CAP credit limits.</w:t>
      </w:r>
      <w:r w:rsidR="001B3802" w:rsidRPr="00C80D3A">
        <w:rPr>
          <w:rStyle w:val="FootnoteReference"/>
          <w:rFonts w:ascii="Times New Roman" w:hAnsi="Times New Roman" w:cs="Times New Roman"/>
          <w:sz w:val="26"/>
          <w:szCs w:val="26"/>
        </w:rPr>
        <w:footnoteReference w:id="93"/>
      </w:r>
      <w:r w:rsidR="00506216" w:rsidRPr="00C80D3A">
        <w:rPr>
          <w:rFonts w:ascii="Times New Roman" w:hAnsi="Times New Roman" w:cs="Times New Roman"/>
          <w:sz w:val="26"/>
          <w:szCs w:val="26"/>
        </w:rPr>
        <w:t xml:space="preserve">  </w:t>
      </w:r>
      <w:r w:rsidR="00522701" w:rsidRPr="00C80D3A">
        <w:rPr>
          <w:rFonts w:ascii="Times New Roman" w:hAnsi="Times New Roman" w:cs="Times New Roman"/>
          <w:sz w:val="26"/>
          <w:szCs w:val="26"/>
        </w:rPr>
        <w:t xml:space="preserve">Utilities </w:t>
      </w:r>
      <w:r w:rsidR="00CC4C12" w:rsidRPr="00C80D3A">
        <w:rPr>
          <w:rFonts w:ascii="Times New Roman" w:hAnsi="Times New Roman" w:cs="Times New Roman"/>
          <w:sz w:val="26"/>
          <w:szCs w:val="26"/>
        </w:rPr>
        <w:t xml:space="preserve">for which </w:t>
      </w:r>
      <w:r w:rsidR="00522701" w:rsidRPr="00C80D3A">
        <w:rPr>
          <w:rFonts w:ascii="Times New Roman" w:hAnsi="Times New Roman" w:cs="Times New Roman"/>
          <w:sz w:val="26"/>
          <w:szCs w:val="26"/>
        </w:rPr>
        <w:t>CAP credit limits</w:t>
      </w:r>
      <w:r w:rsidR="004466C2" w:rsidRPr="00C80D3A">
        <w:rPr>
          <w:rFonts w:ascii="Times New Roman" w:hAnsi="Times New Roman" w:cs="Times New Roman"/>
          <w:sz w:val="26"/>
          <w:szCs w:val="26"/>
        </w:rPr>
        <w:t xml:space="preserve"> </w:t>
      </w:r>
      <w:r w:rsidR="00CC4C12" w:rsidRPr="00C80D3A">
        <w:rPr>
          <w:rFonts w:ascii="Times New Roman" w:hAnsi="Times New Roman" w:cs="Times New Roman"/>
          <w:sz w:val="26"/>
          <w:szCs w:val="26"/>
        </w:rPr>
        <w:t xml:space="preserve">are approved </w:t>
      </w:r>
      <w:r w:rsidR="00FA49BB" w:rsidRPr="00C80D3A">
        <w:rPr>
          <w:rFonts w:ascii="Times New Roman" w:hAnsi="Times New Roman" w:cs="Times New Roman"/>
          <w:sz w:val="26"/>
          <w:szCs w:val="26"/>
        </w:rPr>
        <w:t>shou</w:t>
      </w:r>
      <w:r w:rsidR="00492214" w:rsidRPr="00C80D3A">
        <w:rPr>
          <w:rFonts w:ascii="Times New Roman" w:hAnsi="Times New Roman" w:cs="Times New Roman"/>
          <w:sz w:val="26"/>
          <w:szCs w:val="26"/>
        </w:rPr>
        <w:t>ld</w:t>
      </w:r>
      <w:r w:rsidR="00A474C6" w:rsidRPr="00C80D3A">
        <w:rPr>
          <w:rFonts w:ascii="Times New Roman" w:hAnsi="Times New Roman" w:cs="Times New Roman"/>
          <w:sz w:val="26"/>
          <w:szCs w:val="26"/>
        </w:rPr>
        <w:t>, at a minimum,</w:t>
      </w:r>
      <w:r w:rsidR="00C32BA8" w:rsidRPr="00C80D3A">
        <w:rPr>
          <w:rFonts w:ascii="Times New Roman" w:hAnsi="Times New Roman" w:cs="Times New Roman"/>
          <w:sz w:val="26"/>
          <w:szCs w:val="26"/>
        </w:rPr>
        <w:t xml:space="preserve"> </w:t>
      </w:r>
      <w:r w:rsidR="00506216" w:rsidRPr="00C80D3A">
        <w:rPr>
          <w:rFonts w:ascii="Times New Roman" w:hAnsi="Times New Roman" w:cs="Times New Roman"/>
          <w:sz w:val="26"/>
          <w:szCs w:val="26"/>
        </w:rPr>
        <w:t xml:space="preserve">notify customers </w:t>
      </w:r>
      <w:r w:rsidR="00A4774C" w:rsidRPr="00C80D3A">
        <w:rPr>
          <w:rFonts w:ascii="Times New Roman" w:hAnsi="Times New Roman" w:cs="Times New Roman"/>
          <w:sz w:val="26"/>
          <w:szCs w:val="26"/>
        </w:rPr>
        <w:t>as</w:t>
      </w:r>
      <w:r w:rsidR="00506216" w:rsidRPr="00C80D3A">
        <w:rPr>
          <w:rFonts w:ascii="Times New Roman" w:hAnsi="Times New Roman" w:cs="Times New Roman"/>
          <w:sz w:val="26"/>
          <w:szCs w:val="26"/>
        </w:rPr>
        <w:t xml:space="preserve"> they approach the</w:t>
      </w:r>
      <w:r w:rsidR="004466C2" w:rsidRPr="00C80D3A">
        <w:rPr>
          <w:rFonts w:ascii="Times New Roman" w:hAnsi="Times New Roman" w:cs="Times New Roman"/>
          <w:sz w:val="26"/>
          <w:szCs w:val="26"/>
        </w:rPr>
        <w:t>se</w:t>
      </w:r>
      <w:r w:rsidR="00506216" w:rsidRPr="00C80D3A">
        <w:rPr>
          <w:rFonts w:ascii="Times New Roman" w:hAnsi="Times New Roman" w:cs="Times New Roman"/>
          <w:sz w:val="26"/>
          <w:szCs w:val="26"/>
        </w:rPr>
        <w:t xml:space="preserve"> limits, instruct them to contact the utility if they meet </w:t>
      </w:r>
      <w:r w:rsidR="003051BE" w:rsidRPr="00C80D3A">
        <w:rPr>
          <w:rFonts w:ascii="Times New Roman" w:hAnsi="Times New Roman" w:cs="Times New Roman"/>
          <w:sz w:val="26"/>
          <w:szCs w:val="26"/>
        </w:rPr>
        <w:t xml:space="preserve">any </w:t>
      </w:r>
      <w:r w:rsidR="00506216" w:rsidRPr="00C80D3A">
        <w:rPr>
          <w:rFonts w:ascii="Times New Roman" w:hAnsi="Times New Roman" w:cs="Times New Roman"/>
          <w:sz w:val="26"/>
          <w:szCs w:val="26"/>
        </w:rPr>
        <w:t>exceptions, and refer them to LIURP (if eligible).</w:t>
      </w:r>
      <w:r w:rsidR="000D50E3" w:rsidRPr="00C80D3A">
        <w:rPr>
          <w:rFonts w:ascii="Times New Roman" w:hAnsi="Times New Roman" w:cs="Times New Roman"/>
          <w:sz w:val="26"/>
          <w:szCs w:val="26"/>
        </w:rPr>
        <w:t xml:space="preserve">  </w:t>
      </w:r>
      <w:r w:rsidR="0056686E" w:rsidRPr="00C80D3A">
        <w:rPr>
          <w:rFonts w:ascii="Times New Roman" w:hAnsi="Times New Roman" w:cs="Times New Roman"/>
          <w:sz w:val="26"/>
          <w:szCs w:val="26"/>
        </w:rPr>
        <w:t xml:space="preserve">Utilities </w:t>
      </w:r>
      <w:r w:rsidR="00FA49BB" w:rsidRPr="00C80D3A">
        <w:rPr>
          <w:rFonts w:ascii="Times New Roman" w:hAnsi="Times New Roman" w:cs="Times New Roman"/>
          <w:sz w:val="26"/>
          <w:szCs w:val="26"/>
        </w:rPr>
        <w:t>should w</w:t>
      </w:r>
      <w:r w:rsidR="0056686E" w:rsidRPr="00C80D3A">
        <w:rPr>
          <w:rFonts w:ascii="Times New Roman" w:hAnsi="Times New Roman" w:cs="Times New Roman"/>
          <w:sz w:val="26"/>
          <w:szCs w:val="26"/>
        </w:rPr>
        <w:t xml:space="preserve">ork with their USACs </w:t>
      </w:r>
      <w:r w:rsidR="000B35B1" w:rsidRPr="00C80D3A">
        <w:rPr>
          <w:rFonts w:ascii="Times New Roman" w:hAnsi="Times New Roman" w:cs="Times New Roman"/>
          <w:sz w:val="26"/>
          <w:szCs w:val="26"/>
        </w:rPr>
        <w:t>to</w:t>
      </w:r>
      <w:r w:rsidR="00516E44" w:rsidRPr="00C80D3A">
        <w:rPr>
          <w:rFonts w:ascii="Times New Roman" w:hAnsi="Times New Roman" w:cs="Times New Roman"/>
          <w:sz w:val="26"/>
          <w:szCs w:val="26"/>
        </w:rPr>
        <w:t xml:space="preserve"> develop </w:t>
      </w:r>
      <w:r w:rsidR="008A48C7" w:rsidRPr="00C80D3A">
        <w:rPr>
          <w:rFonts w:ascii="Times New Roman" w:hAnsi="Times New Roman" w:cs="Times New Roman"/>
          <w:sz w:val="26"/>
          <w:szCs w:val="26"/>
        </w:rPr>
        <w:t xml:space="preserve">or enhance </w:t>
      </w:r>
      <w:r w:rsidR="00516E44" w:rsidRPr="00C80D3A">
        <w:rPr>
          <w:rFonts w:ascii="Times New Roman" w:hAnsi="Times New Roman" w:cs="Times New Roman"/>
          <w:sz w:val="26"/>
          <w:szCs w:val="26"/>
        </w:rPr>
        <w:t xml:space="preserve">this communication.  </w:t>
      </w:r>
    </w:p>
    <w:p w14:paraId="4BA5CB40" w14:textId="3273406D" w:rsidR="00531433" w:rsidRPr="00C80D3A" w:rsidRDefault="00531433" w:rsidP="00315DBC">
      <w:pPr>
        <w:spacing w:after="0" w:line="360" w:lineRule="auto"/>
        <w:contextualSpacing/>
        <w:rPr>
          <w:rFonts w:ascii="Times New Roman" w:hAnsi="Times New Roman" w:cs="Times New Roman"/>
          <w:sz w:val="26"/>
          <w:szCs w:val="26"/>
        </w:rPr>
      </w:pPr>
    </w:p>
    <w:p w14:paraId="4F7E8454" w14:textId="16C88855" w:rsidR="00506216" w:rsidRPr="00C80D3A" w:rsidRDefault="00506216" w:rsidP="006334E4">
      <w:pPr>
        <w:pStyle w:val="Heading3"/>
        <w:contextualSpacing/>
        <w:rPr>
          <w:sz w:val="26"/>
          <w:szCs w:val="26"/>
        </w:rPr>
      </w:pPr>
      <w:bookmarkStart w:id="24" w:name="_10._Proposed_Change:"/>
      <w:bookmarkEnd w:id="24"/>
      <w:r w:rsidRPr="00C80D3A">
        <w:rPr>
          <w:sz w:val="26"/>
          <w:szCs w:val="26"/>
        </w:rPr>
        <w:t xml:space="preserve">10. </w:t>
      </w:r>
      <w:r w:rsidR="00A613A4" w:rsidRPr="00C80D3A">
        <w:rPr>
          <w:sz w:val="26"/>
          <w:szCs w:val="26"/>
        </w:rPr>
        <w:t xml:space="preserve"> </w:t>
      </w:r>
      <w:bookmarkStart w:id="25" w:name="_Hlk13555871"/>
      <w:r w:rsidR="00BE7998" w:rsidRPr="00C80D3A">
        <w:rPr>
          <w:sz w:val="26"/>
          <w:szCs w:val="26"/>
        </w:rPr>
        <w:t>Utilities should establish online CAP applications and allow customers to submit documentation electronically</w:t>
      </w:r>
      <w:r w:rsidRPr="00C80D3A">
        <w:rPr>
          <w:sz w:val="26"/>
          <w:szCs w:val="26"/>
        </w:rPr>
        <w:t>.</w:t>
      </w:r>
      <w:bookmarkEnd w:id="25"/>
    </w:p>
    <w:p w14:paraId="43A75EE3" w14:textId="77777777" w:rsidR="00506216" w:rsidRPr="00C80D3A" w:rsidRDefault="00506216" w:rsidP="006334E4">
      <w:pPr>
        <w:keepNext/>
        <w:spacing w:after="0" w:line="240" w:lineRule="auto"/>
        <w:contextualSpacing/>
        <w:rPr>
          <w:rFonts w:ascii="Times New Roman" w:hAnsi="Times New Roman" w:cs="Times New Roman"/>
          <w:sz w:val="26"/>
          <w:szCs w:val="26"/>
        </w:rPr>
      </w:pPr>
    </w:p>
    <w:p w14:paraId="4A961B00" w14:textId="77777777" w:rsidR="00BE1FDD"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CAP Policy Statement does not specify how EDCs and NGDCs should permit low-income customers to apply for CAP.  Most utilities allow customers to apply for CAPs via mail, phone, or in-person.  Currently, only PECO,</w:t>
      </w:r>
      <w:r w:rsidRPr="00C80D3A">
        <w:rPr>
          <w:rFonts w:ascii="Times New Roman" w:hAnsi="Times New Roman" w:cs="Times New Roman"/>
          <w:sz w:val="26"/>
          <w:szCs w:val="26"/>
          <w:vertAlign w:val="superscript"/>
        </w:rPr>
        <w:footnoteReference w:id="94"/>
      </w:r>
      <w:r w:rsidRPr="00C80D3A">
        <w:rPr>
          <w:rFonts w:ascii="Times New Roman" w:hAnsi="Times New Roman" w:cs="Times New Roman"/>
          <w:sz w:val="26"/>
          <w:szCs w:val="26"/>
        </w:rPr>
        <w:t xml:space="preserve"> PGW,</w:t>
      </w:r>
      <w:r w:rsidRPr="00C80D3A">
        <w:rPr>
          <w:rFonts w:ascii="Times New Roman" w:hAnsi="Times New Roman" w:cs="Times New Roman"/>
          <w:sz w:val="26"/>
          <w:szCs w:val="26"/>
          <w:vertAlign w:val="superscript"/>
        </w:rPr>
        <w:footnoteReference w:id="95"/>
      </w:r>
      <w:r w:rsidRPr="00C80D3A">
        <w:rPr>
          <w:rFonts w:ascii="Times New Roman" w:hAnsi="Times New Roman" w:cs="Times New Roman"/>
          <w:sz w:val="26"/>
          <w:szCs w:val="26"/>
        </w:rPr>
        <w:t xml:space="preserve"> and PPL</w:t>
      </w:r>
      <w:r w:rsidRPr="00C80D3A">
        <w:rPr>
          <w:rFonts w:ascii="Times New Roman" w:hAnsi="Times New Roman" w:cs="Times New Roman"/>
          <w:sz w:val="26"/>
          <w:szCs w:val="26"/>
          <w:vertAlign w:val="superscript"/>
        </w:rPr>
        <w:footnoteReference w:id="96"/>
      </w:r>
      <w:r w:rsidRPr="00C80D3A">
        <w:rPr>
          <w:rFonts w:ascii="Times New Roman" w:hAnsi="Times New Roman" w:cs="Times New Roman"/>
          <w:sz w:val="26"/>
          <w:szCs w:val="26"/>
        </w:rPr>
        <w:t xml:space="preserve"> have an online application process for CAPs.  </w:t>
      </w:r>
      <w:r w:rsidR="007F3C5D" w:rsidRPr="00C80D3A">
        <w:rPr>
          <w:rFonts w:ascii="Times New Roman" w:hAnsi="Times New Roman" w:cs="Times New Roman"/>
          <w:sz w:val="26"/>
          <w:szCs w:val="26"/>
        </w:rPr>
        <w:t>T</w:t>
      </w:r>
      <w:r w:rsidRPr="00C80D3A">
        <w:rPr>
          <w:rFonts w:ascii="Times New Roman" w:hAnsi="Times New Roman" w:cs="Times New Roman"/>
          <w:sz w:val="26"/>
          <w:szCs w:val="26"/>
        </w:rPr>
        <w:t xml:space="preserve">he Commission recently directed the FirstEnergy utilities to develop an online process for the submission of CAP applications and documentation by December 1, 2020.  </w:t>
      </w:r>
      <w:r w:rsidRPr="00C80D3A">
        <w:rPr>
          <w:rFonts w:ascii="Times New Roman" w:hAnsi="Times New Roman" w:cs="Times New Roman"/>
          <w:i/>
          <w:iCs/>
          <w:sz w:val="26"/>
          <w:szCs w:val="26"/>
        </w:rPr>
        <w:t>See FirstEnergy 2019-2021 USECP Order,</w:t>
      </w:r>
      <w:r w:rsidRPr="00C80D3A">
        <w:rPr>
          <w:rFonts w:ascii="Times New Roman" w:hAnsi="Times New Roman" w:cs="Times New Roman"/>
          <w:sz w:val="26"/>
          <w:szCs w:val="26"/>
        </w:rPr>
        <w:t xml:space="preserve"> Docket Nos. M</w:t>
      </w:r>
      <w:r w:rsidR="004B7568" w:rsidRPr="00C80D3A">
        <w:rPr>
          <w:rFonts w:ascii="Times New Roman" w:hAnsi="Times New Roman" w:cs="Times New Roman"/>
          <w:sz w:val="26"/>
          <w:szCs w:val="26"/>
        </w:rPr>
        <w:noBreakHyphen/>
      </w:r>
      <w:r w:rsidRPr="00C80D3A">
        <w:rPr>
          <w:rFonts w:ascii="Times New Roman" w:hAnsi="Times New Roman" w:cs="Times New Roman"/>
          <w:sz w:val="26"/>
          <w:szCs w:val="26"/>
        </w:rPr>
        <w:t>2017</w:t>
      </w:r>
      <w:r w:rsidR="004B7568" w:rsidRPr="00C80D3A">
        <w:rPr>
          <w:rFonts w:ascii="Times New Roman" w:hAnsi="Times New Roman" w:cs="Times New Roman"/>
          <w:sz w:val="26"/>
          <w:szCs w:val="26"/>
        </w:rPr>
        <w:noBreakHyphen/>
      </w:r>
      <w:r w:rsidRPr="00C80D3A">
        <w:rPr>
          <w:rFonts w:ascii="Times New Roman" w:hAnsi="Times New Roman" w:cs="Times New Roman"/>
          <w:sz w:val="26"/>
          <w:szCs w:val="26"/>
        </w:rPr>
        <w:t>2636969, M-2017-2636973, M-2017-2636976, and M</w:t>
      </w:r>
      <w:r w:rsidR="006334E4" w:rsidRPr="00C80D3A">
        <w:rPr>
          <w:rFonts w:ascii="Times New Roman" w:hAnsi="Times New Roman" w:cs="Times New Roman"/>
          <w:sz w:val="26"/>
          <w:szCs w:val="26"/>
        </w:rPr>
        <w:t>­</w:t>
      </w:r>
      <w:r w:rsidRPr="00C80D3A">
        <w:rPr>
          <w:rFonts w:ascii="Times New Roman" w:hAnsi="Times New Roman" w:cs="Times New Roman"/>
          <w:sz w:val="26"/>
          <w:szCs w:val="26"/>
        </w:rPr>
        <w:t>2017</w:t>
      </w:r>
      <w:r w:rsidR="006334E4" w:rsidRPr="00C80D3A">
        <w:rPr>
          <w:rFonts w:ascii="Times New Roman" w:hAnsi="Times New Roman" w:cs="Times New Roman"/>
          <w:sz w:val="26"/>
          <w:szCs w:val="26"/>
        </w:rPr>
        <w:t>­</w:t>
      </w:r>
      <w:r w:rsidRPr="00C80D3A">
        <w:rPr>
          <w:rFonts w:ascii="Times New Roman" w:hAnsi="Times New Roman" w:cs="Times New Roman"/>
          <w:sz w:val="26"/>
          <w:szCs w:val="26"/>
        </w:rPr>
        <w:t>2636978 (</w:t>
      </w:r>
      <w:r w:rsidR="004B7568" w:rsidRPr="00C80D3A">
        <w:rPr>
          <w:rFonts w:ascii="Times New Roman" w:hAnsi="Times New Roman" w:cs="Times New Roman"/>
          <w:sz w:val="26"/>
          <w:szCs w:val="26"/>
        </w:rPr>
        <w:t>o</w:t>
      </w:r>
      <w:r w:rsidRPr="00C80D3A">
        <w:rPr>
          <w:rFonts w:ascii="Times New Roman" w:hAnsi="Times New Roman" w:cs="Times New Roman"/>
          <w:sz w:val="26"/>
          <w:szCs w:val="26"/>
        </w:rPr>
        <w:t xml:space="preserve">rder entered </w:t>
      </w:r>
      <w:r w:rsidR="004B7568" w:rsidRPr="00C80D3A">
        <w:rPr>
          <w:rFonts w:ascii="Times New Roman" w:hAnsi="Times New Roman" w:cs="Times New Roman"/>
          <w:sz w:val="26"/>
          <w:szCs w:val="26"/>
        </w:rPr>
        <w:t xml:space="preserve">on </w:t>
      </w:r>
      <w:r w:rsidRPr="00C80D3A">
        <w:rPr>
          <w:rFonts w:ascii="Times New Roman" w:hAnsi="Times New Roman" w:cs="Times New Roman"/>
          <w:sz w:val="26"/>
          <w:szCs w:val="26"/>
        </w:rPr>
        <w:t>May 23, 2019</w:t>
      </w:r>
      <w:r w:rsidR="000154DE" w:rsidRPr="00C80D3A">
        <w:rPr>
          <w:rFonts w:ascii="Times New Roman" w:hAnsi="Times New Roman" w:cs="Times New Roman"/>
          <w:sz w:val="26"/>
          <w:szCs w:val="26"/>
        </w:rPr>
        <w:t>), at</w:t>
      </w:r>
      <w:r w:rsidRPr="00C80D3A">
        <w:rPr>
          <w:rFonts w:ascii="Times New Roman" w:hAnsi="Times New Roman" w:cs="Times New Roman"/>
          <w:sz w:val="26"/>
          <w:szCs w:val="26"/>
        </w:rPr>
        <w:t xml:space="preserve"> 12</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 xml:space="preserve">14. </w:t>
      </w:r>
      <w:r w:rsidR="007F3C5D" w:rsidRPr="00C80D3A">
        <w:rPr>
          <w:rFonts w:ascii="Times New Roman" w:hAnsi="Times New Roman" w:cs="Times New Roman"/>
          <w:sz w:val="26"/>
          <w:szCs w:val="26"/>
        </w:rPr>
        <w:t xml:space="preserve"> </w:t>
      </w:r>
    </w:p>
    <w:p w14:paraId="5E032FD6" w14:textId="77777777" w:rsidR="00BE1FDD" w:rsidRDefault="00BE1FDD" w:rsidP="00315DBC">
      <w:pPr>
        <w:spacing w:after="0" w:line="360" w:lineRule="auto"/>
        <w:ind w:firstLine="720"/>
        <w:contextualSpacing/>
        <w:rPr>
          <w:rFonts w:ascii="Times New Roman" w:hAnsi="Times New Roman" w:cs="Times New Roman"/>
          <w:sz w:val="26"/>
          <w:szCs w:val="26"/>
        </w:rPr>
      </w:pPr>
    </w:p>
    <w:p w14:paraId="79176A93" w14:textId="7733B5B1" w:rsidR="00506216" w:rsidRPr="00C80D3A" w:rsidRDefault="007F3C5D"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This </w:t>
      </w:r>
      <w:r w:rsidR="00DC13EB" w:rsidRPr="00C80D3A">
        <w:rPr>
          <w:rFonts w:ascii="Times New Roman" w:hAnsi="Times New Roman" w:cs="Times New Roman"/>
          <w:sz w:val="26"/>
          <w:szCs w:val="26"/>
        </w:rPr>
        <w:t xml:space="preserve">issue was not addressed in the </w:t>
      </w:r>
      <w:r w:rsidR="00DC13EB" w:rsidRPr="00C80D3A">
        <w:rPr>
          <w:rFonts w:ascii="Times New Roman" w:hAnsi="Times New Roman" w:cs="Times New Roman"/>
          <w:i/>
          <w:iCs/>
          <w:sz w:val="26"/>
          <w:szCs w:val="26"/>
        </w:rPr>
        <w:t>Review</w:t>
      </w:r>
      <w:r w:rsidR="00DC13EB" w:rsidRPr="00C80D3A">
        <w:rPr>
          <w:rFonts w:ascii="Times New Roman" w:hAnsi="Times New Roman" w:cs="Times New Roman"/>
          <w:sz w:val="26"/>
          <w:szCs w:val="26"/>
        </w:rPr>
        <w:t xml:space="preserve"> or </w:t>
      </w:r>
      <w:r w:rsidR="00DC13EB" w:rsidRPr="00C80D3A">
        <w:rPr>
          <w:rFonts w:ascii="Times New Roman" w:hAnsi="Times New Roman" w:cs="Times New Roman"/>
          <w:i/>
          <w:iCs/>
          <w:sz w:val="26"/>
          <w:szCs w:val="26"/>
        </w:rPr>
        <w:t>Energy Affordability</w:t>
      </w:r>
      <w:r w:rsidR="00DC13EB" w:rsidRPr="00C80D3A">
        <w:rPr>
          <w:rFonts w:ascii="Times New Roman" w:hAnsi="Times New Roman" w:cs="Times New Roman"/>
          <w:sz w:val="26"/>
          <w:szCs w:val="26"/>
        </w:rPr>
        <w:t xml:space="preserve"> proceedings</w:t>
      </w:r>
      <w:r w:rsidR="00BE1FDD">
        <w:rPr>
          <w:rFonts w:ascii="Times New Roman" w:hAnsi="Times New Roman" w:cs="Times New Roman"/>
          <w:sz w:val="26"/>
          <w:szCs w:val="26"/>
        </w:rPr>
        <w:t xml:space="preserve">, </w:t>
      </w:r>
      <w:r w:rsidR="00BE1FDD" w:rsidRPr="00EE6D3C">
        <w:rPr>
          <w:rFonts w:ascii="Times New Roman" w:hAnsi="Times New Roman" w:cs="Times New Roman"/>
          <w:sz w:val="26"/>
          <w:szCs w:val="26"/>
        </w:rPr>
        <w:t xml:space="preserve">but it has been addressed in </w:t>
      </w:r>
      <w:r w:rsidR="00135716" w:rsidRPr="00EE6D3C">
        <w:rPr>
          <w:rFonts w:ascii="Times New Roman" w:hAnsi="Times New Roman" w:cs="Times New Roman"/>
          <w:sz w:val="26"/>
          <w:szCs w:val="26"/>
        </w:rPr>
        <w:t>several utility-specific proceedin</w:t>
      </w:r>
      <w:r w:rsidR="00135716">
        <w:rPr>
          <w:rFonts w:ascii="Times New Roman" w:hAnsi="Times New Roman" w:cs="Times New Roman"/>
          <w:sz w:val="26"/>
          <w:szCs w:val="26"/>
        </w:rPr>
        <w:t>gs</w:t>
      </w:r>
      <w:r w:rsidR="00DC13EB" w:rsidRPr="00C80D3A">
        <w:rPr>
          <w:rFonts w:ascii="Times New Roman" w:hAnsi="Times New Roman" w:cs="Times New Roman"/>
          <w:sz w:val="26"/>
          <w:szCs w:val="26"/>
        </w:rPr>
        <w:t>.</w:t>
      </w:r>
    </w:p>
    <w:p w14:paraId="1260700F"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18B79D3C" w14:textId="5EDD5A30" w:rsidR="00506216" w:rsidRPr="00C80D3A" w:rsidRDefault="00506216" w:rsidP="006334E4">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44380244" w14:textId="08CC4321" w:rsidR="00506216" w:rsidRPr="00C80D3A" w:rsidRDefault="00907AA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Commission</w:t>
      </w:r>
      <w:r w:rsidR="00506216" w:rsidRPr="00C80D3A">
        <w:rPr>
          <w:rFonts w:ascii="Times New Roman" w:hAnsi="Times New Roman" w:cs="Times New Roman"/>
          <w:sz w:val="26"/>
          <w:szCs w:val="26"/>
        </w:rPr>
        <w:t xml:space="preserve"> </w:t>
      </w:r>
      <w:r w:rsidR="00FA4274" w:rsidRPr="00C80D3A">
        <w:rPr>
          <w:rFonts w:ascii="Times New Roman" w:hAnsi="Times New Roman" w:cs="Times New Roman"/>
          <w:sz w:val="26"/>
          <w:szCs w:val="26"/>
        </w:rPr>
        <w:t xml:space="preserve">finds that </w:t>
      </w:r>
      <w:r w:rsidR="00506216" w:rsidRPr="00C80D3A">
        <w:rPr>
          <w:rFonts w:ascii="Times New Roman" w:hAnsi="Times New Roman" w:cs="Times New Roman"/>
          <w:sz w:val="26"/>
          <w:szCs w:val="26"/>
        </w:rPr>
        <w:t>electronic submission of CAP applications and documentation</w:t>
      </w:r>
      <w:r w:rsidR="00CA1868" w:rsidRPr="00C80D3A">
        <w:rPr>
          <w:rFonts w:ascii="Times New Roman" w:hAnsi="Times New Roman" w:cs="Times New Roman"/>
          <w:sz w:val="26"/>
          <w:szCs w:val="26"/>
        </w:rPr>
        <w:t xml:space="preserve">, provided as </w:t>
      </w:r>
      <w:r w:rsidR="00506216" w:rsidRPr="00C80D3A">
        <w:rPr>
          <w:rFonts w:ascii="Times New Roman" w:hAnsi="Times New Roman" w:cs="Times New Roman"/>
          <w:sz w:val="26"/>
          <w:szCs w:val="26"/>
        </w:rPr>
        <w:t>a standard component of each utility</w:t>
      </w:r>
      <w:r w:rsidR="001529C6">
        <w:rPr>
          <w:rFonts w:ascii="Times New Roman" w:hAnsi="Times New Roman" w:cs="Times New Roman"/>
          <w:sz w:val="26"/>
          <w:szCs w:val="26"/>
        </w:rPr>
        <w:t>’</w:t>
      </w:r>
      <w:r w:rsidR="00506216" w:rsidRPr="00C80D3A">
        <w:rPr>
          <w:rFonts w:ascii="Times New Roman" w:hAnsi="Times New Roman" w:cs="Times New Roman"/>
          <w:sz w:val="26"/>
          <w:szCs w:val="26"/>
        </w:rPr>
        <w:t>s CAP design</w:t>
      </w:r>
      <w:r w:rsidR="00CA1868" w:rsidRPr="00C80D3A">
        <w:rPr>
          <w:rFonts w:ascii="Times New Roman" w:hAnsi="Times New Roman" w:cs="Times New Roman"/>
          <w:sz w:val="26"/>
          <w:szCs w:val="26"/>
        </w:rPr>
        <w:t>, w</w:t>
      </w:r>
      <w:r w:rsidR="008A23AD" w:rsidRPr="00C80D3A">
        <w:rPr>
          <w:rFonts w:ascii="Times New Roman" w:hAnsi="Times New Roman" w:cs="Times New Roman"/>
          <w:sz w:val="26"/>
          <w:szCs w:val="26"/>
        </w:rPr>
        <w:t>ould</w:t>
      </w:r>
      <w:r w:rsidR="00CA1868" w:rsidRPr="00C80D3A">
        <w:rPr>
          <w:rFonts w:ascii="Times New Roman" w:hAnsi="Times New Roman" w:cs="Times New Roman"/>
          <w:sz w:val="26"/>
          <w:szCs w:val="26"/>
        </w:rPr>
        <w:t xml:space="preserve"> </w:t>
      </w:r>
      <w:r w:rsidR="004B159E" w:rsidRPr="00C80D3A">
        <w:rPr>
          <w:rFonts w:ascii="Times New Roman" w:hAnsi="Times New Roman" w:cs="Times New Roman"/>
          <w:sz w:val="26"/>
          <w:szCs w:val="26"/>
        </w:rPr>
        <w:t xml:space="preserve">promote and </w:t>
      </w:r>
      <w:r w:rsidR="00A16447" w:rsidRPr="00C80D3A">
        <w:rPr>
          <w:rFonts w:ascii="Times New Roman" w:hAnsi="Times New Roman" w:cs="Times New Roman"/>
          <w:sz w:val="26"/>
          <w:szCs w:val="26"/>
        </w:rPr>
        <w:t xml:space="preserve">enhance energy affordability, consistent with the goals of </w:t>
      </w:r>
      <w:r w:rsidR="002C5BA9" w:rsidRPr="00C80D3A">
        <w:rPr>
          <w:rFonts w:ascii="Times New Roman" w:hAnsi="Times New Roman" w:cs="Times New Roman"/>
          <w:sz w:val="26"/>
          <w:szCs w:val="26"/>
        </w:rPr>
        <w:t>universal service</w:t>
      </w:r>
      <w:r w:rsidR="00506216" w:rsidRPr="00C80D3A">
        <w:rPr>
          <w:rFonts w:ascii="Times New Roman" w:hAnsi="Times New Roman" w:cs="Times New Roman"/>
          <w:sz w:val="26"/>
          <w:szCs w:val="26"/>
        </w:rPr>
        <w:t>.  This method may be more convenient for customers who have applied for other benefits online, such as the Supplemental Nutrition Assistance Program (SNAP) and LIHEAP.</w:t>
      </w:r>
      <w:r w:rsidR="00506216" w:rsidRPr="00C80D3A">
        <w:rPr>
          <w:rFonts w:ascii="Times New Roman" w:hAnsi="Times New Roman" w:cs="Times New Roman"/>
          <w:sz w:val="26"/>
          <w:szCs w:val="26"/>
          <w:vertAlign w:val="superscript"/>
        </w:rPr>
        <w:footnoteReference w:id="97"/>
      </w:r>
      <w:r w:rsidR="00506216" w:rsidRPr="00C80D3A">
        <w:rPr>
          <w:rFonts w:ascii="Times New Roman" w:hAnsi="Times New Roman" w:cs="Times New Roman"/>
          <w:sz w:val="26"/>
          <w:szCs w:val="26"/>
        </w:rPr>
        <w:t xml:space="preserve">  Offering an electronic means to apply for low-income programs also produces an electronic trail that leaves no question on whether or not an individual applied for certain programs or provided documentation.  This process also makes it less likely that income documentation would be lost and would not necessitate further contact to either request documentation or inquire as to whether it was received.</w:t>
      </w:r>
      <w:r w:rsidR="000B6AAB" w:rsidRPr="00C80D3A">
        <w:rPr>
          <w:rFonts w:ascii="Times New Roman" w:hAnsi="Times New Roman" w:cs="Times New Roman"/>
          <w:sz w:val="26"/>
          <w:szCs w:val="26"/>
        </w:rPr>
        <w:t xml:space="preserve">  We recognize, however, that there could be considerable back office changes required </w:t>
      </w:r>
      <w:r w:rsidR="00AF2607" w:rsidRPr="00C80D3A">
        <w:rPr>
          <w:rFonts w:ascii="Times New Roman" w:hAnsi="Times New Roman" w:cs="Times New Roman"/>
          <w:sz w:val="26"/>
          <w:szCs w:val="26"/>
        </w:rPr>
        <w:t>to implement such systems</w:t>
      </w:r>
      <w:r w:rsidR="000B6AAB" w:rsidRPr="00C80D3A">
        <w:rPr>
          <w:rFonts w:ascii="Times New Roman" w:hAnsi="Times New Roman" w:cs="Times New Roman"/>
          <w:sz w:val="26"/>
          <w:szCs w:val="26"/>
        </w:rPr>
        <w:t>.</w:t>
      </w:r>
      <w:r w:rsidR="00920684" w:rsidRPr="00C80D3A">
        <w:rPr>
          <w:rFonts w:ascii="Times New Roman" w:hAnsi="Times New Roman" w:cs="Times New Roman"/>
          <w:sz w:val="26"/>
          <w:szCs w:val="26"/>
        </w:rPr>
        <w:t xml:space="preserve">  Nevertheless, PECO, PGW, and PPL </w:t>
      </w:r>
      <w:r w:rsidR="009109E7" w:rsidRPr="00C80D3A">
        <w:rPr>
          <w:rFonts w:ascii="Times New Roman" w:hAnsi="Times New Roman" w:cs="Times New Roman"/>
          <w:sz w:val="26"/>
          <w:szCs w:val="26"/>
        </w:rPr>
        <w:t xml:space="preserve">already </w:t>
      </w:r>
      <w:r w:rsidR="00920684" w:rsidRPr="00C80D3A">
        <w:rPr>
          <w:rFonts w:ascii="Times New Roman" w:hAnsi="Times New Roman" w:cs="Times New Roman"/>
          <w:sz w:val="26"/>
          <w:szCs w:val="26"/>
        </w:rPr>
        <w:t xml:space="preserve">have such </w:t>
      </w:r>
      <w:r w:rsidR="00AF2607" w:rsidRPr="00C80D3A">
        <w:rPr>
          <w:rFonts w:ascii="Times New Roman" w:hAnsi="Times New Roman" w:cs="Times New Roman"/>
          <w:sz w:val="26"/>
          <w:szCs w:val="26"/>
        </w:rPr>
        <w:t>systems in place.</w:t>
      </w:r>
    </w:p>
    <w:p w14:paraId="5B01B018" w14:textId="77777777" w:rsidR="007B2181" w:rsidRPr="00C80D3A" w:rsidRDefault="007B2181" w:rsidP="00315DBC">
      <w:pPr>
        <w:spacing w:after="0" w:line="360" w:lineRule="auto"/>
        <w:ind w:firstLine="720"/>
        <w:contextualSpacing/>
        <w:rPr>
          <w:rFonts w:ascii="Times New Roman" w:hAnsi="Times New Roman" w:cs="Times New Roman"/>
          <w:sz w:val="26"/>
          <w:szCs w:val="26"/>
        </w:rPr>
      </w:pPr>
    </w:p>
    <w:p w14:paraId="6847CC3C" w14:textId="03DDDF86" w:rsidR="00BE7998" w:rsidRPr="00C80D3A" w:rsidRDefault="007B2181">
      <w:pPr>
        <w:spacing w:after="0"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Such</w:t>
      </w:r>
      <w:r w:rsidR="00642594" w:rsidRPr="00C80D3A">
        <w:rPr>
          <w:rFonts w:ascii="Times New Roman" w:hAnsi="Times New Roman" w:cs="Times New Roman"/>
          <w:sz w:val="26"/>
          <w:szCs w:val="26"/>
        </w:rPr>
        <w:t xml:space="preserve"> systems or platforms should be operational by </w:t>
      </w:r>
      <w:r w:rsidR="00BE7998" w:rsidRPr="00C80D3A">
        <w:rPr>
          <w:rFonts w:ascii="Times New Roman" w:hAnsi="Times New Roman" w:cs="Times New Roman"/>
          <w:sz w:val="26"/>
          <w:szCs w:val="26"/>
        </w:rPr>
        <w:t xml:space="preserve">January </w:t>
      </w:r>
      <w:r w:rsidR="00642594" w:rsidRPr="00C80D3A">
        <w:rPr>
          <w:rFonts w:ascii="Times New Roman" w:hAnsi="Times New Roman" w:cs="Times New Roman"/>
          <w:sz w:val="26"/>
          <w:szCs w:val="26"/>
        </w:rPr>
        <w:t xml:space="preserve">1, 2021.  Utilities, their USACs, and the CBOs should work together to determine the appropriate mechanisms and messaging for online application and document submission. </w:t>
      </w:r>
      <w:r w:rsidR="00F30DB5">
        <w:rPr>
          <w:rFonts w:ascii="Times New Roman" w:hAnsi="Times New Roman" w:cs="Times New Roman"/>
          <w:sz w:val="26"/>
          <w:szCs w:val="26"/>
        </w:rPr>
        <w:t xml:space="preserve"> </w:t>
      </w:r>
    </w:p>
    <w:p w14:paraId="33BBC2D2" w14:textId="77777777" w:rsidR="00506216" w:rsidRPr="00C80D3A" w:rsidRDefault="00506216" w:rsidP="00315DBC">
      <w:pPr>
        <w:spacing w:after="0" w:line="360" w:lineRule="auto"/>
        <w:contextualSpacing/>
        <w:rPr>
          <w:rFonts w:ascii="Times New Roman" w:hAnsi="Times New Roman" w:cs="Times New Roman"/>
          <w:sz w:val="26"/>
          <w:szCs w:val="26"/>
        </w:rPr>
      </w:pPr>
    </w:p>
    <w:p w14:paraId="436DC370" w14:textId="13347BAE" w:rsidR="00113B03" w:rsidRDefault="00CC5154" w:rsidP="00DF1970">
      <w:pPr>
        <w:keepNext/>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sz w:val="26"/>
          <w:szCs w:val="26"/>
        </w:rPr>
        <w:t>Resolution</w:t>
      </w:r>
      <w:r w:rsidR="00506216" w:rsidRPr="00A20145">
        <w:rPr>
          <w:rFonts w:ascii="Times New Roman" w:hAnsi="Times New Roman" w:cs="Times New Roman"/>
          <w:b/>
          <w:bCs/>
          <w:sz w:val="26"/>
          <w:szCs w:val="26"/>
        </w:rPr>
        <w:t xml:space="preserve">: </w:t>
      </w:r>
      <w:r w:rsidR="00113B03" w:rsidRPr="00A20145">
        <w:rPr>
          <w:rFonts w:ascii="Times New Roman" w:hAnsi="Times New Roman" w:cs="Times New Roman"/>
          <w:b/>
          <w:bCs/>
          <w:sz w:val="26"/>
          <w:szCs w:val="26"/>
        </w:rPr>
        <w:t>Amend Section 69.265(8)(ii) – Intake and verification.</w:t>
      </w:r>
    </w:p>
    <w:p w14:paraId="5F797622" w14:textId="77777777" w:rsidR="001C4093" w:rsidRPr="00A20145" w:rsidRDefault="001C4093" w:rsidP="009A3B4B">
      <w:pPr>
        <w:spacing w:after="0" w:line="240" w:lineRule="auto"/>
        <w:contextualSpacing/>
        <w:rPr>
          <w:rFonts w:ascii="Times New Roman" w:hAnsi="Times New Roman" w:cs="Times New Roman"/>
          <w:b/>
          <w:bCs/>
          <w:sz w:val="26"/>
          <w:szCs w:val="26"/>
        </w:rPr>
      </w:pPr>
    </w:p>
    <w:p w14:paraId="2730B27C" w14:textId="38A8668A" w:rsidR="006E53D7" w:rsidRPr="00C80D3A" w:rsidRDefault="00113B03" w:rsidP="00EA0AB1">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AC0EE7" w:rsidRPr="00C80D3A">
        <w:rPr>
          <w:rFonts w:ascii="Times New Roman" w:hAnsi="Times New Roman" w:cs="Times New Roman"/>
          <w:sz w:val="26"/>
          <w:szCs w:val="26"/>
        </w:rPr>
        <w:t>As indicated in Annex A, this Order amends the CAP Policy Statement</w:t>
      </w:r>
      <w:r w:rsidRPr="00C80D3A">
        <w:rPr>
          <w:rFonts w:ascii="Times New Roman" w:hAnsi="Times New Roman" w:cs="Times New Roman"/>
          <w:sz w:val="26"/>
          <w:szCs w:val="26"/>
        </w:rPr>
        <w:t xml:space="preserve"> at Section</w:t>
      </w:r>
      <w:r w:rsidR="00FF2268">
        <w:rPr>
          <w:rFonts w:ascii="Times New Roman" w:hAnsi="Times New Roman" w:cs="Times New Roman"/>
          <w:sz w:val="26"/>
          <w:szCs w:val="26"/>
        </w:rPr>
        <w:t> </w:t>
      </w:r>
      <w:r w:rsidRPr="00C80D3A">
        <w:rPr>
          <w:rFonts w:ascii="Times New Roman" w:hAnsi="Times New Roman" w:cs="Times New Roman"/>
          <w:sz w:val="26"/>
          <w:szCs w:val="26"/>
        </w:rPr>
        <w:t>69.265(8)(ii)</w:t>
      </w:r>
      <w:r w:rsidR="00AC0EE7" w:rsidRPr="00C80D3A">
        <w:rPr>
          <w:rFonts w:ascii="Times New Roman" w:hAnsi="Times New Roman" w:cs="Times New Roman"/>
          <w:sz w:val="26"/>
          <w:szCs w:val="26"/>
        </w:rPr>
        <w:t xml:space="preserve"> to provide that </w:t>
      </w:r>
      <w:r w:rsidR="00EA0AB1" w:rsidRPr="00C80D3A">
        <w:rPr>
          <w:rFonts w:ascii="Times New Roman" w:hAnsi="Times New Roman" w:cs="Times New Roman"/>
          <w:sz w:val="26"/>
          <w:szCs w:val="26"/>
        </w:rPr>
        <w:t>EDCs and NGDCs should offer online platform</w:t>
      </w:r>
      <w:r w:rsidR="00D97C65" w:rsidRPr="00C80D3A">
        <w:rPr>
          <w:rFonts w:ascii="Times New Roman" w:hAnsi="Times New Roman" w:cs="Times New Roman"/>
          <w:sz w:val="26"/>
          <w:szCs w:val="26"/>
        </w:rPr>
        <w:t>s</w:t>
      </w:r>
      <w:r w:rsidR="00EA0AB1" w:rsidRPr="00C80D3A">
        <w:rPr>
          <w:rFonts w:ascii="Times New Roman" w:hAnsi="Times New Roman" w:cs="Times New Roman"/>
          <w:sz w:val="26"/>
          <w:szCs w:val="26"/>
        </w:rPr>
        <w:t xml:space="preserve"> that allow customers to </w:t>
      </w:r>
      <w:r w:rsidR="00EA0AB1" w:rsidRPr="00C80D3A">
        <w:rPr>
          <w:rFonts w:ascii="Times New Roman" w:hAnsi="Times New Roman" w:cs="Times New Roman"/>
          <w:bCs/>
          <w:color w:val="0D0D0D" w:themeColor="text1" w:themeTint="F2"/>
          <w:sz w:val="26"/>
          <w:szCs w:val="26"/>
        </w:rPr>
        <w:t xml:space="preserve">submit CAP applications and documentation electronically.  </w:t>
      </w:r>
    </w:p>
    <w:p w14:paraId="1DB1E4DD" w14:textId="77777777" w:rsidR="00DF77E7" w:rsidRPr="00C80D3A" w:rsidRDefault="00DF77E7" w:rsidP="00DF77E7">
      <w:pPr>
        <w:spacing w:after="0" w:line="360" w:lineRule="auto"/>
        <w:contextualSpacing/>
        <w:rPr>
          <w:rFonts w:ascii="Times New Roman" w:hAnsi="Times New Roman" w:cs="Times New Roman"/>
          <w:sz w:val="26"/>
          <w:szCs w:val="26"/>
        </w:rPr>
      </w:pPr>
    </w:p>
    <w:p w14:paraId="411A75A7" w14:textId="3B06BEA7" w:rsidR="00506216" w:rsidRPr="00C80D3A" w:rsidRDefault="00BE7998" w:rsidP="006334E4">
      <w:pPr>
        <w:pStyle w:val="Heading3"/>
        <w:contextualSpacing/>
        <w:rPr>
          <w:rFonts w:eastAsiaTheme="minorHAnsi"/>
          <w:sz w:val="26"/>
          <w:szCs w:val="26"/>
        </w:rPr>
      </w:pPr>
      <w:bookmarkStart w:id="26" w:name="_11.__Proposed"/>
      <w:bookmarkEnd w:id="26"/>
      <w:r w:rsidRPr="00C80D3A">
        <w:rPr>
          <w:sz w:val="26"/>
          <w:szCs w:val="26"/>
        </w:rPr>
        <w:t>1</w:t>
      </w:r>
      <w:r w:rsidR="00340F40" w:rsidRPr="00C80D3A">
        <w:rPr>
          <w:sz w:val="26"/>
          <w:szCs w:val="26"/>
        </w:rPr>
        <w:t>1</w:t>
      </w:r>
      <w:r w:rsidR="00506216" w:rsidRPr="00C80D3A">
        <w:rPr>
          <w:sz w:val="26"/>
          <w:szCs w:val="26"/>
        </w:rPr>
        <w:t xml:space="preserve">.  </w:t>
      </w:r>
      <w:bookmarkStart w:id="27" w:name="_Hlk13555908"/>
      <w:r w:rsidR="00642594" w:rsidRPr="00C80D3A">
        <w:rPr>
          <w:sz w:val="26"/>
          <w:szCs w:val="26"/>
        </w:rPr>
        <w:t xml:space="preserve">Utilities should use a standardized zero-income form and </w:t>
      </w:r>
      <w:r w:rsidR="003F5646" w:rsidRPr="00C80D3A">
        <w:rPr>
          <w:sz w:val="26"/>
          <w:szCs w:val="26"/>
        </w:rPr>
        <w:t>develop other industry-wide standardized forms</w:t>
      </w:r>
      <w:r w:rsidR="00642594" w:rsidRPr="00C80D3A">
        <w:rPr>
          <w:sz w:val="26"/>
          <w:szCs w:val="26"/>
        </w:rPr>
        <w:t xml:space="preserve">.  </w:t>
      </w:r>
      <w:bookmarkEnd w:id="27"/>
    </w:p>
    <w:p w14:paraId="2F2057B1" w14:textId="77777777" w:rsidR="00506216" w:rsidRPr="00C80D3A" w:rsidRDefault="00506216" w:rsidP="006334E4">
      <w:pPr>
        <w:keepNext/>
        <w:spacing w:after="0" w:line="240" w:lineRule="auto"/>
        <w:contextualSpacing/>
        <w:rPr>
          <w:rFonts w:ascii="Times New Roman" w:hAnsi="Times New Roman" w:cs="Times New Roman"/>
          <w:sz w:val="26"/>
          <w:szCs w:val="26"/>
        </w:rPr>
      </w:pPr>
    </w:p>
    <w:p w14:paraId="06D0FAD8" w14:textId="41E012C6"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All EDCs and NGDCs allow customers who report no source of income to enroll in CAPs if they provide documentation of how they meet monthly expenses.  This policy is consistent with DHS</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 LIHEAP income requirements, which require applicant households reporting minimal or no income to explain how they meet their financial obligations and basic living needs.  FY 2019 LIHEAP State Plan Section 601.103 at B</w:t>
      </w:r>
      <w:r w:rsidRPr="00C80D3A">
        <w:rPr>
          <w:rFonts w:ascii="Times New Roman" w:hAnsi="Times New Roman" w:cs="Times New Roman"/>
          <w:sz w:val="26"/>
          <w:szCs w:val="26"/>
        </w:rPr>
        <w:noBreakHyphen/>
        <w:t>21.</w:t>
      </w:r>
      <w:r w:rsidRPr="00C80D3A">
        <w:rPr>
          <w:rFonts w:ascii="Times New Roman" w:hAnsi="Times New Roman" w:cs="Times New Roman"/>
          <w:sz w:val="26"/>
          <w:szCs w:val="26"/>
          <w:vertAlign w:val="superscript"/>
        </w:rPr>
        <w:footnoteReference w:id="98"/>
      </w:r>
      <w:r w:rsidRPr="00C80D3A">
        <w:rPr>
          <w:rFonts w:ascii="Times New Roman" w:hAnsi="Times New Roman" w:cs="Times New Roman"/>
          <w:sz w:val="26"/>
          <w:szCs w:val="26"/>
        </w:rPr>
        <w:t xml:space="preserve">  </w:t>
      </w:r>
    </w:p>
    <w:p w14:paraId="1A33E645" w14:textId="77777777" w:rsidR="00506216" w:rsidRPr="00C80D3A" w:rsidRDefault="00506216" w:rsidP="00315DBC">
      <w:pPr>
        <w:spacing w:after="0" w:line="360" w:lineRule="auto"/>
        <w:contextualSpacing/>
        <w:rPr>
          <w:rFonts w:ascii="Times New Roman" w:hAnsi="Times New Roman" w:cs="Times New Roman"/>
          <w:sz w:val="26"/>
          <w:szCs w:val="26"/>
        </w:rPr>
      </w:pPr>
    </w:p>
    <w:p w14:paraId="5415A893" w14:textId="5B49339C" w:rsidR="00506216" w:rsidRPr="00331709"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Currently, EDCs and NGDCs use different forms and sometimes request different information to verify a CAP household</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zero-income status.  Standardizing the zero-income documentation and questions was </w:t>
      </w:r>
      <w:r w:rsidR="00113B03" w:rsidRPr="00C80D3A">
        <w:rPr>
          <w:rFonts w:ascii="Times New Roman" w:hAnsi="Times New Roman" w:cs="Times New Roman"/>
          <w:sz w:val="26"/>
          <w:szCs w:val="26"/>
        </w:rPr>
        <w:t>recommended</w:t>
      </w:r>
      <w:r w:rsidRPr="00C80D3A">
        <w:rPr>
          <w:rFonts w:ascii="Times New Roman" w:hAnsi="Times New Roman" w:cs="Times New Roman"/>
          <w:sz w:val="26"/>
          <w:szCs w:val="26"/>
        </w:rPr>
        <w:t xml:space="preserve"> by participants in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proceeding.</w:t>
      </w:r>
      <w:r w:rsidRPr="00C80D3A">
        <w:rPr>
          <w:rFonts w:ascii="Times New Roman" w:hAnsi="Times New Roman" w:cs="Times New Roman"/>
          <w:sz w:val="26"/>
          <w:szCs w:val="26"/>
          <w:vertAlign w:val="superscript"/>
        </w:rPr>
        <w:footnoteReference w:id="99"/>
      </w:r>
      <w:r w:rsidRPr="00C80D3A">
        <w:rPr>
          <w:rFonts w:ascii="Times New Roman" w:hAnsi="Times New Roman" w:cs="Times New Roman"/>
          <w:sz w:val="26"/>
          <w:szCs w:val="26"/>
        </w:rPr>
        <w:t xml:space="preserve">  </w:t>
      </w:r>
      <w:r w:rsidR="00331709" w:rsidRPr="00331709">
        <w:rPr>
          <w:rFonts w:ascii="Times New Roman" w:hAnsi="Times New Roman" w:cs="Times New Roman"/>
          <w:sz w:val="26"/>
          <w:szCs w:val="26"/>
        </w:rPr>
        <w:t xml:space="preserve">This issue was not addressed in the </w:t>
      </w:r>
      <w:r w:rsidR="00331709" w:rsidRPr="00331709">
        <w:rPr>
          <w:rFonts w:ascii="Times New Roman" w:hAnsi="Times New Roman" w:cs="Times New Roman"/>
          <w:i/>
          <w:sz w:val="26"/>
          <w:szCs w:val="26"/>
        </w:rPr>
        <w:t>Energy Affordability</w:t>
      </w:r>
      <w:r w:rsidR="00331709" w:rsidRPr="00331709">
        <w:rPr>
          <w:rFonts w:ascii="Times New Roman" w:hAnsi="Times New Roman" w:cs="Times New Roman"/>
          <w:sz w:val="26"/>
          <w:szCs w:val="26"/>
        </w:rPr>
        <w:t xml:space="preserve"> proceeding.</w:t>
      </w:r>
    </w:p>
    <w:p w14:paraId="5DF1027E" w14:textId="77777777" w:rsidR="00506216" w:rsidRPr="00C80D3A" w:rsidRDefault="00506216" w:rsidP="00315DBC">
      <w:pPr>
        <w:spacing w:after="0" w:line="360" w:lineRule="auto"/>
        <w:contextualSpacing/>
        <w:rPr>
          <w:rFonts w:ascii="Times New Roman" w:hAnsi="Times New Roman" w:cs="Times New Roman"/>
          <w:sz w:val="26"/>
          <w:szCs w:val="26"/>
        </w:rPr>
      </w:pPr>
    </w:p>
    <w:p w14:paraId="01F9759E" w14:textId="005C8372"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In a Secretarial Letter issued on March 28, 2018, the Commission initiated a Universal Service Working Group (USWG) with a mandate that included standardizing utility zero-income forms.  The USWG</w:t>
      </w:r>
      <w:r w:rsidRPr="00C80D3A">
        <w:rPr>
          <w:rFonts w:ascii="Times New Roman" w:hAnsi="Times New Roman" w:cs="Times New Roman"/>
          <w:sz w:val="26"/>
          <w:szCs w:val="26"/>
          <w:vertAlign w:val="superscript"/>
        </w:rPr>
        <w:footnoteReference w:id="100"/>
      </w:r>
      <w:r w:rsidRPr="00C80D3A">
        <w:rPr>
          <w:rFonts w:ascii="Times New Roman" w:hAnsi="Times New Roman" w:cs="Times New Roman"/>
          <w:sz w:val="26"/>
          <w:szCs w:val="26"/>
        </w:rPr>
        <w:t xml:space="preserve"> met on May 7</w:t>
      </w:r>
      <w:r w:rsidRPr="00C80D3A">
        <w:rPr>
          <w:rFonts w:ascii="Times New Roman" w:hAnsi="Times New Roman" w:cs="Times New Roman"/>
          <w:sz w:val="26"/>
          <w:szCs w:val="26"/>
          <w:vertAlign w:val="superscript"/>
        </w:rPr>
        <w:t>th</w:t>
      </w:r>
      <w:r w:rsidRPr="00C80D3A">
        <w:rPr>
          <w:rFonts w:ascii="Times New Roman" w:hAnsi="Times New Roman" w:cs="Times New Roman"/>
          <w:sz w:val="26"/>
          <w:szCs w:val="26"/>
        </w:rPr>
        <w:t xml:space="preserve"> and July 18</w:t>
      </w:r>
      <w:r w:rsidRPr="00C80D3A">
        <w:rPr>
          <w:rFonts w:ascii="Times New Roman" w:hAnsi="Times New Roman" w:cs="Times New Roman"/>
          <w:sz w:val="26"/>
          <w:szCs w:val="26"/>
          <w:vertAlign w:val="superscript"/>
        </w:rPr>
        <w:t>th</w:t>
      </w:r>
      <w:r w:rsidRPr="00C80D3A">
        <w:rPr>
          <w:rFonts w:ascii="Times New Roman" w:hAnsi="Times New Roman" w:cs="Times New Roman"/>
          <w:sz w:val="26"/>
          <w:szCs w:val="26"/>
        </w:rPr>
        <w:t xml:space="preserve"> in 2018 and reached consensus on a zero-income form that contains all required questions if a CAP applicant claims no income.</w:t>
      </w:r>
      <w:r w:rsidR="001334E3">
        <w:rPr>
          <w:rStyle w:val="FootnoteReference"/>
          <w:rFonts w:ascii="Times New Roman" w:hAnsi="Times New Roman" w:cs="Times New Roman"/>
          <w:sz w:val="26"/>
          <w:szCs w:val="26"/>
        </w:rPr>
        <w:footnoteReference w:id="101"/>
      </w:r>
      <w:r w:rsidRPr="00C80D3A">
        <w:rPr>
          <w:rFonts w:ascii="Times New Roman" w:hAnsi="Times New Roman" w:cs="Times New Roman"/>
          <w:sz w:val="26"/>
          <w:szCs w:val="26"/>
        </w:rPr>
        <w:t xml:space="preserve">  </w:t>
      </w:r>
    </w:p>
    <w:p w14:paraId="5A21D9B5" w14:textId="77777777" w:rsidR="00506216" w:rsidRPr="00C80D3A" w:rsidRDefault="00506216" w:rsidP="00315DBC">
      <w:pPr>
        <w:spacing w:after="0" w:line="360" w:lineRule="auto"/>
        <w:contextualSpacing/>
        <w:rPr>
          <w:rFonts w:ascii="Times New Roman" w:hAnsi="Times New Roman" w:cs="Times New Roman"/>
          <w:sz w:val="26"/>
          <w:szCs w:val="26"/>
        </w:rPr>
      </w:pPr>
    </w:p>
    <w:p w14:paraId="5FA9CE25" w14:textId="77777777" w:rsidR="00506216" w:rsidRPr="00C80D3A" w:rsidRDefault="00506216" w:rsidP="006334E4">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58E1F72B" w14:textId="7AE2DE02" w:rsidR="00506216" w:rsidRPr="00C80D3A" w:rsidRDefault="00DE3FF4"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Commission</w:t>
      </w:r>
      <w:r w:rsidR="00506216" w:rsidRPr="00C80D3A">
        <w:rPr>
          <w:rFonts w:ascii="Times New Roman" w:hAnsi="Times New Roman" w:cs="Times New Roman"/>
          <w:sz w:val="26"/>
          <w:szCs w:val="26"/>
        </w:rPr>
        <w:t xml:space="preserve"> </w:t>
      </w:r>
      <w:r w:rsidR="001B308E" w:rsidRPr="00C80D3A">
        <w:rPr>
          <w:rFonts w:ascii="Times New Roman" w:hAnsi="Times New Roman" w:cs="Times New Roman"/>
          <w:sz w:val="26"/>
          <w:szCs w:val="26"/>
        </w:rPr>
        <w:t xml:space="preserve">encourages </w:t>
      </w:r>
      <w:r w:rsidR="00506216" w:rsidRPr="00C80D3A">
        <w:rPr>
          <w:rFonts w:ascii="Times New Roman" w:hAnsi="Times New Roman" w:cs="Times New Roman"/>
          <w:sz w:val="26"/>
          <w:szCs w:val="26"/>
        </w:rPr>
        <w:t xml:space="preserve">the standardization of all forms related to the eligibility determination for universal service and other energy assistance programs, such as LIHEAP.  Standardizing information requested for these programs could help streamline application processing and increase participation.  Further, it could also allow utilities to share eligibility information when low-income customers move from one utility service territory to another, allowing their participation in programs like CAP to continue uninterrupted.  </w:t>
      </w:r>
    </w:p>
    <w:p w14:paraId="6FD41FC9" w14:textId="77777777" w:rsidR="00506216" w:rsidRPr="00C80D3A" w:rsidRDefault="00506216" w:rsidP="00315DBC">
      <w:pPr>
        <w:spacing w:after="0" w:line="360" w:lineRule="auto"/>
        <w:contextualSpacing/>
        <w:rPr>
          <w:rFonts w:ascii="Times New Roman" w:hAnsi="Times New Roman" w:cs="Times New Roman"/>
          <w:sz w:val="26"/>
          <w:szCs w:val="26"/>
        </w:rPr>
      </w:pPr>
    </w:p>
    <w:p w14:paraId="37D442D4" w14:textId="6E53505D" w:rsidR="00506216" w:rsidRPr="00C80D3A" w:rsidRDefault="00294F5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We</w:t>
      </w:r>
      <w:r w:rsidR="00791E54" w:rsidRPr="00C80D3A">
        <w:rPr>
          <w:rFonts w:ascii="Times New Roman" w:hAnsi="Times New Roman" w:cs="Times New Roman"/>
          <w:sz w:val="26"/>
          <w:szCs w:val="26"/>
        </w:rPr>
        <w:t xml:space="preserve"> </w:t>
      </w:r>
      <w:r w:rsidR="00AE3FBD" w:rsidRPr="00C80D3A">
        <w:rPr>
          <w:rFonts w:ascii="Times New Roman" w:hAnsi="Times New Roman" w:cs="Times New Roman"/>
          <w:sz w:val="26"/>
          <w:szCs w:val="26"/>
        </w:rPr>
        <w:t xml:space="preserve">find </w:t>
      </w:r>
      <w:r w:rsidR="00506216" w:rsidRPr="00C80D3A">
        <w:rPr>
          <w:rFonts w:ascii="Times New Roman" w:hAnsi="Times New Roman" w:cs="Times New Roman"/>
          <w:sz w:val="26"/>
          <w:szCs w:val="26"/>
        </w:rPr>
        <w:t xml:space="preserve">that the standardized zero-income form proposed by the USWG is a good first step in this endeavor.  The form will help bring needed consistency to the types of information requested from CAP applicants/participants reporting no income.  However, </w:t>
      </w:r>
      <w:r w:rsidR="002652C2" w:rsidRPr="00C80D3A">
        <w:rPr>
          <w:rFonts w:ascii="Times New Roman" w:hAnsi="Times New Roman" w:cs="Times New Roman"/>
          <w:sz w:val="26"/>
          <w:szCs w:val="26"/>
        </w:rPr>
        <w:t xml:space="preserve">use of a standardized form </w:t>
      </w:r>
      <w:r w:rsidR="00C06EE1" w:rsidRPr="00C80D3A">
        <w:rPr>
          <w:rFonts w:ascii="Times New Roman" w:hAnsi="Times New Roman" w:cs="Times New Roman"/>
          <w:sz w:val="26"/>
          <w:szCs w:val="26"/>
        </w:rPr>
        <w:t xml:space="preserve">should </w:t>
      </w:r>
      <w:r w:rsidR="00506216" w:rsidRPr="00C80D3A">
        <w:rPr>
          <w:rFonts w:ascii="Times New Roman" w:hAnsi="Times New Roman" w:cs="Times New Roman"/>
          <w:sz w:val="26"/>
          <w:szCs w:val="26"/>
        </w:rPr>
        <w:t>not restrict a utility</w:t>
      </w:r>
      <w:r w:rsidR="001529C6">
        <w:rPr>
          <w:rFonts w:ascii="Times New Roman" w:hAnsi="Times New Roman" w:cs="Times New Roman"/>
          <w:sz w:val="26"/>
          <w:szCs w:val="26"/>
        </w:rPr>
        <w:t>’</w:t>
      </w:r>
      <w:r w:rsidR="00506216" w:rsidRPr="00C80D3A">
        <w:rPr>
          <w:rFonts w:ascii="Times New Roman" w:hAnsi="Times New Roman" w:cs="Times New Roman"/>
          <w:sz w:val="26"/>
          <w:szCs w:val="26"/>
        </w:rPr>
        <w:t>s ability to request additional information to verify a household</w:t>
      </w:r>
      <w:r w:rsidR="001529C6">
        <w:rPr>
          <w:rFonts w:ascii="Times New Roman" w:hAnsi="Times New Roman" w:cs="Times New Roman"/>
          <w:sz w:val="26"/>
          <w:szCs w:val="26"/>
        </w:rPr>
        <w:t>’</w:t>
      </w:r>
      <w:r w:rsidR="00506216" w:rsidRPr="00C80D3A">
        <w:rPr>
          <w:rFonts w:ascii="Times New Roman" w:hAnsi="Times New Roman" w:cs="Times New Roman"/>
          <w:sz w:val="26"/>
          <w:szCs w:val="26"/>
        </w:rPr>
        <w:t xml:space="preserve">s income situation, </w:t>
      </w:r>
      <w:r w:rsidR="00D7017C" w:rsidRPr="00C80D3A">
        <w:rPr>
          <w:rFonts w:ascii="Times New Roman" w:hAnsi="Times New Roman" w:cs="Times New Roman"/>
          <w:sz w:val="26"/>
          <w:szCs w:val="26"/>
        </w:rPr>
        <w:t>if</w:t>
      </w:r>
      <w:r w:rsidR="00506216" w:rsidRPr="00C80D3A">
        <w:rPr>
          <w:rFonts w:ascii="Times New Roman" w:hAnsi="Times New Roman" w:cs="Times New Roman"/>
          <w:sz w:val="26"/>
          <w:szCs w:val="26"/>
        </w:rPr>
        <w:t xml:space="preserve"> necessary.</w:t>
      </w:r>
      <w:r w:rsidR="00506216" w:rsidRPr="00C80D3A">
        <w:rPr>
          <w:rFonts w:ascii="Times New Roman" w:hAnsi="Times New Roman" w:cs="Times New Roman"/>
          <w:sz w:val="26"/>
          <w:szCs w:val="26"/>
          <w:vertAlign w:val="superscript"/>
        </w:rPr>
        <w:footnoteReference w:id="102"/>
      </w:r>
      <w:r w:rsidR="00506216" w:rsidRPr="00C80D3A">
        <w:rPr>
          <w:rFonts w:ascii="Times New Roman" w:hAnsi="Times New Roman" w:cs="Times New Roman"/>
          <w:sz w:val="26"/>
          <w:szCs w:val="26"/>
        </w:rPr>
        <w:t xml:space="preserve"> </w:t>
      </w:r>
      <w:r w:rsidR="006914B0" w:rsidRPr="00C80D3A">
        <w:rPr>
          <w:rFonts w:ascii="Times New Roman" w:hAnsi="Times New Roman" w:cs="Times New Roman"/>
          <w:sz w:val="26"/>
          <w:szCs w:val="26"/>
        </w:rPr>
        <w:t xml:space="preserve"> </w:t>
      </w:r>
    </w:p>
    <w:p w14:paraId="65148C91" w14:textId="77777777" w:rsidR="00506216" w:rsidRPr="00C80D3A" w:rsidRDefault="00506216" w:rsidP="00315DBC">
      <w:pPr>
        <w:spacing w:after="0" w:line="360" w:lineRule="auto"/>
        <w:contextualSpacing/>
        <w:rPr>
          <w:rFonts w:ascii="Times New Roman" w:hAnsi="Times New Roman" w:cs="Times New Roman"/>
          <w:sz w:val="26"/>
          <w:szCs w:val="26"/>
        </w:rPr>
      </w:pPr>
    </w:p>
    <w:p w14:paraId="5132AD65" w14:textId="5E047D04" w:rsidR="00113B03" w:rsidRDefault="007E561C" w:rsidP="005204FF">
      <w:pPr>
        <w:keepNext/>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sz w:val="26"/>
          <w:szCs w:val="26"/>
        </w:rPr>
        <w:t>Resolution</w:t>
      </w:r>
      <w:r w:rsidR="00506216" w:rsidRPr="00A20145">
        <w:rPr>
          <w:rFonts w:ascii="Times New Roman" w:hAnsi="Times New Roman" w:cs="Times New Roman"/>
          <w:b/>
          <w:bCs/>
          <w:sz w:val="26"/>
          <w:szCs w:val="26"/>
        </w:rPr>
        <w:t xml:space="preserve">: </w:t>
      </w:r>
      <w:r w:rsidR="00113B03" w:rsidRPr="00A20145">
        <w:rPr>
          <w:rFonts w:ascii="Times New Roman" w:hAnsi="Times New Roman" w:cs="Times New Roman"/>
          <w:b/>
          <w:bCs/>
          <w:sz w:val="26"/>
          <w:szCs w:val="26"/>
        </w:rPr>
        <w:t>Add Section 69.265(8)(ii)(B)(II) – Intake and verification; Sectio</w:t>
      </w:r>
      <w:r w:rsidR="00441D4C">
        <w:rPr>
          <w:rFonts w:ascii="Times New Roman" w:hAnsi="Times New Roman" w:cs="Times New Roman"/>
          <w:b/>
          <w:bCs/>
          <w:sz w:val="26"/>
          <w:szCs w:val="26"/>
        </w:rPr>
        <w:t>n </w:t>
      </w:r>
      <w:r w:rsidR="00113B03" w:rsidRPr="00A20145">
        <w:rPr>
          <w:rFonts w:ascii="Times New Roman" w:hAnsi="Times New Roman" w:cs="Times New Roman"/>
          <w:b/>
          <w:bCs/>
          <w:sz w:val="26"/>
          <w:szCs w:val="26"/>
        </w:rPr>
        <w:t>69.265(14) – Industry-standardized forms.</w:t>
      </w:r>
    </w:p>
    <w:p w14:paraId="4DAD932C" w14:textId="77777777" w:rsidR="005204FF" w:rsidRPr="00A20145" w:rsidRDefault="005204FF" w:rsidP="005204FF">
      <w:pPr>
        <w:keepNext/>
        <w:spacing w:after="0" w:line="240" w:lineRule="auto"/>
        <w:contextualSpacing/>
        <w:rPr>
          <w:rFonts w:ascii="Times New Roman" w:hAnsi="Times New Roman" w:cs="Times New Roman"/>
          <w:b/>
          <w:bCs/>
          <w:sz w:val="26"/>
          <w:szCs w:val="26"/>
        </w:rPr>
      </w:pPr>
    </w:p>
    <w:p w14:paraId="107E1320" w14:textId="4106EAB5" w:rsidR="00C6401B" w:rsidRPr="00C80D3A" w:rsidRDefault="00113B03" w:rsidP="005204FF">
      <w:pPr>
        <w:keepNext/>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B26F2A" w:rsidRPr="00C80D3A">
        <w:rPr>
          <w:rFonts w:ascii="Times New Roman" w:hAnsi="Times New Roman" w:cs="Times New Roman"/>
          <w:sz w:val="26"/>
          <w:szCs w:val="26"/>
        </w:rPr>
        <w:t>This Order</w:t>
      </w:r>
      <w:r w:rsidR="00B26F2A" w:rsidRPr="00C80D3A" w:rsidDel="00C06EE1">
        <w:rPr>
          <w:rFonts w:ascii="Times New Roman" w:hAnsi="Times New Roman" w:cs="Times New Roman"/>
          <w:sz w:val="26"/>
          <w:szCs w:val="26"/>
        </w:rPr>
        <w:t xml:space="preserve"> </w:t>
      </w:r>
      <w:r w:rsidR="006914B0" w:rsidRPr="00C80D3A">
        <w:rPr>
          <w:rFonts w:ascii="Times New Roman" w:hAnsi="Times New Roman" w:cs="Times New Roman"/>
          <w:sz w:val="26"/>
          <w:szCs w:val="26"/>
        </w:rPr>
        <w:t xml:space="preserve">amends </w:t>
      </w:r>
      <w:r w:rsidR="00B26F2A" w:rsidRPr="00C80D3A">
        <w:rPr>
          <w:rFonts w:ascii="Times New Roman" w:hAnsi="Times New Roman" w:cs="Times New Roman"/>
          <w:sz w:val="26"/>
          <w:szCs w:val="26"/>
        </w:rPr>
        <w:t xml:space="preserve">the CAP Policy Statement as indicated in </w:t>
      </w:r>
      <w:r w:rsidR="00A23FAD" w:rsidRPr="00C80D3A">
        <w:rPr>
          <w:rFonts w:ascii="Times New Roman" w:hAnsi="Times New Roman" w:cs="Times New Roman"/>
          <w:sz w:val="26"/>
          <w:szCs w:val="26"/>
        </w:rPr>
        <w:t xml:space="preserve">Annex </w:t>
      </w:r>
      <w:r w:rsidR="00BC3B11" w:rsidRPr="00C80D3A">
        <w:rPr>
          <w:rFonts w:ascii="Times New Roman" w:hAnsi="Times New Roman" w:cs="Times New Roman"/>
          <w:sz w:val="26"/>
          <w:szCs w:val="26"/>
        </w:rPr>
        <w:t xml:space="preserve">A </w:t>
      </w:r>
      <w:r w:rsidR="00B26F2A" w:rsidRPr="00C80D3A">
        <w:rPr>
          <w:rFonts w:ascii="Times New Roman" w:hAnsi="Times New Roman" w:cs="Times New Roman"/>
          <w:sz w:val="26"/>
          <w:szCs w:val="26"/>
        </w:rPr>
        <w:t xml:space="preserve">to recommend use of </w:t>
      </w:r>
      <w:r w:rsidR="00B769AE" w:rsidRPr="00C80D3A">
        <w:rPr>
          <w:rFonts w:ascii="Times New Roman" w:hAnsi="Times New Roman" w:cs="Times New Roman"/>
          <w:sz w:val="26"/>
          <w:szCs w:val="26"/>
        </w:rPr>
        <w:t xml:space="preserve">the </w:t>
      </w:r>
      <w:r w:rsidR="00B26F2A" w:rsidRPr="00C80D3A">
        <w:rPr>
          <w:rFonts w:ascii="Times New Roman" w:hAnsi="Times New Roman" w:cs="Times New Roman"/>
          <w:sz w:val="26"/>
          <w:szCs w:val="26"/>
        </w:rPr>
        <w:t xml:space="preserve">standardized </w:t>
      </w:r>
      <w:r w:rsidR="00B7066B" w:rsidRPr="00C80D3A">
        <w:rPr>
          <w:rFonts w:ascii="Times New Roman" w:hAnsi="Times New Roman" w:cs="Times New Roman"/>
          <w:sz w:val="26"/>
          <w:szCs w:val="26"/>
        </w:rPr>
        <w:t xml:space="preserve">forms such as the </w:t>
      </w:r>
      <w:r w:rsidR="00B769AE" w:rsidRPr="00C80D3A">
        <w:rPr>
          <w:rFonts w:ascii="Times New Roman" w:hAnsi="Times New Roman" w:cs="Times New Roman"/>
          <w:sz w:val="26"/>
          <w:szCs w:val="26"/>
        </w:rPr>
        <w:t xml:space="preserve">zero-income </w:t>
      </w:r>
      <w:r w:rsidR="00B26F2A" w:rsidRPr="00C80D3A">
        <w:rPr>
          <w:rFonts w:ascii="Times New Roman" w:hAnsi="Times New Roman" w:cs="Times New Roman"/>
          <w:sz w:val="26"/>
          <w:szCs w:val="26"/>
        </w:rPr>
        <w:t>form</w:t>
      </w:r>
      <w:r w:rsidR="004D593E" w:rsidRPr="00C80D3A">
        <w:rPr>
          <w:rFonts w:ascii="Times New Roman" w:hAnsi="Times New Roman" w:cs="Times New Roman"/>
          <w:sz w:val="26"/>
          <w:szCs w:val="26"/>
        </w:rPr>
        <w:t xml:space="preserve"> in Appendix C</w:t>
      </w:r>
      <w:r w:rsidR="00F22E72" w:rsidRPr="00C80D3A">
        <w:rPr>
          <w:rFonts w:ascii="Times New Roman" w:hAnsi="Times New Roman" w:cs="Times New Roman"/>
          <w:sz w:val="26"/>
          <w:szCs w:val="26"/>
        </w:rPr>
        <w:t xml:space="preserve"> and to encourage the development and use of additional standardized forms and procedures</w:t>
      </w:r>
      <w:r w:rsidR="000B392A" w:rsidRPr="00C80D3A">
        <w:rPr>
          <w:rFonts w:ascii="Times New Roman" w:hAnsi="Times New Roman" w:cs="Times New Roman"/>
          <w:sz w:val="26"/>
          <w:szCs w:val="26"/>
        </w:rPr>
        <w:t>.</w:t>
      </w:r>
      <w:r w:rsidR="00B26F2A" w:rsidRPr="00C80D3A">
        <w:rPr>
          <w:rFonts w:ascii="Times New Roman" w:hAnsi="Times New Roman" w:cs="Times New Roman"/>
          <w:sz w:val="26"/>
          <w:szCs w:val="26"/>
        </w:rPr>
        <w:t xml:space="preserve"> </w:t>
      </w:r>
    </w:p>
    <w:p w14:paraId="712ACA63" w14:textId="1EEECE52" w:rsidR="00861B80" w:rsidRPr="00C80D3A" w:rsidRDefault="00861B80" w:rsidP="00861B80">
      <w:pPr>
        <w:spacing w:after="0" w:line="360" w:lineRule="auto"/>
        <w:contextualSpacing/>
        <w:rPr>
          <w:rFonts w:ascii="Times New Roman" w:hAnsi="Times New Roman" w:cs="Times New Roman"/>
          <w:sz w:val="26"/>
          <w:szCs w:val="26"/>
        </w:rPr>
      </w:pPr>
    </w:p>
    <w:p w14:paraId="20B6108E" w14:textId="77777777" w:rsidR="00756439" w:rsidRDefault="00506216" w:rsidP="009A3B4B">
      <w:pPr>
        <w:pStyle w:val="Heading3"/>
        <w:keepLines/>
        <w:spacing w:after="60"/>
        <w:rPr>
          <w:bCs/>
          <w:sz w:val="26"/>
          <w:szCs w:val="26"/>
        </w:rPr>
      </w:pPr>
      <w:bookmarkStart w:id="29" w:name="_12._Proposed_Change:"/>
      <w:bookmarkEnd w:id="29"/>
      <w:r w:rsidRPr="00C80D3A">
        <w:rPr>
          <w:sz w:val="26"/>
          <w:szCs w:val="26"/>
        </w:rPr>
        <w:t>1</w:t>
      </w:r>
      <w:r w:rsidR="00340F40" w:rsidRPr="00C80D3A">
        <w:rPr>
          <w:sz w:val="26"/>
          <w:szCs w:val="26"/>
        </w:rPr>
        <w:t>2</w:t>
      </w:r>
      <w:r w:rsidRPr="00C80D3A">
        <w:rPr>
          <w:sz w:val="26"/>
          <w:szCs w:val="26"/>
        </w:rPr>
        <w:t xml:space="preserve">. </w:t>
      </w:r>
      <w:bookmarkStart w:id="30" w:name="_Hlk13555945"/>
      <w:r w:rsidR="00A613A4" w:rsidRPr="00C80D3A">
        <w:rPr>
          <w:sz w:val="26"/>
          <w:szCs w:val="26"/>
        </w:rPr>
        <w:t xml:space="preserve"> </w:t>
      </w:r>
      <w:r w:rsidR="003F5646" w:rsidRPr="00C80D3A">
        <w:rPr>
          <w:bCs/>
          <w:sz w:val="26"/>
          <w:szCs w:val="26"/>
        </w:rPr>
        <w:t>Establish new maximum recertification timeframes for CAPs</w:t>
      </w:r>
      <w:r w:rsidR="00756439">
        <w:rPr>
          <w:bCs/>
          <w:sz w:val="26"/>
          <w:szCs w:val="26"/>
        </w:rPr>
        <w:t>:</w:t>
      </w:r>
    </w:p>
    <w:p w14:paraId="0D45F84F" w14:textId="1B978EB3" w:rsidR="00D50154" w:rsidRDefault="00AE02DB" w:rsidP="009A3B4B">
      <w:pPr>
        <w:pStyle w:val="Heading3"/>
        <w:keepLines/>
        <w:numPr>
          <w:ilvl w:val="0"/>
          <w:numId w:val="35"/>
        </w:numPr>
        <w:spacing w:after="60"/>
        <w:rPr>
          <w:bCs/>
          <w:sz w:val="26"/>
          <w:szCs w:val="26"/>
        </w:rPr>
      </w:pPr>
      <w:r>
        <w:rPr>
          <w:bCs/>
          <w:sz w:val="26"/>
          <w:szCs w:val="26"/>
        </w:rPr>
        <w:t>CAP h</w:t>
      </w:r>
      <w:r w:rsidR="003F5646" w:rsidRPr="00C80D3A">
        <w:rPr>
          <w:bCs/>
          <w:sz w:val="26"/>
          <w:szCs w:val="26"/>
        </w:rPr>
        <w:t xml:space="preserve">ouseholds reporting no income </w:t>
      </w:r>
      <w:r w:rsidR="00756439">
        <w:rPr>
          <w:bCs/>
          <w:sz w:val="26"/>
          <w:szCs w:val="26"/>
        </w:rPr>
        <w:t xml:space="preserve">should be required </w:t>
      </w:r>
      <w:r w:rsidR="003F5646" w:rsidRPr="00C80D3A">
        <w:rPr>
          <w:bCs/>
          <w:sz w:val="26"/>
          <w:szCs w:val="26"/>
        </w:rPr>
        <w:t xml:space="preserve">to recertify at least every six </w:t>
      </w:r>
      <w:r w:rsidR="00756439">
        <w:rPr>
          <w:bCs/>
          <w:sz w:val="26"/>
          <w:szCs w:val="26"/>
        </w:rPr>
        <w:t>(</w:t>
      </w:r>
      <w:r w:rsidR="00D50154">
        <w:rPr>
          <w:bCs/>
          <w:sz w:val="26"/>
          <w:szCs w:val="26"/>
        </w:rPr>
        <w:t>6) </w:t>
      </w:r>
      <w:r w:rsidR="003F5646" w:rsidRPr="00C80D3A">
        <w:rPr>
          <w:bCs/>
          <w:sz w:val="26"/>
          <w:szCs w:val="26"/>
        </w:rPr>
        <w:t>months</w:t>
      </w:r>
      <w:r w:rsidR="00D50154">
        <w:rPr>
          <w:bCs/>
          <w:sz w:val="26"/>
          <w:szCs w:val="26"/>
        </w:rPr>
        <w:t xml:space="preserve"> regardless of LIHEAP participation</w:t>
      </w:r>
      <w:r w:rsidR="003F5646" w:rsidRPr="00C80D3A">
        <w:rPr>
          <w:bCs/>
          <w:sz w:val="26"/>
          <w:szCs w:val="26"/>
        </w:rPr>
        <w:t xml:space="preserve">; </w:t>
      </w:r>
    </w:p>
    <w:p w14:paraId="60052850" w14:textId="56766F8F" w:rsidR="00D50154" w:rsidRDefault="00AE02DB" w:rsidP="009A3B4B">
      <w:pPr>
        <w:pStyle w:val="Heading3"/>
        <w:keepLines/>
        <w:numPr>
          <w:ilvl w:val="0"/>
          <w:numId w:val="35"/>
        </w:numPr>
        <w:spacing w:after="60"/>
        <w:rPr>
          <w:bCs/>
          <w:sz w:val="26"/>
          <w:szCs w:val="26"/>
        </w:rPr>
      </w:pPr>
      <w:r>
        <w:rPr>
          <w:bCs/>
          <w:sz w:val="26"/>
          <w:szCs w:val="26"/>
        </w:rPr>
        <w:t>CAP h</w:t>
      </w:r>
      <w:r w:rsidR="003F5646" w:rsidRPr="00C80D3A">
        <w:rPr>
          <w:bCs/>
          <w:sz w:val="26"/>
          <w:szCs w:val="26"/>
        </w:rPr>
        <w:t xml:space="preserve">ouseholds </w:t>
      </w:r>
      <w:r w:rsidR="00E941D1">
        <w:rPr>
          <w:bCs/>
          <w:sz w:val="26"/>
          <w:szCs w:val="26"/>
        </w:rPr>
        <w:t xml:space="preserve">with income </w:t>
      </w:r>
      <w:r w:rsidR="00D50154">
        <w:rPr>
          <w:bCs/>
          <w:sz w:val="26"/>
          <w:szCs w:val="26"/>
        </w:rPr>
        <w:t xml:space="preserve">that </w:t>
      </w:r>
      <w:r w:rsidR="003F5646" w:rsidRPr="00C80D3A">
        <w:rPr>
          <w:bCs/>
          <w:sz w:val="26"/>
          <w:szCs w:val="26"/>
        </w:rPr>
        <w:t xml:space="preserve">participate in LIHEAP annually should </w:t>
      </w:r>
      <w:r w:rsidR="000C64B9">
        <w:rPr>
          <w:bCs/>
          <w:sz w:val="26"/>
          <w:szCs w:val="26"/>
        </w:rPr>
        <w:t xml:space="preserve">be required to </w:t>
      </w:r>
      <w:r w:rsidR="003F5646" w:rsidRPr="00C80D3A">
        <w:rPr>
          <w:bCs/>
          <w:sz w:val="26"/>
          <w:szCs w:val="26"/>
        </w:rPr>
        <w:t xml:space="preserve">recertify at least once every three </w:t>
      </w:r>
      <w:r w:rsidR="00686396">
        <w:rPr>
          <w:bCs/>
          <w:sz w:val="26"/>
          <w:szCs w:val="26"/>
        </w:rPr>
        <w:t xml:space="preserve">(3) </w:t>
      </w:r>
      <w:r w:rsidR="003F5646" w:rsidRPr="00C80D3A">
        <w:rPr>
          <w:bCs/>
          <w:sz w:val="26"/>
          <w:szCs w:val="26"/>
        </w:rPr>
        <w:t xml:space="preserve">years; </w:t>
      </w:r>
    </w:p>
    <w:p w14:paraId="25E57DAF" w14:textId="733F074D" w:rsidR="000C64B9" w:rsidRDefault="00AE02DB" w:rsidP="009A3B4B">
      <w:pPr>
        <w:pStyle w:val="Heading3"/>
        <w:keepLines/>
        <w:numPr>
          <w:ilvl w:val="0"/>
          <w:numId w:val="35"/>
        </w:numPr>
        <w:spacing w:after="60"/>
        <w:rPr>
          <w:bCs/>
          <w:sz w:val="26"/>
          <w:szCs w:val="26"/>
        </w:rPr>
      </w:pPr>
      <w:r>
        <w:rPr>
          <w:bCs/>
          <w:sz w:val="26"/>
          <w:szCs w:val="26"/>
        </w:rPr>
        <w:t>CAP h</w:t>
      </w:r>
      <w:r w:rsidR="003F5646" w:rsidRPr="00C80D3A">
        <w:rPr>
          <w:bCs/>
          <w:sz w:val="26"/>
          <w:szCs w:val="26"/>
        </w:rPr>
        <w:t>ouseholds</w:t>
      </w:r>
      <w:r w:rsidR="006B3A7C">
        <w:rPr>
          <w:bCs/>
          <w:sz w:val="26"/>
          <w:szCs w:val="26"/>
        </w:rPr>
        <w:t xml:space="preserve"> </w:t>
      </w:r>
      <w:r w:rsidR="003F5646" w:rsidRPr="00C80D3A">
        <w:rPr>
          <w:bCs/>
          <w:sz w:val="26"/>
          <w:szCs w:val="26"/>
        </w:rPr>
        <w:t xml:space="preserve">whose primary source of income is Social Security, Supplemental Security Income (SSI), or pensions should </w:t>
      </w:r>
      <w:r w:rsidR="000C64B9">
        <w:rPr>
          <w:bCs/>
          <w:sz w:val="26"/>
          <w:szCs w:val="26"/>
        </w:rPr>
        <w:t xml:space="preserve">be required to </w:t>
      </w:r>
      <w:r w:rsidR="003F5646" w:rsidRPr="00C80D3A">
        <w:rPr>
          <w:bCs/>
          <w:sz w:val="26"/>
          <w:szCs w:val="26"/>
        </w:rPr>
        <w:t xml:space="preserve">recertify at least once every </w:t>
      </w:r>
      <w:r w:rsidR="007D4BCE">
        <w:rPr>
          <w:bCs/>
          <w:sz w:val="26"/>
          <w:szCs w:val="26"/>
        </w:rPr>
        <w:t>three</w:t>
      </w:r>
      <w:r w:rsidR="003F5646" w:rsidRPr="00C80D3A">
        <w:rPr>
          <w:bCs/>
          <w:sz w:val="26"/>
          <w:szCs w:val="26"/>
        </w:rPr>
        <w:t xml:space="preserve"> </w:t>
      </w:r>
      <w:r w:rsidR="00686396">
        <w:rPr>
          <w:bCs/>
          <w:sz w:val="26"/>
          <w:szCs w:val="26"/>
        </w:rPr>
        <w:t xml:space="preserve">(3) </w:t>
      </w:r>
      <w:r w:rsidR="003F5646" w:rsidRPr="00C80D3A">
        <w:rPr>
          <w:bCs/>
          <w:sz w:val="26"/>
          <w:szCs w:val="26"/>
        </w:rPr>
        <w:t xml:space="preserve">years; and </w:t>
      </w:r>
    </w:p>
    <w:p w14:paraId="0A9CEEA1" w14:textId="6812E075" w:rsidR="00506216" w:rsidRPr="00EF6F22" w:rsidRDefault="000C64B9" w:rsidP="00AD537C">
      <w:pPr>
        <w:pStyle w:val="Heading3"/>
        <w:keepLines/>
        <w:numPr>
          <w:ilvl w:val="0"/>
          <w:numId w:val="35"/>
        </w:numPr>
        <w:spacing w:after="60"/>
        <w:rPr>
          <w:sz w:val="26"/>
          <w:szCs w:val="26"/>
        </w:rPr>
      </w:pPr>
      <w:r w:rsidRPr="00AD537C">
        <w:rPr>
          <w:bCs/>
          <w:sz w:val="26"/>
          <w:szCs w:val="26"/>
        </w:rPr>
        <w:t>A</w:t>
      </w:r>
      <w:r w:rsidR="003F5646" w:rsidRPr="00AD537C">
        <w:rPr>
          <w:bCs/>
          <w:sz w:val="26"/>
          <w:szCs w:val="26"/>
        </w:rPr>
        <w:t xml:space="preserve">ll other CAP households should </w:t>
      </w:r>
      <w:r w:rsidR="00CB38E0" w:rsidRPr="0012110C">
        <w:rPr>
          <w:bCs/>
          <w:sz w:val="26"/>
          <w:szCs w:val="26"/>
        </w:rPr>
        <w:t xml:space="preserve">be required to </w:t>
      </w:r>
      <w:r w:rsidR="003F5646" w:rsidRPr="00BF4C37">
        <w:rPr>
          <w:bCs/>
          <w:sz w:val="26"/>
          <w:szCs w:val="26"/>
        </w:rPr>
        <w:t xml:space="preserve">recertify at least once every two </w:t>
      </w:r>
      <w:r w:rsidR="00686396" w:rsidRPr="00BF4C37">
        <w:rPr>
          <w:bCs/>
          <w:sz w:val="26"/>
          <w:szCs w:val="26"/>
        </w:rPr>
        <w:t>(2</w:t>
      </w:r>
      <w:r w:rsidR="00686396" w:rsidRPr="00EF6F22">
        <w:rPr>
          <w:bCs/>
          <w:sz w:val="26"/>
          <w:szCs w:val="26"/>
        </w:rPr>
        <w:t xml:space="preserve">) </w:t>
      </w:r>
      <w:r w:rsidR="003F5646" w:rsidRPr="00EF6F22">
        <w:rPr>
          <w:bCs/>
          <w:sz w:val="26"/>
          <w:szCs w:val="26"/>
        </w:rPr>
        <w:t>years</w:t>
      </w:r>
      <w:r w:rsidR="00506216" w:rsidRPr="00EF6F22">
        <w:rPr>
          <w:sz w:val="26"/>
          <w:szCs w:val="26"/>
        </w:rPr>
        <w:t>.</w:t>
      </w:r>
      <w:bookmarkEnd w:id="30"/>
      <w:r w:rsidR="00506216" w:rsidRPr="00EF6F22">
        <w:rPr>
          <w:sz w:val="26"/>
          <w:szCs w:val="26"/>
        </w:rPr>
        <w:t xml:space="preserve"> </w:t>
      </w:r>
    </w:p>
    <w:p w14:paraId="417B3DFA" w14:textId="7CFD73A9" w:rsidR="00506216" w:rsidRPr="00C80D3A" w:rsidRDefault="00506216" w:rsidP="001B1FA6">
      <w:pPr>
        <w:keepNext/>
        <w:spacing w:after="0" w:line="240" w:lineRule="auto"/>
        <w:contextualSpacing/>
        <w:rPr>
          <w:rFonts w:ascii="Times New Roman" w:hAnsi="Times New Roman" w:cs="Times New Roman"/>
          <w:sz w:val="26"/>
          <w:szCs w:val="26"/>
        </w:rPr>
      </w:pPr>
    </w:p>
    <w:p w14:paraId="2E48D007" w14:textId="5C20E309" w:rsidR="00442B52" w:rsidRDefault="00506216" w:rsidP="00315DBC">
      <w:pPr>
        <w:spacing w:after="0" w:line="360" w:lineRule="auto"/>
        <w:contextualSpacing/>
        <w:rPr>
          <w:rFonts w:ascii="Times New Roman" w:hAnsi="Times New Roman" w:cs="Times New Roman"/>
          <w:bCs/>
          <w:sz w:val="26"/>
          <w:szCs w:val="26"/>
        </w:rPr>
      </w:pPr>
      <w:r w:rsidRPr="00C80D3A">
        <w:rPr>
          <w:rFonts w:ascii="Times New Roman" w:hAnsi="Times New Roman" w:cs="Times New Roman"/>
          <w:sz w:val="26"/>
          <w:szCs w:val="26"/>
        </w:rPr>
        <w:tab/>
        <w:t>The CAP Policy Statement instructs EDCs and NGDCs to reestablish a participant</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eligibility for CAP benefits annually.  Section 69.265(6)(viii).  However, </w:t>
      </w:r>
      <w:r w:rsidRPr="00C80D3A">
        <w:rPr>
          <w:rFonts w:ascii="Times New Roman" w:hAnsi="Times New Roman" w:cs="Times New Roman"/>
          <w:bCs/>
          <w:sz w:val="26"/>
          <w:szCs w:val="26"/>
        </w:rPr>
        <w:t xml:space="preserve">the Commission has approved </w:t>
      </w:r>
      <w:r w:rsidR="00AE16D8" w:rsidRPr="00C80D3A">
        <w:rPr>
          <w:rFonts w:ascii="Times New Roman" w:hAnsi="Times New Roman" w:cs="Times New Roman"/>
          <w:bCs/>
          <w:sz w:val="26"/>
          <w:szCs w:val="26"/>
        </w:rPr>
        <w:t xml:space="preserve">some </w:t>
      </w:r>
      <w:r w:rsidRPr="00C80D3A">
        <w:rPr>
          <w:rFonts w:ascii="Times New Roman" w:hAnsi="Times New Roman" w:cs="Times New Roman"/>
          <w:bCs/>
          <w:sz w:val="26"/>
          <w:szCs w:val="26"/>
        </w:rPr>
        <w:t>CAP recertification timeframes exceeding one year</w:t>
      </w:r>
      <w:r w:rsidR="0041030C" w:rsidRPr="00C80D3A">
        <w:rPr>
          <w:rFonts w:ascii="Times New Roman" w:hAnsi="Times New Roman" w:cs="Times New Roman"/>
          <w:bCs/>
          <w:sz w:val="26"/>
          <w:szCs w:val="26"/>
        </w:rPr>
        <w:t xml:space="preserve"> in USECP</w:t>
      </w:r>
      <w:r w:rsidR="00C021C7" w:rsidRPr="00C80D3A">
        <w:rPr>
          <w:rFonts w:ascii="Times New Roman" w:hAnsi="Times New Roman" w:cs="Times New Roman"/>
          <w:bCs/>
          <w:sz w:val="26"/>
          <w:szCs w:val="26"/>
        </w:rPr>
        <w:t xml:space="preserve"> proceedings</w:t>
      </w:r>
      <w:r w:rsidRPr="00C80D3A">
        <w:rPr>
          <w:rFonts w:ascii="Times New Roman" w:hAnsi="Times New Roman" w:cs="Times New Roman"/>
          <w:bCs/>
          <w:sz w:val="26"/>
          <w:szCs w:val="26"/>
        </w:rPr>
        <w:t>.  In situations where the household receives LIHEAP annually or has a fixed income (</w:t>
      </w:r>
      <w:r w:rsidRPr="00C80D3A">
        <w:rPr>
          <w:rFonts w:ascii="Times New Roman" w:hAnsi="Times New Roman" w:cs="Times New Roman"/>
          <w:bCs/>
          <w:i/>
          <w:iCs/>
          <w:sz w:val="26"/>
          <w:szCs w:val="26"/>
        </w:rPr>
        <w:t>i.e.</w:t>
      </w:r>
      <w:r w:rsidRPr="00C80D3A">
        <w:rPr>
          <w:rFonts w:ascii="Times New Roman" w:hAnsi="Times New Roman" w:cs="Times New Roman"/>
          <w:bCs/>
          <w:sz w:val="26"/>
          <w:szCs w:val="26"/>
        </w:rPr>
        <w:t xml:space="preserve">, Social Security, SSI, or a pension), the Commission has allowed utilities to temporarily </w:t>
      </w:r>
      <w:r w:rsidR="00AC7694" w:rsidRPr="00C80D3A">
        <w:rPr>
          <w:rFonts w:ascii="Times New Roman" w:hAnsi="Times New Roman" w:cs="Times New Roman"/>
          <w:bCs/>
          <w:sz w:val="26"/>
          <w:szCs w:val="26"/>
        </w:rPr>
        <w:t>use alternat</w:t>
      </w:r>
      <w:r w:rsidR="0084221B" w:rsidRPr="00C80D3A">
        <w:rPr>
          <w:rFonts w:ascii="Times New Roman" w:hAnsi="Times New Roman" w:cs="Times New Roman"/>
          <w:bCs/>
          <w:sz w:val="26"/>
          <w:szCs w:val="26"/>
        </w:rPr>
        <w:t xml:space="preserve">e </w:t>
      </w:r>
      <w:r w:rsidRPr="00C80D3A">
        <w:rPr>
          <w:rFonts w:ascii="Times New Roman" w:hAnsi="Times New Roman" w:cs="Times New Roman"/>
          <w:bCs/>
          <w:sz w:val="26"/>
          <w:szCs w:val="26"/>
        </w:rPr>
        <w:t xml:space="preserve">recertification requirements.  Table </w:t>
      </w:r>
      <w:r w:rsidR="00442B52">
        <w:rPr>
          <w:rFonts w:ascii="Times New Roman" w:hAnsi="Times New Roman" w:cs="Times New Roman"/>
          <w:bCs/>
          <w:sz w:val="26"/>
          <w:szCs w:val="26"/>
        </w:rPr>
        <w:t>6 below</w:t>
      </w:r>
      <w:r w:rsidRPr="00C80D3A">
        <w:rPr>
          <w:rFonts w:ascii="Times New Roman" w:hAnsi="Times New Roman" w:cs="Times New Roman"/>
          <w:bCs/>
          <w:sz w:val="26"/>
          <w:szCs w:val="26"/>
        </w:rPr>
        <w:t xml:space="preserve"> reflects the current CAP recertification timeframes for EDCs and NGDCs. </w:t>
      </w:r>
    </w:p>
    <w:p w14:paraId="204006B1" w14:textId="77777777" w:rsidR="00442B52" w:rsidRPr="00C80D3A" w:rsidRDefault="00442B52" w:rsidP="00315DBC">
      <w:pPr>
        <w:spacing w:after="0" w:line="360" w:lineRule="auto"/>
        <w:contextualSpacing/>
        <w:rPr>
          <w:rFonts w:ascii="Times New Roman" w:hAnsi="Times New Roman" w:cs="Times New Roman"/>
          <w:bCs/>
          <w:sz w:val="26"/>
          <w:szCs w:val="26"/>
        </w:rPr>
      </w:pPr>
    </w:p>
    <w:p w14:paraId="6E97774F" w14:textId="0BA7BAFA" w:rsidR="00506216" w:rsidRPr="00C80D3A" w:rsidRDefault="00506216" w:rsidP="001F47DA">
      <w:pPr>
        <w:keepNext/>
        <w:spacing w:after="0" w:line="240" w:lineRule="auto"/>
        <w:contextualSpacing/>
        <w:jc w:val="center"/>
        <w:rPr>
          <w:rFonts w:ascii="Times New Roman" w:hAnsi="Times New Roman" w:cs="Times New Roman"/>
          <w:b/>
          <w:sz w:val="26"/>
          <w:szCs w:val="26"/>
        </w:rPr>
      </w:pPr>
      <w:r w:rsidRPr="00C80D3A">
        <w:rPr>
          <w:rFonts w:ascii="Times New Roman" w:hAnsi="Times New Roman" w:cs="Times New Roman"/>
          <w:b/>
          <w:sz w:val="26"/>
          <w:szCs w:val="26"/>
        </w:rPr>
        <w:t xml:space="preserve">Table </w:t>
      </w:r>
      <w:r w:rsidR="00442B52">
        <w:rPr>
          <w:rFonts w:ascii="Times New Roman" w:hAnsi="Times New Roman" w:cs="Times New Roman"/>
          <w:b/>
          <w:sz w:val="26"/>
          <w:szCs w:val="26"/>
        </w:rPr>
        <w:t>6</w:t>
      </w:r>
    </w:p>
    <w:p w14:paraId="43C901A4" w14:textId="77777777" w:rsidR="00506216" w:rsidRPr="00C80D3A" w:rsidRDefault="00506216" w:rsidP="001F47DA">
      <w:pPr>
        <w:keepNext/>
        <w:spacing w:after="0" w:line="240" w:lineRule="auto"/>
        <w:contextualSpacing/>
        <w:jc w:val="center"/>
        <w:rPr>
          <w:rFonts w:ascii="Times New Roman" w:hAnsi="Times New Roman" w:cs="Times New Roman"/>
          <w:b/>
          <w:sz w:val="26"/>
          <w:szCs w:val="26"/>
        </w:rPr>
      </w:pPr>
      <w:r w:rsidRPr="00C80D3A">
        <w:rPr>
          <w:rFonts w:ascii="Times New Roman" w:hAnsi="Times New Roman" w:cs="Times New Roman"/>
          <w:b/>
          <w:sz w:val="26"/>
          <w:szCs w:val="26"/>
        </w:rPr>
        <w:t>CAP Recertification Timeframes for EDCs and NGDCs</w:t>
      </w:r>
    </w:p>
    <w:tbl>
      <w:tblPr>
        <w:tblStyle w:val="TableGrid"/>
        <w:tblW w:w="9265" w:type="dxa"/>
        <w:tblLook w:val="04A0" w:firstRow="1" w:lastRow="0" w:firstColumn="1" w:lastColumn="0" w:noHBand="0" w:noVBand="1"/>
      </w:tblPr>
      <w:tblGrid>
        <w:gridCol w:w="1795"/>
        <w:gridCol w:w="1800"/>
        <w:gridCol w:w="1890"/>
        <w:gridCol w:w="2160"/>
        <w:gridCol w:w="1620"/>
      </w:tblGrid>
      <w:tr w:rsidR="00506216" w:rsidRPr="00C80D3A" w14:paraId="463A1C1A" w14:textId="77777777" w:rsidTr="009A3B4B">
        <w:tc>
          <w:tcPr>
            <w:tcW w:w="1795" w:type="dxa"/>
            <w:tcBorders>
              <w:bottom w:val="single" w:sz="12" w:space="0" w:color="auto"/>
            </w:tcBorders>
            <w:vAlign w:val="center"/>
          </w:tcPr>
          <w:p w14:paraId="1150D8CE" w14:textId="5B501D42" w:rsidR="00506216" w:rsidRPr="00C80D3A" w:rsidRDefault="0077058C" w:rsidP="009A3B4B">
            <w:pPr>
              <w:keepNext/>
              <w:contextualSpacing/>
              <w:jc w:val="center"/>
              <w:rPr>
                <w:b/>
                <w:sz w:val="26"/>
                <w:szCs w:val="26"/>
              </w:rPr>
            </w:pPr>
            <w:r>
              <w:rPr>
                <w:b/>
                <w:sz w:val="26"/>
                <w:szCs w:val="26"/>
              </w:rPr>
              <w:t>Utility</w:t>
            </w:r>
          </w:p>
        </w:tc>
        <w:tc>
          <w:tcPr>
            <w:tcW w:w="1800" w:type="dxa"/>
            <w:tcBorders>
              <w:bottom w:val="single" w:sz="12" w:space="0" w:color="auto"/>
            </w:tcBorders>
            <w:vAlign w:val="center"/>
          </w:tcPr>
          <w:p w14:paraId="659A23B6" w14:textId="77777777" w:rsidR="00506216" w:rsidRPr="00C80D3A" w:rsidRDefault="00506216" w:rsidP="00AC7694">
            <w:pPr>
              <w:keepNext/>
              <w:contextualSpacing/>
              <w:jc w:val="center"/>
              <w:rPr>
                <w:b/>
                <w:sz w:val="26"/>
                <w:szCs w:val="26"/>
              </w:rPr>
            </w:pPr>
            <w:r w:rsidRPr="00C80D3A">
              <w:rPr>
                <w:b/>
                <w:sz w:val="26"/>
                <w:szCs w:val="26"/>
              </w:rPr>
              <w:t>No Income</w:t>
            </w:r>
          </w:p>
        </w:tc>
        <w:tc>
          <w:tcPr>
            <w:tcW w:w="1890" w:type="dxa"/>
            <w:tcBorders>
              <w:bottom w:val="single" w:sz="12" w:space="0" w:color="auto"/>
            </w:tcBorders>
            <w:vAlign w:val="center"/>
          </w:tcPr>
          <w:p w14:paraId="6558E4E4" w14:textId="77777777" w:rsidR="00506216" w:rsidRPr="00C80D3A" w:rsidRDefault="00506216" w:rsidP="00AC7694">
            <w:pPr>
              <w:keepNext/>
              <w:contextualSpacing/>
              <w:jc w:val="center"/>
              <w:rPr>
                <w:b/>
                <w:sz w:val="26"/>
                <w:szCs w:val="26"/>
              </w:rPr>
            </w:pPr>
            <w:r w:rsidRPr="00C80D3A">
              <w:rPr>
                <w:b/>
                <w:sz w:val="26"/>
                <w:szCs w:val="26"/>
              </w:rPr>
              <w:t>Receive LIHEAP Annually</w:t>
            </w:r>
          </w:p>
        </w:tc>
        <w:tc>
          <w:tcPr>
            <w:tcW w:w="2160" w:type="dxa"/>
            <w:tcBorders>
              <w:bottom w:val="single" w:sz="12" w:space="0" w:color="auto"/>
            </w:tcBorders>
            <w:vAlign w:val="center"/>
          </w:tcPr>
          <w:p w14:paraId="1E51EEA0" w14:textId="6FB66EAC" w:rsidR="00506216" w:rsidRPr="00C80D3A" w:rsidRDefault="00506216" w:rsidP="00AC7694">
            <w:pPr>
              <w:keepNext/>
              <w:contextualSpacing/>
              <w:jc w:val="center"/>
              <w:rPr>
                <w:b/>
                <w:sz w:val="26"/>
                <w:szCs w:val="26"/>
              </w:rPr>
            </w:pPr>
            <w:r w:rsidRPr="00C80D3A">
              <w:rPr>
                <w:b/>
                <w:sz w:val="26"/>
                <w:szCs w:val="26"/>
              </w:rPr>
              <w:t>Primary Income: S</w:t>
            </w:r>
            <w:r w:rsidR="0095709D">
              <w:rPr>
                <w:b/>
                <w:sz w:val="26"/>
                <w:szCs w:val="26"/>
              </w:rPr>
              <w:t>S</w:t>
            </w:r>
            <w:r w:rsidRPr="00C80D3A">
              <w:rPr>
                <w:b/>
                <w:sz w:val="26"/>
                <w:szCs w:val="26"/>
              </w:rPr>
              <w:t>, SSI, or Pension</w:t>
            </w:r>
          </w:p>
        </w:tc>
        <w:tc>
          <w:tcPr>
            <w:tcW w:w="1620" w:type="dxa"/>
            <w:tcBorders>
              <w:bottom w:val="single" w:sz="12" w:space="0" w:color="auto"/>
            </w:tcBorders>
            <w:vAlign w:val="center"/>
          </w:tcPr>
          <w:p w14:paraId="483C23E6" w14:textId="77777777" w:rsidR="00506216" w:rsidRPr="00C80D3A" w:rsidRDefault="00506216" w:rsidP="00AC7694">
            <w:pPr>
              <w:keepNext/>
              <w:contextualSpacing/>
              <w:jc w:val="center"/>
              <w:rPr>
                <w:b/>
                <w:sz w:val="26"/>
                <w:szCs w:val="26"/>
              </w:rPr>
            </w:pPr>
            <w:r w:rsidRPr="00C80D3A">
              <w:rPr>
                <w:b/>
                <w:sz w:val="26"/>
                <w:szCs w:val="26"/>
              </w:rPr>
              <w:t>All other CAP Participants</w:t>
            </w:r>
          </w:p>
        </w:tc>
      </w:tr>
      <w:tr w:rsidR="00506216" w:rsidRPr="00C80D3A" w14:paraId="791A52BA" w14:textId="77777777" w:rsidTr="009A3B4B">
        <w:tc>
          <w:tcPr>
            <w:tcW w:w="1795" w:type="dxa"/>
            <w:tcBorders>
              <w:top w:val="single" w:sz="12" w:space="0" w:color="auto"/>
            </w:tcBorders>
            <w:vAlign w:val="center"/>
          </w:tcPr>
          <w:p w14:paraId="3E54DA5A" w14:textId="77777777" w:rsidR="00506216" w:rsidRPr="009A3B4B" w:rsidRDefault="00506216" w:rsidP="009A3B4B">
            <w:pPr>
              <w:keepNext/>
              <w:contextualSpacing/>
              <w:rPr>
                <w:b/>
                <w:sz w:val="24"/>
                <w:szCs w:val="24"/>
              </w:rPr>
            </w:pPr>
            <w:r w:rsidRPr="009A3B4B">
              <w:rPr>
                <w:b/>
                <w:sz w:val="24"/>
                <w:szCs w:val="24"/>
              </w:rPr>
              <w:t>Duquesne</w:t>
            </w:r>
            <w:r w:rsidRPr="009A3B4B">
              <w:rPr>
                <w:b/>
                <w:sz w:val="24"/>
                <w:szCs w:val="24"/>
                <w:vertAlign w:val="superscript"/>
              </w:rPr>
              <w:footnoteReference w:id="103"/>
            </w:r>
          </w:p>
        </w:tc>
        <w:tc>
          <w:tcPr>
            <w:tcW w:w="1800" w:type="dxa"/>
            <w:tcBorders>
              <w:top w:val="single" w:sz="12" w:space="0" w:color="auto"/>
            </w:tcBorders>
            <w:vAlign w:val="center"/>
          </w:tcPr>
          <w:p w14:paraId="58497E6B" w14:textId="77777777" w:rsidR="00506216" w:rsidRPr="009A3B4B" w:rsidRDefault="00506216" w:rsidP="00202023">
            <w:pPr>
              <w:keepNext/>
              <w:contextualSpacing/>
              <w:jc w:val="center"/>
              <w:rPr>
                <w:bCs/>
                <w:sz w:val="24"/>
                <w:szCs w:val="24"/>
              </w:rPr>
            </w:pPr>
            <w:r w:rsidRPr="009A3B4B">
              <w:rPr>
                <w:bCs/>
                <w:sz w:val="24"/>
                <w:szCs w:val="24"/>
              </w:rPr>
              <w:t>Every 6 months</w:t>
            </w:r>
          </w:p>
        </w:tc>
        <w:tc>
          <w:tcPr>
            <w:tcW w:w="1890" w:type="dxa"/>
            <w:tcBorders>
              <w:top w:val="single" w:sz="12" w:space="0" w:color="auto"/>
            </w:tcBorders>
            <w:vAlign w:val="center"/>
          </w:tcPr>
          <w:p w14:paraId="1683B2E7" w14:textId="77777777" w:rsidR="00506216" w:rsidRPr="009A3B4B" w:rsidRDefault="00506216" w:rsidP="00202023">
            <w:pPr>
              <w:keepNext/>
              <w:contextualSpacing/>
              <w:jc w:val="center"/>
              <w:rPr>
                <w:bCs/>
                <w:sz w:val="24"/>
                <w:szCs w:val="24"/>
              </w:rPr>
            </w:pPr>
            <w:r w:rsidRPr="009A3B4B">
              <w:rPr>
                <w:bCs/>
                <w:sz w:val="24"/>
                <w:szCs w:val="24"/>
              </w:rPr>
              <w:t>Every 2 years</w:t>
            </w:r>
          </w:p>
        </w:tc>
        <w:tc>
          <w:tcPr>
            <w:tcW w:w="2160" w:type="dxa"/>
            <w:tcBorders>
              <w:top w:val="single" w:sz="12" w:space="0" w:color="auto"/>
            </w:tcBorders>
            <w:vAlign w:val="center"/>
          </w:tcPr>
          <w:p w14:paraId="55730E33" w14:textId="77777777" w:rsidR="00506216" w:rsidRPr="009A3B4B" w:rsidRDefault="00506216" w:rsidP="00202023">
            <w:pPr>
              <w:keepNext/>
              <w:contextualSpacing/>
              <w:jc w:val="center"/>
              <w:rPr>
                <w:bCs/>
                <w:sz w:val="24"/>
                <w:szCs w:val="24"/>
              </w:rPr>
            </w:pPr>
            <w:r w:rsidRPr="009A3B4B">
              <w:rPr>
                <w:bCs/>
                <w:sz w:val="24"/>
                <w:szCs w:val="24"/>
              </w:rPr>
              <w:t>Every 2 years</w:t>
            </w:r>
          </w:p>
        </w:tc>
        <w:tc>
          <w:tcPr>
            <w:tcW w:w="1620" w:type="dxa"/>
            <w:tcBorders>
              <w:top w:val="single" w:sz="12" w:space="0" w:color="auto"/>
            </w:tcBorders>
            <w:vAlign w:val="center"/>
          </w:tcPr>
          <w:p w14:paraId="39F4A2E7" w14:textId="77777777" w:rsidR="00506216" w:rsidRPr="009A3B4B" w:rsidRDefault="00506216" w:rsidP="00202023">
            <w:pPr>
              <w:keepNext/>
              <w:contextualSpacing/>
              <w:jc w:val="center"/>
              <w:rPr>
                <w:bCs/>
                <w:sz w:val="24"/>
                <w:szCs w:val="24"/>
              </w:rPr>
            </w:pPr>
            <w:r w:rsidRPr="009A3B4B">
              <w:rPr>
                <w:bCs/>
                <w:sz w:val="24"/>
                <w:szCs w:val="24"/>
              </w:rPr>
              <w:t>Every 2 years</w:t>
            </w:r>
          </w:p>
        </w:tc>
      </w:tr>
      <w:tr w:rsidR="00506216" w:rsidRPr="00C80D3A" w14:paraId="78BC3A00" w14:textId="77777777" w:rsidTr="009A3B4B">
        <w:tc>
          <w:tcPr>
            <w:tcW w:w="1795" w:type="dxa"/>
            <w:vAlign w:val="center"/>
          </w:tcPr>
          <w:p w14:paraId="01E4AF79" w14:textId="141295F3" w:rsidR="00506216" w:rsidRPr="00442B52" w:rsidRDefault="00506216" w:rsidP="009A3B4B">
            <w:pPr>
              <w:keepNext/>
              <w:contextualSpacing/>
              <w:rPr>
                <w:b/>
                <w:sz w:val="24"/>
                <w:szCs w:val="24"/>
              </w:rPr>
            </w:pPr>
            <w:r w:rsidRPr="009A3B4B">
              <w:rPr>
                <w:b/>
                <w:sz w:val="24"/>
                <w:szCs w:val="24"/>
              </w:rPr>
              <w:t>FirstEnergy</w:t>
            </w:r>
            <w:r w:rsidRPr="00442B52">
              <w:rPr>
                <w:b/>
                <w:sz w:val="24"/>
                <w:szCs w:val="24"/>
                <w:vertAlign w:val="superscript"/>
              </w:rPr>
              <w:footnoteReference w:id="104"/>
            </w:r>
          </w:p>
        </w:tc>
        <w:tc>
          <w:tcPr>
            <w:tcW w:w="1800" w:type="dxa"/>
            <w:vAlign w:val="center"/>
          </w:tcPr>
          <w:p w14:paraId="3D2C58D9" w14:textId="77777777" w:rsidR="00506216" w:rsidRPr="00442B52" w:rsidRDefault="00506216" w:rsidP="00202023">
            <w:pPr>
              <w:keepNext/>
              <w:contextualSpacing/>
              <w:jc w:val="center"/>
              <w:rPr>
                <w:bCs/>
                <w:sz w:val="24"/>
                <w:szCs w:val="24"/>
              </w:rPr>
            </w:pPr>
            <w:r w:rsidRPr="00442B52">
              <w:rPr>
                <w:bCs/>
                <w:sz w:val="24"/>
                <w:szCs w:val="24"/>
              </w:rPr>
              <w:t>Every 6 months</w:t>
            </w:r>
          </w:p>
        </w:tc>
        <w:tc>
          <w:tcPr>
            <w:tcW w:w="1890" w:type="dxa"/>
            <w:vAlign w:val="center"/>
          </w:tcPr>
          <w:p w14:paraId="695956E5" w14:textId="77777777" w:rsidR="00506216" w:rsidRPr="00442B52" w:rsidRDefault="00506216" w:rsidP="00202023">
            <w:pPr>
              <w:keepNext/>
              <w:contextualSpacing/>
              <w:jc w:val="center"/>
              <w:rPr>
                <w:bCs/>
                <w:sz w:val="24"/>
                <w:szCs w:val="24"/>
              </w:rPr>
            </w:pPr>
            <w:r w:rsidRPr="00442B52">
              <w:rPr>
                <w:bCs/>
                <w:sz w:val="24"/>
                <w:szCs w:val="24"/>
              </w:rPr>
              <w:t>Every 3 years</w:t>
            </w:r>
          </w:p>
        </w:tc>
        <w:tc>
          <w:tcPr>
            <w:tcW w:w="2160" w:type="dxa"/>
            <w:vAlign w:val="center"/>
          </w:tcPr>
          <w:p w14:paraId="23678CC6" w14:textId="77777777" w:rsidR="00506216" w:rsidRPr="00442B52" w:rsidRDefault="00506216" w:rsidP="00202023">
            <w:pPr>
              <w:keepNext/>
              <w:contextualSpacing/>
              <w:jc w:val="center"/>
              <w:rPr>
                <w:bCs/>
                <w:sz w:val="24"/>
                <w:szCs w:val="24"/>
              </w:rPr>
            </w:pPr>
            <w:r w:rsidRPr="00442B52">
              <w:rPr>
                <w:bCs/>
                <w:sz w:val="24"/>
                <w:szCs w:val="24"/>
              </w:rPr>
              <w:t>Every 2 years</w:t>
            </w:r>
          </w:p>
        </w:tc>
        <w:tc>
          <w:tcPr>
            <w:tcW w:w="1620" w:type="dxa"/>
            <w:vAlign w:val="center"/>
          </w:tcPr>
          <w:p w14:paraId="56904BE3" w14:textId="77777777" w:rsidR="00506216" w:rsidRPr="00442B52" w:rsidRDefault="00506216" w:rsidP="00202023">
            <w:pPr>
              <w:keepNext/>
              <w:contextualSpacing/>
              <w:jc w:val="center"/>
              <w:rPr>
                <w:bCs/>
                <w:sz w:val="24"/>
                <w:szCs w:val="24"/>
              </w:rPr>
            </w:pPr>
            <w:r w:rsidRPr="00442B52">
              <w:rPr>
                <w:bCs/>
                <w:sz w:val="24"/>
                <w:szCs w:val="24"/>
              </w:rPr>
              <w:t>Annually</w:t>
            </w:r>
          </w:p>
        </w:tc>
      </w:tr>
      <w:tr w:rsidR="00506216" w:rsidRPr="00C80D3A" w14:paraId="5A339763" w14:textId="77777777" w:rsidTr="009A3B4B">
        <w:tc>
          <w:tcPr>
            <w:tcW w:w="1795" w:type="dxa"/>
            <w:vAlign w:val="center"/>
          </w:tcPr>
          <w:p w14:paraId="6809F979" w14:textId="77777777" w:rsidR="00506216" w:rsidRPr="00442B52" w:rsidRDefault="00506216" w:rsidP="00442B52">
            <w:pPr>
              <w:keepNext/>
              <w:contextualSpacing/>
              <w:rPr>
                <w:b/>
                <w:sz w:val="24"/>
                <w:szCs w:val="24"/>
              </w:rPr>
            </w:pPr>
            <w:r w:rsidRPr="00442B52">
              <w:rPr>
                <w:b/>
                <w:sz w:val="24"/>
                <w:szCs w:val="24"/>
              </w:rPr>
              <w:t>PECO</w:t>
            </w:r>
            <w:r w:rsidRPr="00442B52">
              <w:rPr>
                <w:b/>
                <w:sz w:val="24"/>
                <w:szCs w:val="24"/>
                <w:vertAlign w:val="superscript"/>
              </w:rPr>
              <w:footnoteReference w:id="105"/>
            </w:r>
          </w:p>
        </w:tc>
        <w:tc>
          <w:tcPr>
            <w:tcW w:w="1800" w:type="dxa"/>
            <w:vAlign w:val="center"/>
          </w:tcPr>
          <w:p w14:paraId="61B49150" w14:textId="77777777" w:rsidR="00506216" w:rsidRPr="00442B52" w:rsidRDefault="00506216" w:rsidP="00202023">
            <w:pPr>
              <w:keepNext/>
              <w:contextualSpacing/>
              <w:jc w:val="center"/>
              <w:rPr>
                <w:bCs/>
                <w:sz w:val="24"/>
                <w:szCs w:val="24"/>
              </w:rPr>
            </w:pPr>
            <w:r w:rsidRPr="00442B52">
              <w:rPr>
                <w:bCs/>
                <w:sz w:val="24"/>
                <w:szCs w:val="24"/>
              </w:rPr>
              <w:t>Every 2 years</w:t>
            </w:r>
          </w:p>
        </w:tc>
        <w:tc>
          <w:tcPr>
            <w:tcW w:w="1890" w:type="dxa"/>
            <w:vAlign w:val="center"/>
          </w:tcPr>
          <w:p w14:paraId="67379BA7" w14:textId="77777777" w:rsidR="00506216" w:rsidRPr="00442B52" w:rsidRDefault="00506216" w:rsidP="00202023">
            <w:pPr>
              <w:keepNext/>
              <w:contextualSpacing/>
              <w:jc w:val="center"/>
              <w:rPr>
                <w:bCs/>
                <w:sz w:val="24"/>
                <w:szCs w:val="24"/>
              </w:rPr>
            </w:pPr>
            <w:r w:rsidRPr="00442B52">
              <w:rPr>
                <w:bCs/>
                <w:sz w:val="24"/>
                <w:szCs w:val="24"/>
              </w:rPr>
              <w:t>Every 3 years</w:t>
            </w:r>
          </w:p>
        </w:tc>
        <w:tc>
          <w:tcPr>
            <w:tcW w:w="2160" w:type="dxa"/>
            <w:vAlign w:val="center"/>
          </w:tcPr>
          <w:p w14:paraId="5B5B3D98" w14:textId="77777777" w:rsidR="00506216" w:rsidRPr="00442B52" w:rsidRDefault="00506216" w:rsidP="00202023">
            <w:pPr>
              <w:keepNext/>
              <w:contextualSpacing/>
              <w:jc w:val="center"/>
              <w:rPr>
                <w:bCs/>
                <w:sz w:val="24"/>
                <w:szCs w:val="24"/>
              </w:rPr>
            </w:pPr>
            <w:r w:rsidRPr="00442B52">
              <w:rPr>
                <w:bCs/>
                <w:sz w:val="24"/>
                <w:szCs w:val="24"/>
              </w:rPr>
              <w:t>Every 2 years</w:t>
            </w:r>
          </w:p>
        </w:tc>
        <w:tc>
          <w:tcPr>
            <w:tcW w:w="1620" w:type="dxa"/>
            <w:vAlign w:val="center"/>
          </w:tcPr>
          <w:p w14:paraId="5656C796" w14:textId="77777777" w:rsidR="00506216" w:rsidRPr="00442B52" w:rsidRDefault="00506216" w:rsidP="00202023">
            <w:pPr>
              <w:keepNext/>
              <w:contextualSpacing/>
              <w:jc w:val="center"/>
              <w:rPr>
                <w:bCs/>
                <w:sz w:val="24"/>
                <w:szCs w:val="24"/>
              </w:rPr>
            </w:pPr>
            <w:r w:rsidRPr="00442B52">
              <w:rPr>
                <w:bCs/>
                <w:sz w:val="24"/>
                <w:szCs w:val="24"/>
              </w:rPr>
              <w:t>Every 2 years</w:t>
            </w:r>
          </w:p>
        </w:tc>
      </w:tr>
      <w:tr w:rsidR="00506216" w:rsidRPr="00C80D3A" w14:paraId="78E4172C" w14:textId="77777777" w:rsidTr="009A3B4B">
        <w:trPr>
          <w:trHeight w:val="647"/>
        </w:trPr>
        <w:tc>
          <w:tcPr>
            <w:tcW w:w="1795" w:type="dxa"/>
            <w:vAlign w:val="center"/>
          </w:tcPr>
          <w:p w14:paraId="08439F43" w14:textId="77777777" w:rsidR="00506216" w:rsidRPr="00442B52" w:rsidRDefault="00506216" w:rsidP="00442B52">
            <w:pPr>
              <w:keepNext/>
              <w:contextualSpacing/>
              <w:rPr>
                <w:b/>
                <w:sz w:val="24"/>
                <w:szCs w:val="24"/>
              </w:rPr>
            </w:pPr>
            <w:r w:rsidRPr="00442B52">
              <w:rPr>
                <w:b/>
                <w:sz w:val="24"/>
                <w:szCs w:val="24"/>
              </w:rPr>
              <w:t>PPL</w:t>
            </w:r>
            <w:r w:rsidRPr="00442B52">
              <w:rPr>
                <w:b/>
                <w:sz w:val="24"/>
                <w:szCs w:val="24"/>
                <w:vertAlign w:val="superscript"/>
              </w:rPr>
              <w:footnoteReference w:id="106"/>
            </w:r>
          </w:p>
        </w:tc>
        <w:tc>
          <w:tcPr>
            <w:tcW w:w="1800" w:type="dxa"/>
            <w:vAlign w:val="center"/>
          </w:tcPr>
          <w:p w14:paraId="25418F34" w14:textId="77777777" w:rsidR="00506216" w:rsidRPr="00442B52" w:rsidRDefault="00506216" w:rsidP="00202023">
            <w:pPr>
              <w:keepNext/>
              <w:contextualSpacing/>
              <w:jc w:val="center"/>
              <w:rPr>
                <w:bCs/>
                <w:sz w:val="24"/>
                <w:szCs w:val="24"/>
              </w:rPr>
            </w:pPr>
            <w:r w:rsidRPr="00442B52">
              <w:rPr>
                <w:bCs/>
                <w:sz w:val="24"/>
                <w:szCs w:val="24"/>
              </w:rPr>
              <w:t>Every 9 months</w:t>
            </w:r>
          </w:p>
        </w:tc>
        <w:tc>
          <w:tcPr>
            <w:tcW w:w="1890" w:type="dxa"/>
            <w:vAlign w:val="center"/>
          </w:tcPr>
          <w:p w14:paraId="5F1F8AC4" w14:textId="780A4C63" w:rsidR="00506216" w:rsidRPr="00442B52" w:rsidRDefault="00506216" w:rsidP="00202023">
            <w:pPr>
              <w:keepNext/>
              <w:contextualSpacing/>
              <w:jc w:val="center"/>
              <w:rPr>
                <w:bCs/>
                <w:sz w:val="24"/>
                <w:szCs w:val="24"/>
              </w:rPr>
            </w:pPr>
            <w:r w:rsidRPr="00442B52">
              <w:rPr>
                <w:bCs/>
                <w:sz w:val="24"/>
                <w:szCs w:val="24"/>
              </w:rPr>
              <w:t>Every 3 years</w:t>
            </w:r>
          </w:p>
        </w:tc>
        <w:tc>
          <w:tcPr>
            <w:tcW w:w="2160" w:type="dxa"/>
            <w:vAlign w:val="center"/>
          </w:tcPr>
          <w:p w14:paraId="783597EF" w14:textId="77777777" w:rsidR="002814E3" w:rsidRPr="00442B52" w:rsidRDefault="00506216" w:rsidP="00202023">
            <w:pPr>
              <w:keepNext/>
              <w:contextualSpacing/>
              <w:jc w:val="center"/>
              <w:rPr>
                <w:bCs/>
                <w:sz w:val="24"/>
                <w:szCs w:val="24"/>
              </w:rPr>
            </w:pPr>
            <w:r w:rsidRPr="00442B52">
              <w:rPr>
                <w:bCs/>
                <w:sz w:val="24"/>
                <w:szCs w:val="24"/>
              </w:rPr>
              <w:t xml:space="preserve">Every 3 years </w:t>
            </w:r>
          </w:p>
          <w:p w14:paraId="581B68FA" w14:textId="1287A0EE" w:rsidR="00506216" w:rsidRPr="00442B52" w:rsidRDefault="00506216" w:rsidP="00202023">
            <w:pPr>
              <w:keepNext/>
              <w:contextualSpacing/>
              <w:jc w:val="center"/>
              <w:rPr>
                <w:bCs/>
              </w:rPr>
            </w:pPr>
            <w:r w:rsidRPr="00442B52">
              <w:rPr>
                <w:bCs/>
                <w:sz w:val="22"/>
                <w:szCs w:val="22"/>
              </w:rPr>
              <w:t xml:space="preserve">(SSI </w:t>
            </w:r>
            <w:r w:rsidR="0088194C" w:rsidRPr="00442B52">
              <w:rPr>
                <w:bCs/>
                <w:sz w:val="22"/>
                <w:szCs w:val="22"/>
              </w:rPr>
              <w:t>o</w:t>
            </w:r>
            <w:r w:rsidRPr="00442B52">
              <w:rPr>
                <w:bCs/>
                <w:sz w:val="22"/>
                <w:szCs w:val="22"/>
              </w:rPr>
              <w:t>nly)</w:t>
            </w:r>
          </w:p>
        </w:tc>
        <w:tc>
          <w:tcPr>
            <w:tcW w:w="1620" w:type="dxa"/>
            <w:vAlign w:val="center"/>
          </w:tcPr>
          <w:p w14:paraId="2E972E9D" w14:textId="77777777" w:rsidR="00506216" w:rsidRPr="00442B52" w:rsidRDefault="00506216" w:rsidP="00202023">
            <w:pPr>
              <w:keepNext/>
              <w:contextualSpacing/>
              <w:jc w:val="center"/>
              <w:rPr>
                <w:bCs/>
                <w:sz w:val="24"/>
                <w:szCs w:val="24"/>
              </w:rPr>
            </w:pPr>
            <w:r w:rsidRPr="00442B52">
              <w:rPr>
                <w:bCs/>
                <w:sz w:val="24"/>
                <w:szCs w:val="24"/>
              </w:rPr>
              <w:t>Every 18 months</w:t>
            </w:r>
          </w:p>
        </w:tc>
      </w:tr>
      <w:tr w:rsidR="00506216" w:rsidRPr="00C80D3A" w14:paraId="28A3F37A" w14:textId="77777777" w:rsidTr="009A3B4B">
        <w:tc>
          <w:tcPr>
            <w:tcW w:w="1795" w:type="dxa"/>
            <w:vAlign w:val="center"/>
          </w:tcPr>
          <w:p w14:paraId="6159E087" w14:textId="77777777" w:rsidR="00506216" w:rsidRPr="00442B52" w:rsidRDefault="00506216" w:rsidP="00442B52">
            <w:pPr>
              <w:keepNext/>
              <w:contextualSpacing/>
              <w:rPr>
                <w:b/>
                <w:sz w:val="24"/>
                <w:szCs w:val="24"/>
              </w:rPr>
            </w:pPr>
            <w:r w:rsidRPr="00442B52">
              <w:rPr>
                <w:b/>
                <w:sz w:val="24"/>
                <w:szCs w:val="24"/>
              </w:rPr>
              <w:t>Columbia</w:t>
            </w:r>
            <w:r w:rsidRPr="00442B52">
              <w:rPr>
                <w:b/>
                <w:sz w:val="24"/>
                <w:szCs w:val="24"/>
                <w:vertAlign w:val="superscript"/>
              </w:rPr>
              <w:footnoteReference w:id="107"/>
            </w:r>
          </w:p>
        </w:tc>
        <w:tc>
          <w:tcPr>
            <w:tcW w:w="1800" w:type="dxa"/>
            <w:vAlign w:val="center"/>
          </w:tcPr>
          <w:p w14:paraId="50078A76" w14:textId="77777777" w:rsidR="00506216" w:rsidRPr="00442B52" w:rsidRDefault="00506216" w:rsidP="00202023">
            <w:pPr>
              <w:keepNext/>
              <w:contextualSpacing/>
              <w:jc w:val="center"/>
              <w:rPr>
                <w:bCs/>
                <w:sz w:val="24"/>
                <w:szCs w:val="24"/>
              </w:rPr>
            </w:pPr>
            <w:r w:rsidRPr="00442B52">
              <w:rPr>
                <w:bCs/>
                <w:sz w:val="24"/>
                <w:szCs w:val="24"/>
              </w:rPr>
              <w:t>Every 3 months</w:t>
            </w:r>
          </w:p>
        </w:tc>
        <w:tc>
          <w:tcPr>
            <w:tcW w:w="1890" w:type="dxa"/>
            <w:vAlign w:val="center"/>
          </w:tcPr>
          <w:p w14:paraId="2CE0FFAA" w14:textId="77777777" w:rsidR="002814E3" w:rsidRPr="00442B52" w:rsidRDefault="00506216" w:rsidP="00202023">
            <w:pPr>
              <w:keepNext/>
              <w:contextualSpacing/>
              <w:jc w:val="center"/>
              <w:rPr>
                <w:bCs/>
                <w:sz w:val="24"/>
                <w:szCs w:val="24"/>
              </w:rPr>
            </w:pPr>
            <w:r w:rsidRPr="00442B52">
              <w:rPr>
                <w:bCs/>
                <w:sz w:val="24"/>
                <w:szCs w:val="24"/>
              </w:rPr>
              <w:t xml:space="preserve">Never </w:t>
            </w:r>
          </w:p>
          <w:p w14:paraId="4C57AE87" w14:textId="352D7B53" w:rsidR="00506216" w:rsidRPr="00442B52" w:rsidRDefault="00506216" w:rsidP="00202023">
            <w:pPr>
              <w:keepNext/>
              <w:contextualSpacing/>
              <w:jc w:val="center"/>
              <w:rPr>
                <w:bCs/>
              </w:rPr>
            </w:pPr>
            <w:r w:rsidRPr="00442B52">
              <w:rPr>
                <w:bCs/>
                <w:sz w:val="22"/>
                <w:szCs w:val="22"/>
              </w:rPr>
              <w:t xml:space="preserve">(Includes receipt of DEF grants </w:t>
            </w:r>
            <w:r w:rsidR="00C57239" w:rsidRPr="00442B52">
              <w:rPr>
                <w:bCs/>
                <w:sz w:val="22"/>
                <w:szCs w:val="22"/>
              </w:rPr>
              <w:t>&amp;</w:t>
            </w:r>
            <w:r w:rsidRPr="00442B52">
              <w:rPr>
                <w:bCs/>
                <w:sz w:val="22"/>
                <w:szCs w:val="22"/>
              </w:rPr>
              <w:t xml:space="preserve"> other US programs)</w:t>
            </w:r>
          </w:p>
        </w:tc>
        <w:tc>
          <w:tcPr>
            <w:tcW w:w="2160" w:type="dxa"/>
            <w:vAlign w:val="center"/>
          </w:tcPr>
          <w:p w14:paraId="5ACF4CD4" w14:textId="77777777" w:rsidR="00506216" w:rsidRPr="00442B52" w:rsidRDefault="00506216" w:rsidP="00202023">
            <w:pPr>
              <w:keepNext/>
              <w:contextualSpacing/>
              <w:jc w:val="center"/>
              <w:rPr>
                <w:bCs/>
                <w:sz w:val="24"/>
                <w:szCs w:val="24"/>
              </w:rPr>
            </w:pPr>
            <w:r w:rsidRPr="00442B52">
              <w:rPr>
                <w:bCs/>
                <w:sz w:val="24"/>
                <w:szCs w:val="24"/>
              </w:rPr>
              <w:t xml:space="preserve">Every 2 years </w:t>
            </w:r>
            <w:r w:rsidRPr="00442B52">
              <w:rPr>
                <w:bCs/>
                <w:sz w:val="22"/>
                <w:szCs w:val="22"/>
              </w:rPr>
              <w:t>(Social Security and SSI only)</w:t>
            </w:r>
          </w:p>
        </w:tc>
        <w:tc>
          <w:tcPr>
            <w:tcW w:w="1620" w:type="dxa"/>
            <w:vAlign w:val="center"/>
          </w:tcPr>
          <w:p w14:paraId="5DC34E69" w14:textId="77777777" w:rsidR="00506216" w:rsidRPr="00442B52" w:rsidRDefault="00506216" w:rsidP="00202023">
            <w:pPr>
              <w:keepNext/>
              <w:contextualSpacing/>
              <w:jc w:val="center"/>
              <w:rPr>
                <w:bCs/>
                <w:sz w:val="24"/>
                <w:szCs w:val="24"/>
              </w:rPr>
            </w:pPr>
            <w:r w:rsidRPr="00442B52">
              <w:rPr>
                <w:bCs/>
                <w:sz w:val="24"/>
                <w:szCs w:val="24"/>
              </w:rPr>
              <w:t>Annually</w:t>
            </w:r>
          </w:p>
        </w:tc>
      </w:tr>
      <w:tr w:rsidR="00506216" w:rsidRPr="00C80D3A" w14:paraId="5198E373" w14:textId="77777777" w:rsidTr="009A3B4B">
        <w:tc>
          <w:tcPr>
            <w:tcW w:w="1795" w:type="dxa"/>
            <w:vAlign w:val="center"/>
          </w:tcPr>
          <w:p w14:paraId="34C0674A" w14:textId="77777777" w:rsidR="00506216" w:rsidRPr="00442B52" w:rsidRDefault="00506216" w:rsidP="00442B52">
            <w:pPr>
              <w:keepNext/>
              <w:contextualSpacing/>
              <w:rPr>
                <w:b/>
                <w:sz w:val="24"/>
                <w:szCs w:val="24"/>
              </w:rPr>
            </w:pPr>
            <w:r w:rsidRPr="00442B52">
              <w:rPr>
                <w:b/>
                <w:sz w:val="24"/>
                <w:szCs w:val="24"/>
              </w:rPr>
              <w:t>NFG</w:t>
            </w:r>
            <w:r w:rsidRPr="00442B52">
              <w:rPr>
                <w:b/>
                <w:sz w:val="24"/>
                <w:szCs w:val="24"/>
                <w:vertAlign w:val="superscript"/>
              </w:rPr>
              <w:footnoteReference w:id="108"/>
            </w:r>
          </w:p>
        </w:tc>
        <w:tc>
          <w:tcPr>
            <w:tcW w:w="1800" w:type="dxa"/>
            <w:vAlign w:val="center"/>
          </w:tcPr>
          <w:p w14:paraId="54473ECC" w14:textId="77777777" w:rsidR="00506216" w:rsidRPr="00442B52" w:rsidRDefault="00506216" w:rsidP="00202023">
            <w:pPr>
              <w:keepNext/>
              <w:contextualSpacing/>
              <w:jc w:val="center"/>
              <w:rPr>
                <w:bCs/>
                <w:sz w:val="24"/>
                <w:szCs w:val="24"/>
              </w:rPr>
            </w:pPr>
            <w:r w:rsidRPr="00442B52">
              <w:rPr>
                <w:bCs/>
                <w:sz w:val="24"/>
                <w:szCs w:val="24"/>
              </w:rPr>
              <w:t>Every 3 months</w:t>
            </w:r>
          </w:p>
        </w:tc>
        <w:tc>
          <w:tcPr>
            <w:tcW w:w="1890" w:type="dxa"/>
            <w:vAlign w:val="center"/>
          </w:tcPr>
          <w:p w14:paraId="4C410BCC" w14:textId="77777777" w:rsidR="00506216" w:rsidRPr="00442B52" w:rsidRDefault="00506216" w:rsidP="00202023">
            <w:pPr>
              <w:keepNext/>
              <w:contextualSpacing/>
              <w:jc w:val="center"/>
              <w:rPr>
                <w:bCs/>
                <w:sz w:val="24"/>
                <w:szCs w:val="24"/>
              </w:rPr>
            </w:pPr>
            <w:r w:rsidRPr="00442B52">
              <w:rPr>
                <w:bCs/>
                <w:sz w:val="24"/>
                <w:szCs w:val="24"/>
              </w:rPr>
              <w:t>Upon Request</w:t>
            </w:r>
          </w:p>
        </w:tc>
        <w:tc>
          <w:tcPr>
            <w:tcW w:w="2160" w:type="dxa"/>
            <w:vAlign w:val="center"/>
          </w:tcPr>
          <w:p w14:paraId="766E7C54" w14:textId="3515783E" w:rsidR="00506216" w:rsidRPr="00442B52" w:rsidRDefault="00506216" w:rsidP="00202023">
            <w:pPr>
              <w:keepNext/>
              <w:contextualSpacing/>
              <w:jc w:val="center"/>
              <w:rPr>
                <w:bCs/>
                <w:sz w:val="24"/>
                <w:szCs w:val="24"/>
              </w:rPr>
            </w:pPr>
            <w:r w:rsidRPr="00442B52">
              <w:rPr>
                <w:bCs/>
                <w:sz w:val="24"/>
                <w:szCs w:val="24"/>
              </w:rPr>
              <w:t xml:space="preserve">Every </w:t>
            </w:r>
            <w:r w:rsidR="00F2542B" w:rsidRPr="00442B52">
              <w:rPr>
                <w:bCs/>
                <w:sz w:val="24"/>
                <w:szCs w:val="24"/>
              </w:rPr>
              <w:t xml:space="preserve">2 </w:t>
            </w:r>
            <w:r w:rsidRPr="00442B52">
              <w:rPr>
                <w:bCs/>
                <w:sz w:val="24"/>
                <w:szCs w:val="24"/>
              </w:rPr>
              <w:t>years</w:t>
            </w:r>
          </w:p>
        </w:tc>
        <w:tc>
          <w:tcPr>
            <w:tcW w:w="1620" w:type="dxa"/>
            <w:vAlign w:val="center"/>
          </w:tcPr>
          <w:p w14:paraId="07A49FF3" w14:textId="4830CD24" w:rsidR="00506216" w:rsidRPr="00442B52" w:rsidRDefault="00506216" w:rsidP="00202023">
            <w:pPr>
              <w:keepNext/>
              <w:contextualSpacing/>
              <w:jc w:val="center"/>
              <w:rPr>
                <w:bCs/>
                <w:sz w:val="24"/>
                <w:szCs w:val="24"/>
              </w:rPr>
            </w:pPr>
            <w:r w:rsidRPr="00442B52">
              <w:rPr>
                <w:bCs/>
                <w:sz w:val="24"/>
                <w:szCs w:val="24"/>
              </w:rPr>
              <w:t xml:space="preserve">Every </w:t>
            </w:r>
            <w:r w:rsidR="00F2542B" w:rsidRPr="00442B52">
              <w:rPr>
                <w:bCs/>
                <w:sz w:val="24"/>
                <w:szCs w:val="24"/>
              </w:rPr>
              <w:t xml:space="preserve">2 </w:t>
            </w:r>
            <w:r w:rsidRPr="00442B52">
              <w:rPr>
                <w:bCs/>
                <w:sz w:val="24"/>
                <w:szCs w:val="24"/>
              </w:rPr>
              <w:t>years</w:t>
            </w:r>
          </w:p>
        </w:tc>
      </w:tr>
      <w:tr w:rsidR="00506216" w:rsidRPr="00C80D3A" w14:paraId="3CDA20DB" w14:textId="77777777" w:rsidTr="009A3B4B">
        <w:tc>
          <w:tcPr>
            <w:tcW w:w="1795" w:type="dxa"/>
            <w:vAlign w:val="center"/>
          </w:tcPr>
          <w:p w14:paraId="715A9920" w14:textId="7A2528DB" w:rsidR="00506216" w:rsidRPr="00442B52" w:rsidRDefault="00506216" w:rsidP="00442B52">
            <w:pPr>
              <w:keepNext/>
              <w:contextualSpacing/>
              <w:rPr>
                <w:b/>
                <w:sz w:val="24"/>
                <w:szCs w:val="24"/>
              </w:rPr>
            </w:pPr>
            <w:r w:rsidRPr="00442B52">
              <w:rPr>
                <w:b/>
                <w:sz w:val="24"/>
                <w:szCs w:val="24"/>
              </w:rPr>
              <w:t>Peoples</w:t>
            </w:r>
            <w:r w:rsidRPr="00442B52">
              <w:rPr>
                <w:b/>
                <w:sz w:val="24"/>
                <w:szCs w:val="24"/>
                <w:vertAlign w:val="superscript"/>
              </w:rPr>
              <w:footnoteReference w:id="109"/>
            </w:r>
          </w:p>
        </w:tc>
        <w:tc>
          <w:tcPr>
            <w:tcW w:w="1800" w:type="dxa"/>
            <w:vAlign w:val="center"/>
          </w:tcPr>
          <w:p w14:paraId="3BB16579" w14:textId="77777777" w:rsidR="00506216" w:rsidRPr="00442B52" w:rsidRDefault="00506216" w:rsidP="00202023">
            <w:pPr>
              <w:keepNext/>
              <w:contextualSpacing/>
              <w:jc w:val="center"/>
              <w:rPr>
                <w:bCs/>
                <w:sz w:val="24"/>
                <w:szCs w:val="24"/>
              </w:rPr>
            </w:pPr>
            <w:r w:rsidRPr="00442B52">
              <w:rPr>
                <w:bCs/>
                <w:sz w:val="24"/>
                <w:szCs w:val="24"/>
              </w:rPr>
              <w:t>Annually</w:t>
            </w:r>
          </w:p>
        </w:tc>
        <w:tc>
          <w:tcPr>
            <w:tcW w:w="1890" w:type="dxa"/>
            <w:vAlign w:val="center"/>
          </w:tcPr>
          <w:p w14:paraId="1F8EAEBF" w14:textId="77777777" w:rsidR="00506216" w:rsidRPr="00442B52" w:rsidRDefault="00506216" w:rsidP="00202023">
            <w:pPr>
              <w:keepNext/>
              <w:contextualSpacing/>
              <w:jc w:val="center"/>
              <w:rPr>
                <w:bCs/>
                <w:sz w:val="24"/>
                <w:szCs w:val="24"/>
              </w:rPr>
            </w:pPr>
            <w:r w:rsidRPr="00442B52">
              <w:rPr>
                <w:bCs/>
                <w:sz w:val="24"/>
                <w:szCs w:val="24"/>
              </w:rPr>
              <w:t>Every 2 years</w:t>
            </w:r>
          </w:p>
        </w:tc>
        <w:tc>
          <w:tcPr>
            <w:tcW w:w="2160" w:type="dxa"/>
            <w:vAlign w:val="center"/>
          </w:tcPr>
          <w:p w14:paraId="3FD29C6B" w14:textId="77777777" w:rsidR="00506216" w:rsidRPr="00442B52" w:rsidRDefault="00506216" w:rsidP="00202023">
            <w:pPr>
              <w:keepNext/>
              <w:contextualSpacing/>
              <w:jc w:val="center"/>
              <w:rPr>
                <w:bCs/>
                <w:sz w:val="24"/>
                <w:szCs w:val="24"/>
              </w:rPr>
            </w:pPr>
            <w:r w:rsidRPr="00442B52">
              <w:rPr>
                <w:bCs/>
                <w:sz w:val="24"/>
                <w:szCs w:val="24"/>
              </w:rPr>
              <w:t>Every 2 years</w:t>
            </w:r>
          </w:p>
        </w:tc>
        <w:tc>
          <w:tcPr>
            <w:tcW w:w="1620" w:type="dxa"/>
            <w:vAlign w:val="center"/>
          </w:tcPr>
          <w:p w14:paraId="0DC79635" w14:textId="77777777" w:rsidR="00506216" w:rsidRPr="00442B52" w:rsidRDefault="00506216" w:rsidP="00202023">
            <w:pPr>
              <w:keepNext/>
              <w:contextualSpacing/>
              <w:jc w:val="center"/>
              <w:rPr>
                <w:bCs/>
                <w:sz w:val="24"/>
                <w:szCs w:val="24"/>
              </w:rPr>
            </w:pPr>
            <w:r w:rsidRPr="00442B52">
              <w:rPr>
                <w:bCs/>
                <w:sz w:val="24"/>
                <w:szCs w:val="24"/>
              </w:rPr>
              <w:t>Annually</w:t>
            </w:r>
          </w:p>
        </w:tc>
      </w:tr>
      <w:tr w:rsidR="00506216" w:rsidRPr="00C80D3A" w14:paraId="51BF198A" w14:textId="77777777" w:rsidTr="009A3B4B">
        <w:tc>
          <w:tcPr>
            <w:tcW w:w="1795" w:type="dxa"/>
            <w:vAlign w:val="center"/>
          </w:tcPr>
          <w:p w14:paraId="172B54D7" w14:textId="77777777" w:rsidR="00506216" w:rsidRPr="00442B52" w:rsidRDefault="00506216" w:rsidP="00442B52">
            <w:pPr>
              <w:keepNext/>
              <w:contextualSpacing/>
              <w:rPr>
                <w:b/>
                <w:sz w:val="24"/>
                <w:szCs w:val="24"/>
              </w:rPr>
            </w:pPr>
            <w:r w:rsidRPr="00442B52">
              <w:rPr>
                <w:b/>
                <w:sz w:val="24"/>
                <w:szCs w:val="24"/>
              </w:rPr>
              <w:t>PGW</w:t>
            </w:r>
            <w:r w:rsidRPr="00442B52">
              <w:rPr>
                <w:b/>
                <w:sz w:val="24"/>
                <w:szCs w:val="24"/>
                <w:vertAlign w:val="superscript"/>
              </w:rPr>
              <w:footnoteReference w:id="110"/>
            </w:r>
          </w:p>
        </w:tc>
        <w:tc>
          <w:tcPr>
            <w:tcW w:w="1800" w:type="dxa"/>
            <w:vAlign w:val="center"/>
          </w:tcPr>
          <w:p w14:paraId="7462896E" w14:textId="77777777" w:rsidR="00506216" w:rsidRPr="00442B52" w:rsidRDefault="00506216" w:rsidP="00202023">
            <w:pPr>
              <w:keepNext/>
              <w:contextualSpacing/>
              <w:jc w:val="center"/>
              <w:rPr>
                <w:bCs/>
                <w:sz w:val="24"/>
                <w:szCs w:val="24"/>
              </w:rPr>
            </w:pPr>
            <w:r w:rsidRPr="00442B52">
              <w:rPr>
                <w:bCs/>
                <w:sz w:val="24"/>
                <w:szCs w:val="24"/>
              </w:rPr>
              <w:t>Every 6 months</w:t>
            </w:r>
          </w:p>
        </w:tc>
        <w:tc>
          <w:tcPr>
            <w:tcW w:w="1890" w:type="dxa"/>
            <w:vAlign w:val="center"/>
          </w:tcPr>
          <w:p w14:paraId="033F2C30" w14:textId="77777777" w:rsidR="00506216" w:rsidRPr="00442B52" w:rsidRDefault="00506216" w:rsidP="00202023">
            <w:pPr>
              <w:keepNext/>
              <w:contextualSpacing/>
              <w:jc w:val="center"/>
              <w:rPr>
                <w:bCs/>
                <w:sz w:val="24"/>
                <w:szCs w:val="24"/>
              </w:rPr>
            </w:pPr>
            <w:r w:rsidRPr="00442B52">
              <w:rPr>
                <w:bCs/>
                <w:sz w:val="24"/>
                <w:szCs w:val="24"/>
              </w:rPr>
              <w:t>Every 3 years</w:t>
            </w:r>
          </w:p>
        </w:tc>
        <w:tc>
          <w:tcPr>
            <w:tcW w:w="2160" w:type="dxa"/>
            <w:vAlign w:val="center"/>
          </w:tcPr>
          <w:p w14:paraId="298EDE38" w14:textId="77777777" w:rsidR="00506216" w:rsidRPr="00442B52" w:rsidRDefault="00506216" w:rsidP="00202023">
            <w:pPr>
              <w:keepNext/>
              <w:contextualSpacing/>
              <w:jc w:val="center"/>
              <w:rPr>
                <w:bCs/>
                <w:sz w:val="24"/>
                <w:szCs w:val="24"/>
              </w:rPr>
            </w:pPr>
            <w:r w:rsidRPr="00442B52">
              <w:rPr>
                <w:bCs/>
                <w:sz w:val="24"/>
                <w:szCs w:val="24"/>
              </w:rPr>
              <w:t>Annually</w:t>
            </w:r>
          </w:p>
        </w:tc>
        <w:tc>
          <w:tcPr>
            <w:tcW w:w="1620" w:type="dxa"/>
            <w:vAlign w:val="center"/>
          </w:tcPr>
          <w:p w14:paraId="68EFC756" w14:textId="77777777" w:rsidR="00506216" w:rsidRPr="00442B52" w:rsidRDefault="00506216" w:rsidP="00202023">
            <w:pPr>
              <w:keepNext/>
              <w:contextualSpacing/>
              <w:jc w:val="center"/>
              <w:rPr>
                <w:bCs/>
                <w:sz w:val="24"/>
                <w:szCs w:val="24"/>
              </w:rPr>
            </w:pPr>
            <w:r w:rsidRPr="00442B52">
              <w:rPr>
                <w:bCs/>
                <w:sz w:val="24"/>
                <w:szCs w:val="24"/>
              </w:rPr>
              <w:t>Annually</w:t>
            </w:r>
          </w:p>
        </w:tc>
      </w:tr>
      <w:tr w:rsidR="00506216" w:rsidRPr="00C80D3A" w14:paraId="52D7C649" w14:textId="77777777" w:rsidTr="009A3B4B">
        <w:tc>
          <w:tcPr>
            <w:tcW w:w="1795" w:type="dxa"/>
            <w:vAlign w:val="center"/>
          </w:tcPr>
          <w:p w14:paraId="2B43A12B" w14:textId="280F5755" w:rsidR="00506216" w:rsidRPr="009A3B4B" w:rsidRDefault="00506216" w:rsidP="00442B52">
            <w:pPr>
              <w:contextualSpacing/>
              <w:rPr>
                <w:b/>
                <w:sz w:val="24"/>
                <w:szCs w:val="24"/>
              </w:rPr>
            </w:pPr>
            <w:r w:rsidRPr="009A3B4B">
              <w:rPr>
                <w:b/>
                <w:sz w:val="24"/>
                <w:szCs w:val="24"/>
              </w:rPr>
              <w:t>UGI</w:t>
            </w:r>
            <w:r w:rsidRPr="00442B52">
              <w:rPr>
                <w:b/>
                <w:sz w:val="24"/>
                <w:szCs w:val="24"/>
                <w:vertAlign w:val="superscript"/>
              </w:rPr>
              <w:footnoteReference w:id="111"/>
            </w:r>
          </w:p>
        </w:tc>
        <w:tc>
          <w:tcPr>
            <w:tcW w:w="1800" w:type="dxa"/>
            <w:vAlign w:val="center"/>
          </w:tcPr>
          <w:p w14:paraId="5C8AC6E3" w14:textId="77777777" w:rsidR="00506216" w:rsidRPr="009A3B4B" w:rsidRDefault="00506216" w:rsidP="00202023">
            <w:pPr>
              <w:contextualSpacing/>
              <w:jc w:val="center"/>
              <w:rPr>
                <w:bCs/>
                <w:sz w:val="24"/>
                <w:szCs w:val="24"/>
              </w:rPr>
            </w:pPr>
            <w:r w:rsidRPr="009A3B4B">
              <w:rPr>
                <w:bCs/>
                <w:sz w:val="24"/>
                <w:szCs w:val="24"/>
              </w:rPr>
              <w:t>Annually</w:t>
            </w:r>
          </w:p>
        </w:tc>
        <w:tc>
          <w:tcPr>
            <w:tcW w:w="1890" w:type="dxa"/>
            <w:vAlign w:val="center"/>
          </w:tcPr>
          <w:p w14:paraId="52FCCB41" w14:textId="77777777" w:rsidR="00506216" w:rsidRPr="009A3B4B" w:rsidRDefault="00506216" w:rsidP="00202023">
            <w:pPr>
              <w:contextualSpacing/>
              <w:jc w:val="center"/>
              <w:rPr>
                <w:bCs/>
                <w:sz w:val="24"/>
                <w:szCs w:val="24"/>
              </w:rPr>
            </w:pPr>
            <w:r w:rsidRPr="009A3B4B">
              <w:rPr>
                <w:bCs/>
                <w:sz w:val="24"/>
                <w:szCs w:val="24"/>
              </w:rPr>
              <w:t>Every 3 years</w:t>
            </w:r>
          </w:p>
        </w:tc>
        <w:tc>
          <w:tcPr>
            <w:tcW w:w="2160" w:type="dxa"/>
            <w:vAlign w:val="center"/>
          </w:tcPr>
          <w:p w14:paraId="470E5FD1" w14:textId="77777777" w:rsidR="00506216" w:rsidRPr="009A3B4B" w:rsidRDefault="00506216" w:rsidP="00202023">
            <w:pPr>
              <w:contextualSpacing/>
              <w:jc w:val="center"/>
              <w:rPr>
                <w:bCs/>
                <w:sz w:val="24"/>
                <w:szCs w:val="24"/>
              </w:rPr>
            </w:pPr>
            <w:r w:rsidRPr="009A3B4B">
              <w:rPr>
                <w:bCs/>
                <w:sz w:val="24"/>
                <w:szCs w:val="24"/>
              </w:rPr>
              <w:t>Annually</w:t>
            </w:r>
          </w:p>
        </w:tc>
        <w:tc>
          <w:tcPr>
            <w:tcW w:w="1620" w:type="dxa"/>
            <w:vAlign w:val="center"/>
          </w:tcPr>
          <w:p w14:paraId="0D7EC1A6" w14:textId="77777777" w:rsidR="00506216" w:rsidRPr="009A3B4B" w:rsidRDefault="00506216" w:rsidP="00202023">
            <w:pPr>
              <w:contextualSpacing/>
              <w:jc w:val="center"/>
              <w:rPr>
                <w:bCs/>
                <w:sz w:val="24"/>
                <w:szCs w:val="24"/>
              </w:rPr>
            </w:pPr>
            <w:r w:rsidRPr="009A3B4B">
              <w:rPr>
                <w:bCs/>
                <w:sz w:val="24"/>
                <w:szCs w:val="24"/>
              </w:rPr>
              <w:t>Annually</w:t>
            </w:r>
          </w:p>
        </w:tc>
      </w:tr>
    </w:tbl>
    <w:p w14:paraId="3ADEB536" w14:textId="77777777" w:rsidR="00506216" w:rsidRPr="00C80D3A" w:rsidRDefault="00506216" w:rsidP="00315DBC">
      <w:pPr>
        <w:spacing w:after="0" w:line="360" w:lineRule="auto"/>
        <w:contextualSpacing/>
        <w:rPr>
          <w:rFonts w:ascii="Times New Roman" w:hAnsi="Times New Roman" w:cs="Times New Roman"/>
          <w:bCs/>
          <w:sz w:val="26"/>
          <w:szCs w:val="26"/>
        </w:rPr>
      </w:pPr>
    </w:p>
    <w:p w14:paraId="0CDAB887" w14:textId="133AC3AF" w:rsidR="00506216" w:rsidRPr="00C80D3A" w:rsidRDefault="00506216" w:rsidP="00315DBC">
      <w:pPr>
        <w:spacing w:after="0" w:line="360" w:lineRule="auto"/>
        <w:ind w:firstLine="720"/>
        <w:contextualSpacing/>
        <w:rPr>
          <w:rFonts w:ascii="Times New Roman" w:hAnsi="Times New Roman" w:cs="Times New Roman"/>
          <w:bCs/>
          <w:sz w:val="26"/>
          <w:szCs w:val="26"/>
        </w:rPr>
      </w:pPr>
      <w:r w:rsidRPr="00C80D3A">
        <w:rPr>
          <w:rFonts w:ascii="Times New Roman" w:hAnsi="Times New Roman" w:cs="Times New Roman"/>
          <w:bCs/>
          <w:sz w:val="26"/>
          <w:szCs w:val="26"/>
        </w:rPr>
        <w:t xml:space="preserve">In the </w:t>
      </w:r>
      <w:r w:rsidRPr="00C80D3A">
        <w:rPr>
          <w:rFonts w:ascii="Times New Roman" w:hAnsi="Times New Roman" w:cs="Times New Roman"/>
          <w:bCs/>
          <w:i/>
          <w:iCs/>
          <w:sz w:val="26"/>
          <w:szCs w:val="26"/>
        </w:rPr>
        <w:t>Review</w:t>
      </w:r>
      <w:r w:rsidRPr="00C80D3A">
        <w:rPr>
          <w:rFonts w:ascii="Times New Roman" w:hAnsi="Times New Roman" w:cs="Times New Roman"/>
          <w:bCs/>
          <w:sz w:val="26"/>
          <w:szCs w:val="26"/>
        </w:rPr>
        <w:t xml:space="preserve"> proceeding, </w:t>
      </w:r>
      <w:r w:rsidR="006F2DBE" w:rsidRPr="00C80D3A">
        <w:rPr>
          <w:rFonts w:ascii="Times New Roman" w:hAnsi="Times New Roman" w:cs="Times New Roman"/>
          <w:bCs/>
          <w:sz w:val="26"/>
          <w:szCs w:val="26"/>
        </w:rPr>
        <w:t xml:space="preserve">stakeholders </w:t>
      </w:r>
      <w:r w:rsidRPr="00C80D3A">
        <w:rPr>
          <w:rFonts w:ascii="Times New Roman" w:hAnsi="Times New Roman" w:cs="Times New Roman"/>
          <w:bCs/>
          <w:sz w:val="26"/>
          <w:szCs w:val="26"/>
        </w:rPr>
        <w:t>offered various proposals for amending the recertification timelines for CAP customers who have fixed incomes, receive LIHEAP annually, or report no income.</w:t>
      </w:r>
      <w:r w:rsidRPr="00C80D3A">
        <w:rPr>
          <w:rFonts w:ascii="Times New Roman" w:hAnsi="Times New Roman" w:cs="Times New Roman"/>
          <w:bCs/>
          <w:sz w:val="26"/>
          <w:szCs w:val="26"/>
          <w:vertAlign w:val="superscript"/>
        </w:rPr>
        <w:footnoteReference w:id="112"/>
      </w:r>
    </w:p>
    <w:p w14:paraId="3DE5D9B3" w14:textId="77777777" w:rsidR="00506216" w:rsidRPr="00C80D3A" w:rsidRDefault="00506216" w:rsidP="00315DBC">
      <w:pPr>
        <w:spacing w:after="0" w:line="360" w:lineRule="auto"/>
        <w:contextualSpacing/>
        <w:rPr>
          <w:rFonts w:ascii="Times New Roman" w:hAnsi="Times New Roman" w:cs="Times New Roman"/>
          <w:bCs/>
          <w:sz w:val="26"/>
          <w:szCs w:val="26"/>
        </w:rPr>
      </w:pPr>
    </w:p>
    <w:p w14:paraId="35DD8CE2" w14:textId="77777777" w:rsidR="00506216" w:rsidRPr="00C80D3A" w:rsidRDefault="00506216" w:rsidP="006334E4">
      <w:pPr>
        <w:keepNext/>
        <w:spacing w:after="0" w:line="240" w:lineRule="auto"/>
        <w:contextualSpacing/>
        <w:rPr>
          <w:rFonts w:ascii="Times New Roman" w:hAnsi="Times New Roman" w:cs="Times New Roman"/>
          <w:color w:val="000000"/>
          <w:sz w:val="26"/>
          <w:szCs w:val="26"/>
        </w:rPr>
      </w:pPr>
      <w:r w:rsidRPr="00C80D3A">
        <w:rPr>
          <w:rFonts w:ascii="Times New Roman" w:hAnsi="Times New Roman" w:cs="Times New Roman"/>
          <w:i/>
          <w:sz w:val="26"/>
          <w:szCs w:val="26"/>
        </w:rPr>
        <w:t>Review of Universal Service and Energy Conservation Programs, Docket No. M</w:t>
      </w:r>
      <w:r w:rsidRPr="00C80D3A">
        <w:rPr>
          <w:rFonts w:ascii="Times New Roman" w:hAnsi="Times New Roman" w:cs="Times New Roman"/>
          <w:i/>
          <w:sz w:val="26"/>
          <w:szCs w:val="26"/>
        </w:rPr>
        <w:noBreakHyphen/>
        <w:t>2017</w:t>
      </w:r>
      <w:r w:rsidRPr="00C80D3A">
        <w:rPr>
          <w:rFonts w:ascii="Times New Roman" w:hAnsi="Times New Roman" w:cs="Times New Roman"/>
          <w:i/>
          <w:sz w:val="26"/>
          <w:szCs w:val="26"/>
        </w:rPr>
        <w:noBreakHyphen/>
        <w:t>2596907</w:t>
      </w:r>
    </w:p>
    <w:p w14:paraId="0F728050" w14:textId="77777777" w:rsidR="00506216" w:rsidRPr="00C80D3A" w:rsidRDefault="00506216" w:rsidP="006334E4">
      <w:pPr>
        <w:keepNext/>
        <w:spacing w:after="0" w:line="240" w:lineRule="auto"/>
        <w:contextualSpacing/>
        <w:rPr>
          <w:rFonts w:ascii="Times New Roman" w:hAnsi="Times New Roman" w:cs="Times New Roman"/>
          <w:color w:val="000000"/>
          <w:sz w:val="26"/>
          <w:szCs w:val="26"/>
        </w:rPr>
      </w:pPr>
    </w:p>
    <w:p w14:paraId="36B1381B" w14:textId="77777777" w:rsidR="00506216" w:rsidRPr="00C80D3A" w:rsidRDefault="00506216" w:rsidP="006334E4">
      <w:pPr>
        <w:keepNext/>
        <w:spacing w:after="0" w:line="360" w:lineRule="auto"/>
        <w:contextualSpacing/>
        <w:rPr>
          <w:rFonts w:ascii="Times New Roman" w:hAnsi="Times New Roman" w:cs="Times New Roman"/>
          <w:b/>
          <w:bCs/>
          <w:color w:val="000000"/>
          <w:sz w:val="26"/>
          <w:szCs w:val="26"/>
        </w:rPr>
      </w:pPr>
      <w:r w:rsidRPr="00C80D3A">
        <w:rPr>
          <w:rFonts w:ascii="Times New Roman" w:hAnsi="Times New Roman" w:cs="Times New Roman"/>
          <w:b/>
          <w:bCs/>
          <w:color w:val="000000"/>
          <w:sz w:val="26"/>
          <w:szCs w:val="26"/>
        </w:rPr>
        <w:t>Comments from Parties</w:t>
      </w:r>
    </w:p>
    <w:p w14:paraId="02875230" w14:textId="1DF84FB0"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Low Income Advocates prefer coordination of enrollment and recertification with other state and federal assistance programs.  They cite a study conducted by the Applied Public Policy Research Institute for Study and Evaluation (APPRISE) which stated that if a household is eligible for food or cash assistance, LIHEAP, or Lifeline,</w:t>
      </w:r>
      <w:r w:rsidR="00BB223C" w:rsidRPr="00C80D3A">
        <w:rPr>
          <w:rStyle w:val="FootnoteReference"/>
          <w:rFonts w:ascii="Times New Roman" w:hAnsi="Times New Roman" w:cs="Times New Roman"/>
          <w:sz w:val="26"/>
          <w:szCs w:val="26"/>
        </w:rPr>
        <w:footnoteReference w:id="113"/>
      </w:r>
      <w:r w:rsidRPr="00C80D3A">
        <w:rPr>
          <w:rFonts w:ascii="Times New Roman" w:hAnsi="Times New Roman" w:cs="Times New Roman"/>
          <w:sz w:val="26"/>
          <w:szCs w:val="26"/>
        </w:rPr>
        <w:t xml:space="preserve"> it should automatically be screened and/or enrolled in CAP.  They note that in New Jersey, households receiving food assistance are automatically screened for CAP.  Low Income Advocate</w:t>
      </w:r>
      <w:r w:rsidR="007972F0" w:rsidRPr="00C80D3A">
        <w:rPr>
          <w:rFonts w:ascii="Times New Roman" w:hAnsi="Times New Roman" w:cs="Times New Roman"/>
          <w:sz w:val="26"/>
          <w:szCs w:val="26"/>
        </w:rPr>
        <w:t>s</w:t>
      </w:r>
      <w:r w:rsidRPr="00C80D3A">
        <w:rPr>
          <w:rFonts w:ascii="Times New Roman" w:hAnsi="Times New Roman" w:cs="Times New Roman"/>
          <w:sz w:val="26"/>
          <w:szCs w:val="26"/>
        </w:rPr>
        <w:t xml:space="preserve"> Comments at 41.</w:t>
      </w:r>
    </w:p>
    <w:p w14:paraId="1C68A2C7" w14:textId="77777777" w:rsidR="00506216" w:rsidRPr="00C80D3A" w:rsidRDefault="00506216" w:rsidP="00315DBC">
      <w:pPr>
        <w:spacing w:after="0" w:line="360" w:lineRule="auto"/>
        <w:contextualSpacing/>
        <w:rPr>
          <w:rFonts w:ascii="Times New Roman" w:hAnsi="Times New Roman" w:cs="Times New Roman"/>
          <w:sz w:val="26"/>
          <w:szCs w:val="26"/>
        </w:rPr>
      </w:pPr>
    </w:p>
    <w:p w14:paraId="75396DA1" w14:textId="0964F59C"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OCA recommends amending the CAP Policy Statement to allow for a longer recertification period if the customer</w:t>
      </w:r>
      <w:r w:rsidR="001529C6">
        <w:rPr>
          <w:rFonts w:ascii="Times New Roman" w:hAnsi="Times New Roman" w:cs="Times New Roman"/>
          <w:sz w:val="26"/>
          <w:szCs w:val="26"/>
        </w:rPr>
        <w:t>’</w:t>
      </w:r>
      <w:r w:rsidRPr="00C80D3A">
        <w:rPr>
          <w:rFonts w:ascii="Times New Roman" w:hAnsi="Times New Roman" w:cs="Times New Roman"/>
          <w:sz w:val="26"/>
          <w:szCs w:val="26"/>
        </w:rPr>
        <w:t>s income is not likely to change from year to year and waive annual recertification requirements when the customer receives a LIHEAP grant.  OCA Comments at 45</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46.  EAP agrees with OCA that recertification could be streamlined and on a less-than-annual basis when income such as pension or Social Security is unlikely to change.  EAP Reply Comments at 7.</w:t>
      </w:r>
    </w:p>
    <w:p w14:paraId="372FB951" w14:textId="77777777" w:rsidR="00506216" w:rsidRPr="00C80D3A" w:rsidRDefault="00506216" w:rsidP="00315DBC">
      <w:pPr>
        <w:spacing w:after="0" w:line="360" w:lineRule="auto"/>
        <w:contextualSpacing/>
        <w:rPr>
          <w:rFonts w:ascii="Times New Roman" w:hAnsi="Times New Roman" w:cs="Times New Roman"/>
          <w:sz w:val="26"/>
          <w:szCs w:val="26"/>
        </w:rPr>
      </w:pPr>
    </w:p>
    <w:p w14:paraId="3CE52DC5" w14:textId="0578C046"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Peoples prefers limiting annual recertification to those with no LIHEAP benefit within a year and those with potentially changing income such as employment.  Multiple-year recertification is sufficient for those on disability income or Social Security.  Peoples Reply Comments at 5.  Duquesne does not oppose requiring recertification on a two-year cycle.  Duquesne Reply Comments at 21</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22.</w:t>
      </w:r>
    </w:p>
    <w:p w14:paraId="3F19B423" w14:textId="77777777" w:rsidR="00506216" w:rsidRPr="00C80D3A" w:rsidRDefault="00506216" w:rsidP="00315DBC">
      <w:pPr>
        <w:spacing w:after="0" w:line="360" w:lineRule="auto"/>
        <w:contextualSpacing/>
        <w:rPr>
          <w:rFonts w:ascii="Times New Roman" w:hAnsi="Times New Roman" w:cs="Times New Roman"/>
          <w:sz w:val="26"/>
          <w:szCs w:val="26"/>
        </w:rPr>
      </w:pPr>
    </w:p>
    <w:p w14:paraId="582066D3" w14:textId="5703D8BA"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FirstEnergy opines it would be more appropriate to determine recertification timeframes within </w:t>
      </w:r>
      <w:r w:rsidR="00302C23" w:rsidRPr="00C80D3A">
        <w:rPr>
          <w:rFonts w:ascii="Times New Roman" w:hAnsi="Times New Roman" w:cs="Times New Roman"/>
          <w:sz w:val="26"/>
          <w:szCs w:val="26"/>
        </w:rPr>
        <w:t>utilities</w:t>
      </w:r>
      <w:r w:rsidR="001529C6">
        <w:rPr>
          <w:rFonts w:ascii="Times New Roman" w:hAnsi="Times New Roman" w:cs="Times New Roman"/>
          <w:sz w:val="26"/>
          <w:szCs w:val="26"/>
        </w:rPr>
        <w:t>’</w:t>
      </w:r>
      <w:r w:rsidR="00302C23"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USECPs rather than in the CAP Policy Statement.  In general, the CAP Policy Statement should not establish specific funding levels or timing restrictions but should allow utilities to design their plans in a way that appropriately fits their </w:t>
      </w:r>
      <w:r w:rsidR="00EC6823" w:rsidRPr="00C80D3A">
        <w:rPr>
          <w:rFonts w:ascii="Times New Roman" w:hAnsi="Times New Roman" w:cs="Times New Roman"/>
          <w:sz w:val="26"/>
          <w:szCs w:val="26"/>
        </w:rPr>
        <w:t>customers</w:t>
      </w:r>
      <w:r w:rsidR="001529C6">
        <w:rPr>
          <w:rFonts w:ascii="Times New Roman" w:hAnsi="Times New Roman" w:cs="Times New Roman"/>
          <w:sz w:val="26"/>
          <w:szCs w:val="26"/>
        </w:rPr>
        <w:t>’</w:t>
      </w:r>
      <w:r w:rsidR="00EC6823" w:rsidRPr="00C80D3A">
        <w:rPr>
          <w:rFonts w:ascii="Times New Roman" w:hAnsi="Times New Roman" w:cs="Times New Roman"/>
          <w:sz w:val="26"/>
          <w:szCs w:val="26"/>
        </w:rPr>
        <w:t xml:space="preserve"> </w:t>
      </w:r>
      <w:r w:rsidRPr="00C80D3A">
        <w:rPr>
          <w:rFonts w:ascii="Times New Roman" w:hAnsi="Times New Roman" w:cs="Times New Roman"/>
          <w:sz w:val="26"/>
          <w:szCs w:val="26"/>
        </w:rPr>
        <w:t>needs.  FirstEnergy Reply Comments at 15.</w:t>
      </w:r>
    </w:p>
    <w:p w14:paraId="6E158AC3" w14:textId="77777777" w:rsidR="00506216" w:rsidRPr="00C80D3A" w:rsidRDefault="00506216" w:rsidP="00315DBC">
      <w:pPr>
        <w:spacing w:after="0" w:line="360" w:lineRule="auto"/>
        <w:contextualSpacing/>
        <w:rPr>
          <w:rFonts w:ascii="Times New Roman" w:hAnsi="Times New Roman" w:cs="Times New Roman"/>
          <w:sz w:val="26"/>
          <w:szCs w:val="26"/>
        </w:rPr>
      </w:pPr>
    </w:p>
    <w:p w14:paraId="4B793A13"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EAP and PPL support recertifying zero-income customers on a more frequent basis.  EAP Reply Comments at 7 and PPL Reply Comments at 3.</w:t>
      </w:r>
    </w:p>
    <w:p w14:paraId="04B5BFA6" w14:textId="77777777" w:rsidR="00506216" w:rsidRPr="00C80D3A" w:rsidRDefault="00506216" w:rsidP="00315DBC">
      <w:pPr>
        <w:spacing w:after="0" w:line="360" w:lineRule="auto"/>
        <w:contextualSpacing/>
        <w:rPr>
          <w:rFonts w:ascii="Times New Roman" w:hAnsi="Times New Roman" w:cs="Times New Roman"/>
          <w:sz w:val="26"/>
          <w:szCs w:val="26"/>
        </w:rPr>
      </w:pPr>
    </w:p>
    <w:p w14:paraId="4B86077D" w14:textId="08E5BD52"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PGW contends </w:t>
      </w:r>
      <w:r w:rsidR="00981AE8" w:rsidRPr="00C80D3A">
        <w:rPr>
          <w:rFonts w:ascii="Times New Roman" w:hAnsi="Times New Roman" w:cs="Times New Roman"/>
          <w:sz w:val="26"/>
          <w:szCs w:val="26"/>
        </w:rPr>
        <w:t xml:space="preserve">that </w:t>
      </w:r>
      <w:r w:rsidRPr="00C80D3A">
        <w:rPr>
          <w:rFonts w:ascii="Times New Roman" w:hAnsi="Times New Roman" w:cs="Times New Roman"/>
          <w:sz w:val="26"/>
          <w:szCs w:val="26"/>
        </w:rPr>
        <w:t>allowing customers to remain in CAP with no income on a permanent basis encourages and authorizes fraud.  PGW Reply Comments at 4.  PGW recommends developing the recertification process through a collaborative.  PGW Reply Comments at 13.</w:t>
      </w:r>
    </w:p>
    <w:p w14:paraId="6FDA2B7C" w14:textId="77777777" w:rsidR="00506216" w:rsidRPr="00C80D3A" w:rsidRDefault="00506216" w:rsidP="00315DBC">
      <w:pPr>
        <w:spacing w:after="0" w:line="360" w:lineRule="auto"/>
        <w:contextualSpacing/>
        <w:rPr>
          <w:rFonts w:ascii="Times New Roman" w:hAnsi="Times New Roman" w:cs="Times New Roman"/>
          <w:sz w:val="26"/>
          <w:szCs w:val="26"/>
        </w:rPr>
      </w:pPr>
    </w:p>
    <w:p w14:paraId="1FC33586" w14:textId="77777777" w:rsidR="00506216" w:rsidRPr="00C80D3A" w:rsidRDefault="00506216" w:rsidP="006334E4">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7944E2D3" w14:textId="3739C4E4" w:rsidR="00492D4F" w:rsidRDefault="00492D4F" w:rsidP="00D56237">
      <w:pPr>
        <w:spacing w:after="0" w:line="360" w:lineRule="auto"/>
        <w:ind w:firstLine="720"/>
        <w:rPr>
          <w:rFonts w:ascii="Times New Roman" w:hAnsi="Times New Roman" w:cs="Times New Roman"/>
          <w:bCs/>
          <w:color w:val="0D0D0D" w:themeColor="text1" w:themeTint="F2"/>
          <w:sz w:val="26"/>
          <w:szCs w:val="26"/>
        </w:rPr>
      </w:pPr>
      <w:r>
        <w:rPr>
          <w:rFonts w:ascii="Times New Roman" w:hAnsi="Times New Roman" w:cs="Times New Roman"/>
          <w:bCs/>
          <w:color w:val="0D0D0D" w:themeColor="text1" w:themeTint="F2"/>
          <w:sz w:val="26"/>
          <w:szCs w:val="26"/>
        </w:rPr>
        <w:t xml:space="preserve">Stakeholders have offered various proposals for amending the policy recommendations regarding recertification timelines for CAP customers.  </w:t>
      </w:r>
      <w:r w:rsidR="00C30A8A" w:rsidRPr="00C80D3A">
        <w:rPr>
          <w:rFonts w:ascii="Times New Roman" w:hAnsi="Times New Roman" w:cs="Times New Roman"/>
          <w:bCs/>
          <w:color w:val="0D0D0D" w:themeColor="text1" w:themeTint="F2"/>
          <w:sz w:val="26"/>
          <w:szCs w:val="26"/>
        </w:rPr>
        <w:t>The Commission</w:t>
      </w:r>
      <w:r w:rsidR="00506216" w:rsidRPr="00C80D3A">
        <w:rPr>
          <w:rFonts w:ascii="Times New Roman" w:hAnsi="Times New Roman" w:cs="Times New Roman"/>
          <w:bCs/>
          <w:color w:val="0D0D0D" w:themeColor="text1" w:themeTint="F2"/>
          <w:sz w:val="26"/>
          <w:szCs w:val="26"/>
        </w:rPr>
        <w:t xml:space="preserve"> </w:t>
      </w:r>
      <w:r w:rsidR="00575BC7" w:rsidRPr="00C80D3A">
        <w:rPr>
          <w:rFonts w:ascii="Times New Roman" w:hAnsi="Times New Roman" w:cs="Times New Roman"/>
          <w:bCs/>
          <w:color w:val="0D0D0D" w:themeColor="text1" w:themeTint="F2"/>
          <w:sz w:val="26"/>
          <w:szCs w:val="26"/>
        </w:rPr>
        <w:t xml:space="preserve">finds that </w:t>
      </w:r>
      <w:r w:rsidR="004F472B" w:rsidRPr="00C80D3A">
        <w:rPr>
          <w:rFonts w:ascii="Times New Roman" w:hAnsi="Times New Roman" w:cs="Times New Roman"/>
          <w:bCs/>
          <w:color w:val="0D0D0D" w:themeColor="text1" w:themeTint="F2"/>
          <w:sz w:val="26"/>
          <w:szCs w:val="26"/>
        </w:rPr>
        <w:t xml:space="preserve">granting utilities the flexibility </w:t>
      </w:r>
      <w:r w:rsidR="00506216" w:rsidRPr="00C80D3A">
        <w:rPr>
          <w:rFonts w:ascii="Times New Roman" w:hAnsi="Times New Roman" w:cs="Times New Roman"/>
          <w:bCs/>
          <w:color w:val="0D0D0D" w:themeColor="text1" w:themeTint="F2"/>
          <w:sz w:val="26"/>
          <w:szCs w:val="26"/>
        </w:rPr>
        <w:t>to extend the</w:t>
      </w:r>
      <w:r w:rsidR="00647200" w:rsidRPr="00C80D3A">
        <w:rPr>
          <w:rFonts w:ascii="Times New Roman" w:hAnsi="Times New Roman" w:cs="Times New Roman"/>
          <w:bCs/>
          <w:color w:val="0D0D0D" w:themeColor="text1" w:themeTint="F2"/>
          <w:sz w:val="26"/>
          <w:szCs w:val="26"/>
        </w:rPr>
        <w:t>ir</w:t>
      </w:r>
      <w:r w:rsidR="00506216" w:rsidRPr="00C80D3A">
        <w:rPr>
          <w:rFonts w:ascii="Times New Roman" w:hAnsi="Times New Roman" w:cs="Times New Roman"/>
          <w:bCs/>
          <w:color w:val="0D0D0D" w:themeColor="text1" w:themeTint="F2"/>
          <w:sz w:val="26"/>
          <w:szCs w:val="26"/>
        </w:rPr>
        <w:t xml:space="preserve"> CAP recertification timeframe</w:t>
      </w:r>
      <w:r w:rsidR="00647200" w:rsidRPr="00C80D3A">
        <w:rPr>
          <w:rFonts w:ascii="Times New Roman" w:hAnsi="Times New Roman" w:cs="Times New Roman"/>
          <w:bCs/>
          <w:color w:val="0D0D0D" w:themeColor="text1" w:themeTint="F2"/>
          <w:sz w:val="26"/>
          <w:szCs w:val="26"/>
        </w:rPr>
        <w:t>s</w:t>
      </w:r>
      <w:r w:rsidR="00506216" w:rsidRPr="00C80D3A">
        <w:rPr>
          <w:rFonts w:ascii="Times New Roman" w:hAnsi="Times New Roman" w:cs="Times New Roman"/>
          <w:bCs/>
          <w:color w:val="0D0D0D" w:themeColor="text1" w:themeTint="F2"/>
          <w:sz w:val="26"/>
          <w:szCs w:val="26"/>
        </w:rPr>
        <w:t xml:space="preserve"> beyond one year</w:t>
      </w:r>
      <w:r w:rsidR="00C5344B" w:rsidRPr="00C80D3A">
        <w:rPr>
          <w:rFonts w:ascii="Times New Roman" w:hAnsi="Times New Roman" w:cs="Times New Roman"/>
          <w:bCs/>
          <w:color w:val="0D0D0D" w:themeColor="text1" w:themeTint="F2"/>
          <w:sz w:val="26"/>
          <w:szCs w:val="26"/>
        </w:rPr>
        <w:t xml:space="preserve"> can be reasonable depending on circumstances</w:t>
      </w:r>
      <w:r w:rsidR="00506216" w:rsidRPr="00C80D3A">
        <w:rPr>
          <w:rFonts w:ascii="Times New Roman" w:hAnsi="Times New Roman" w:cs="Times New Roman"/>
          <w:bCs/>
          <w:color w:val="0D0D0D" w:themeColor="text1" w:themeTint="F2"/>
          <w:sz w:val="26"/>
          <w:szCs w:val="26"/>
        </w:rPr>
        <w:t xml:space="preserve">.  </w:t>
      </w:r>
    </w:p>
    <w:p w14:paraId="4B7887DA" w14:textId="77777777" w:rsidR="00492D4F" w:rsidRDefault="00492D4F" w:rsidP="00D56237">
      <w:pPr>
        <w:spacing w:after="0" w:line="360" w:lineRule="auto"/>
        <w:ind w:firstLine="720"/>
        <w:rPr>
          <w:rFonts w:ascii="Times New Roman" w:hAnsi="Times New Roman" w:cs="Times New Roman"/>
          <w:bCs/>
          <w:color w:val="0D0D0D" w:themeColor="text1" w:themeTint="F2"/>
          <w:sz w:val="26"/>
          <w:szCs w:val="26"/>
        </w:rPr>
      </w:pPr>
    </w:p>
    <w:p w14:paraId="16973E25" w14:textId="055906A8" w:rsidR="000E764A" w:rsidRDefault="00506216" w:rsidP="001529C6">
      <w:pPr>
        <w:spacing w:after="0" w:line="360" w:lineRule="auto"/>
        <w:ind w:firstLine="720"/>
        <w:rPr>
          <w:rFonts w:ascii="Times New Roman" w:hAnsi="Times New Roman" w:cs="Times New Roman"/>
          <w:sz w:val="26"/>
          <w:szCs w:val="26"/>
        </w:rPr>
      </w:pPr>
      <w:r w:rsidRPr="00C80D3A">
        <w:rPr>
          <w:rFonts w:ascii="Times New Roman" w:hAnsi="Times New Roman" w:cs="Times New Roman"/>
          <w:bCs/>
          <w:color w:val="0D0D0D" w:themeColor="text1" w:themeTint="F2"/>
          <w:sz w:val="26"/>
          <w:szCs w:val="26"/>
        </w:rPr>
        <w:t>The most common reason customers are removed from CAPs is due to failure to recertify.</w:t>
      </w:r>
      <w:r w:rsidRPr="00C80D3A">
        <w:rPr>
          <w:rFonts w:ascii="Times New Roman" w:hAnsi="Times New Roman" w:cs="Times New Roman"/>
          <w:bCs/>
          <w:color w:val="0D0D0D" w:themeColor="text1" w:themeTint="F2"/>
          <w:sz w:val="26"/>
          <w:szCs w:val="26"/>
          <w:vertAlign w:val="superscript"/>
        </w:rPr>
        <w:footnoteReference w:id="114"/>
      </w:r>
      <w:r w:rsidRPr="00C80D3A">
        <w:rPr>
          <w:rFonts w:ascii="Times New Roman" w:hAnsi="Times New Roman" w:cs="Times New Roman"/>
          <w:bCs/>
          <w:color w:val="0D0D0D" w:themeColor="text1" w:themeTint="F2"/>
          <w:sz w:val="26"/>
          <w:szCs w:val="26"/>
        </w:rPr>
        <w:t xml:space="preserve">  The more frequent the recertification, the more likely </w:t>
      </w:r>
      <w:r w:rsidR="0012287B" w:rsidRPr="00C80D3A">
        <w:rPr>
          <w:rFonts w:ascii="Times New Roman" w:hAnsi="Times New Roman" w:cs="Times New Roman"/>
          <w:bCs/>
          <w:color w:val="0D0D0D" w:themeColor="text1" w:themeTint="F2"/>
          <w:sz w:val="26"/>
          <w:szCs w:val="26"/>
        </w:rPr>
        <w:t xml:space="preserve">it is that </w:t>
      </w:r>
      <w:r w:rsidRPr="00C80D3A">
        <w:rPr>
          <w:rFonts w:ascii="Times New Roman" w:hAnsi="Times New Roman" w:cs="Times New Roman"/>
          <w:bCs/>
          <w:color w:val="0D0D0D" w:themeColor="text1" w:themeTint="F2"/>
          <w:sz w:val="26"/>
          <w:szCs w:val="26"/>
        </w:rPr>
        <w:t>household</w:t>
      </w:r>
      <w:r w:rsidR="00456F18" w:rsidRPr="00C80D3A">
        <w:rPr>
          <w:rFonts w:ascii="Times New Roman" w:hAnsi="Times New Roman" w:cs="Times New Roman"/>
          <w:bCs/>
          <w:color w:val="0D0D0D" w:themeColor="text1" w:themeTint="F2"/>
          <w:sz w:val="26"/>
          <w:szCs w:val="26"/>
        </w:rPr>
        <w:t>s</w:t>
      </w:r>
      <w:r w:rsidRPr="00C80D3A">
        <w:rPr>
          <w:rFonts w:ascii="Times New Roman" w:hAnsi="Times New Roman" w:cs="Times New Roman"/>
          <w:bCs/>
          <w:color w:val="0D0D0D" w:themeColor="text1" w:themeTint="F2"/>
          <w:sz w:val="26"/>
          <w:szCs w:val="26"/>
        </w:rPr>
        <w:t xml:space="preserve"> will be removed from the program for failing to send in required </w:t>
      </w:r>
      <w:r w:rsidRPr="00E61F16">
        <w:rPr>
          <w:rFonts w:ascii="Times New Roman" w:hAnsi="Times New Roman" w:cs="Times New Roman"/>
          <w:bCs/>
          <w:color w:val="0D0D0D" w:themeColor="text1" w:themeTint="F2"/>
          <w:sz w:val="26"/>
          <w:szCs w:val="26"/>
        </w:rPr>
        <w:t>documentation.</w:t>
      </w:r>
      <w:r w:rsidR="00E61F16" w:rsidRPr="00E61F16">
        <w:rPr>
          <w:rFonts w:ascii="Times New Roman" w:hAnsi="Times New Roman" w:cs="Times New Roman"/>
          <w:bCs/>
          <w:color w:val="0D0D0D" w:themeColor="text1" w:themeTint="F2"/>
          <w:sz w:val="26"/>
          <w:szCs w:val="26"/>
        </w:rPr>
        <w:t xml:space="preserve">  </w:t>
      </w:r>
      <w:r w:rsidR="00EB3CAC">
        <w:rPr>
          <w:rFonts w:ascii="Times New Roman" w:hAnsi="Times New Roman" w:cs="Times New Roman"/>
          <w:bCs/>
          <w:color w:val="0D0D0D" w:themeColor="text1" w:themeTint="F2"/>
          <w:sz w:val="26"/>
          <w:szCs w:val="26"/>
        </w:rPr>
        <w:t>C</w:t>
      </w:r>
      <w:r w:rsidRPr="00C80D3A">
        <w:rPr>
          <w:rFonts w:ascii="Times New Roman" w:hAnsi="Times New Roman" w:cs="Times New Roman"/>
          <w:bCs/>
          <w:color w:val="0D0D0D" w:themeColor="text1" w:themeTint="F2"/>
          <w:sz w:val="26"/>
          <w:szCs w:val="26"/>
        </w:rPr>
        <w:t>onsistent with Section 69.265(7)(iv)</w:t>
      </w:r>
      <w:r w:rsidR="00EB3CAC">
        <w:rPr>
          <w:rFonts w:ascii="Times New Roman" w:hAnsi="Times New Roman" w:cs="Times New Roman"/>
          <w:bCs/>
          <w:color w:val="0D0D0D" w:themeColor="text1" w:themeTint="F2"/>
          <w:sz w:val="26"/>
          <w:szCs w:val="26"/>
        </w:rPr>
        <w:t xml:space="preserve">, </w:t>
      </w:r>
      <w:r w:rsidR="00EB3CAC" w:rsidRPr="00C80D3A">
        <w:rPr>
          <w:rFonts w:ascii="Times New Roman" w:hAnsi="Times New Roman" w:cs="Times New Roman"/>
          <w:bCs/>
          <w:color w:val="0D0D0D" w:themeColor="text1" w:themeTint="F2"/>
          <w:sz w:val="26"/>
          <w:szCs w:val="26"/>
        </w:rPr>
        <w:t xml:space="preserve">all EDCs and NGDCs </w:t>
      </w:r>
      <w:r w:rsidR="00EB3CAC">
        <w:rPr>
          <w:rFonts w:ascii="Times New Roman" w:hAnsi="Times New Roman" w:cs="Times New Roman"/>
          <w:bCs/>
          <w:color w:val="0D0D0D" w:themeColor="text1" w:themeTint="F2"/>
          <w:sz w:val="26"/>
          <w:szCs w:val="26"/>
        </w:rPr>
        <w:t xml:space="preserve">currently </w:t>
      </w:r>
      <w:r w:rsidR="00EB3CAC" w:rsidRPr="00C80D3A">
        <w:rPr>
          <w:rFonts w:ascii="Times New Roman" w:hAnsi="Times New Roman" w:cs="Times New Roman"/>
          <w:bCs/>
          <w:color w:val="0D0D0D" w:themeColor="text1" w:themeTint="F2"/>
          <w:sz w:val="26"/>
          <w:szCs w:val="26"/>
        </w:rPr>
        <w:t>require CAP participants to report income changes</w:t>
      </w:r>
      <w:r w:rsidR="00EB3CAC">
        <w:rPr>
          <w:rFonts w:ascii="Times New Roman" w:hAnsi="Times New Roman" w:cs="Times New Roman"/>
          <w:bCs/>
          <w:color w:val="0D0D0D" w:themeColor="text1" w:themeTint="F2"/>
          <w:sz w:val="26"/>
          <w:szCs w:val="26"/>
        </w:rPr>
        <w:t>, but</w:t>
      </w:r>
      <w:r w:rsidRPr="00C80D3A">
        <w:rPr>
          <w:rFonts w:ascii="Times New Roman" w:hAnsi="Times New Roman" w:cs="Times New Roman"/>
          <w:bCs/>
          <w:color w:val="0D0D0D" w:themeColor="text1" w:themeTint="F2"/>
          <w:sz w:val="26"/>
          <w:szCs w:val="26"/>
        </w:rPr>
        <w:t xml:space="preserve"> a household may not always report </w:t>
      </w:r>
      <w:r w:rsidR="004C0AC5" w:rsidRPr="00C80D3A">
        <w:rPr>
          <w:rFonts w:ascii="Times New Roman" w:hAnsi="Times New Roman" w:cs="Times New Roman"/>
          <w:bCs/>
          <w:color w:val="0D0D0D" w:themeColor="text1" w:themeTint="F2"/>
          <w:sz w:val="26"/>
          <w:szCs w:val="26"/>
        </w:rPr>
        <w:t xml:space="preserve">the </w:t>
      </w:r>
      <w:r w:rsidRPr="00C80D3A">
        <w:rPr>
          <w:rFonts w:ascii="Times New Roman" w:hAnsi="Times New Roman" w:cs="Times New Roman"/>
          <w:bCs/>
          <w:color w:val="0D0D0D" w:themeColor="text1" w:themeTint="F2"/>
          <w:sz w:val="26"/>
          <w:szCs w:val="26"/>
        </w:rPr>
        <w:t xml:space="preserve">gradual changes in income which </w:t>
      </w:r>
      <w:r w:rsidR="004C0AC5" w:rsidRPr="00C80D3A">
        <w:rPr>
          <w:rFonts w:ascii="Times New Roman" w:hAnsi="Times New Roman" w:cs="Times New Roman"/>
          <w:bCs/>
          <w:color w:val="0D0D0D" w:themeColor="text1" w:themeTint="F2"/>
          <w:sz w:val="26"/>
          <w:szCs w:val="26"/>
        </w:rPr>
        <w:t xml:space="preserve">could </w:t>
      </w:r>
      <w:r w:rsidRPr="00C80D3A">
        <w:rPr>
          <w:rFonts w:ascii="Times New Roman" w:hAnsi="Times New Roman" w:cs="Times New Roman"/>
          <w:bCs/>
          <w:color w:val="0D0D0D" w:themeColor="text1" w:themeTint="F2"/>
          <w:sz w:val="26"/>
          <w:szCs w:val="26"/>
        </w:rPr>
        <w:t>entitle the</w:t>
      </w:r>
      <w:r w:rsidR="004C0AC5" w:rsidRPr="00C80D3A">
        <w:rPr>
          <w:rFonts w:ascii="Times New Roman" w:hAnsi="Times New Roman" w:cs="Times New Roman"/>
          <w:bCs/>
          <w:color w:val="0D0D0D" w:themeColor="text1" w:themeTint="F2"/>
          <w:sz w:val="26"/>
          <w:szCs w:val="26"/>
        </w:rPr>
        <w:t xml:space="preserve"> household</w:t>
      </w:r>
      <w:r w:rsidRPr="00C80D3A">
        <w:rPr>
          <w:rFonts w:ascii="Times New Roman" w:hAnsi="Times New Roman" w:cs="Times New Roman"/>
          <w:bCs/>
          <w:color w:val="0D0D0D" w:themeColor="text1" w:themeTint="F2"/>
          <w:sz w:val="26"/>
          <w:szCs w:val="26"/>
        </w:rPr>
        <w:t xml:space="preserve"> to </w:t>
      </w:r>
      <w:r w:rsidR="00441839">
        <w:rPr>
          <w:rFonts w:ascii="Times New Roman" w:hAnsi="Times New Roman" w:cs="Times New Roman"/>
          <w:bCs/>
          <w:color w:val="0D0D0D" w:themeColor="text1" w:themeTint="F2"/>
          <w:sz w:val="26"/>
          <w:szCs w:val="26"/>
        </w:rPr>
        <w:t>higher or lower</w:t>
      </w:r>
      <w:r w:rsidRPr="00C80D3A">
        <w:rPr>
          <w:rFonts w:ascii="Times New Roman" w:hAnsi="Times New Roman" w:cs="Times New Roman"/>
          <w:bCs/>
          <w:color w:val="0D0D0D" w:themeColor="text1" w:themeTint="F2"/>
          <w:sz w:val="26"/>
          <w:szCs w:val="26"/>
        </w:rPr>
        <w:t xml:space="preserve"> CAP credits. </w:t>
      </w:r>
      <w:r w:rsidR="00367066">
        <w:rPr>
          <w:rFonts w:ascii="Times New Roman" w:hAnsi="Times New Roman" w:cs="Times New Roman"/>
          <w:bCs/>
          <w:color w:val="0D0D0D" w:themeColor="text1" w:themeTint="F2"/>
          <w:sz w:val="26"/>
          <w:szCs w:val="26"/>
        </w:rPr>
        <w:t xml:space="preserve"> </w:t>
      </w:r>
    </w:p>
    <w:p w14:paraId="4C7E7C1A" w14:textId="77777777" w:rsidR="00AB2A21" w:rsidRDefault="00AB2A21" w:rsidP="00D56237">
      <w:pPr>
        <w:spacing w:after="0" w:line="360" w:lineRule="auto"/>
        <w:ind w:firstLine="720"/>
        <w:rPr>
          <w:rFonts w:ascii="Times New Roman" w:hAnsi="Times New Roman" w:cs="Times New Roman"/>
          <w:sz w:val="26"/>
          <w:szCs w:val="26"/>
        </w:rPr>
      </w:pPr>
    </w:p>
    <w:p w14:paraId="3166044C" w14:textId="2D2E9DA4" w:rsidR="00506216" w:rsidRPr="00C80D3A" w:rsidRDefault="00DF1CD2" w:rsidP="00315DBC">
      <w:pPr>
        <w:tabs>
          <w:tab w:val="left" w:pos="720"/>
        </w:tabs>
        <w:autoSpaceDE w:val="0"/>
        <w:autoSpaceDN w:val="0"/>
        <w:adjustRightInd w:val="0"/>
        <w:spacing w:after="0" w:line="360" w:lineRule="auto"/>
        <w:contextualSpacing/>
        <w:rPr>
          <w:rFonts w:ascii="Times New Roman" w:hAnsi="Times New Roman" w:cs="Times New Roman"/>
          <w:bCs/>
          <w:color w:val="0D0D0D" w:themeColor="text1" w:themeTint="F2"/>
          <w:sz w:val="26"/>
          <w:szCs w:val="26"/>
        </w:rPr>
      </w:pPr>
      <w:r>
        <w:rPr>
          <w:rFonts w:ascii="Times New Roman" w:hAnsi="Times New Roman" w:cs="Times New Roman"/>
          <w:bCs/>
          <w:color w:val="0D0D0D" w:themeColor="text1" w:themeTint="F2"/>
          <w:sz w:val="26"/>
          <w:szCs w:val="26"/>
        </w:rPr>
        <w:tab/>
      </w:r>
      <w:r w:rsidR="000C3589">
        <w:rPr>
          <w:rFonts w:ascii="Times New Roman" w:hAnsi="Times New Roman" w:cs="Times New Roman"/>
          <w:bCs/>
          <w:color w:val="0D0D0D" w:themeColor="text1" w:themeTint="F2"/>
          <w:sz w:val="26"/>
          <w:szCs w:val="26"/>
        </w:rPr>
        <w:t>R</w:t>
      </w:r>
      <w:r w:rsidR="00367066" w:rsidRPr="00DF1CD2">
        <w:rPr>
          <w:rFonts w:ascii="Times New Roman" w:hAnsi="Times New Roman" w:cs="Times New Roman"/>
          <w:bCs/>
          <w:color w:val="0D0D0D" w:themeColor="text1" w:themeTint="F2"/>
          <w:sz w:val="26"/>
          <w:szCs w:val="26"/>
        </w:rPr>
        <w:t xml:space="preserve">egarding LIHEAP, while we recognize the benefits of allowing LIHEAP recipients to remain in CAPs without frequent recertification of income, we find that receipt of </w:t>
      </w:r>
      <w:r w:rsidR="006023B2">
        <w:rPr>
          <w:rFonts w:ascii="Times New Roman" w:hAnsi="Times New Roman" w:cs="Times New Roman"/>
          <w:bCs/>
          <w:color w:val="0D0D0D" w:themeColor="text1" w:themeTint="F2"/>
          <w:sz w:val="26"/>
          <w:szCs w:val="26"/>
        </w:rPr>
        <w:t xml:space="preserve">a LIHEAP </w:t>
      </w:r>
      <w:r w:rsidR="00367066" w:rsidRPr="00DF1CD2">
        <w:rPr>
          <w:rFonts w:ascii="Times New Roman" w:hAnsi="Times New Roman" w:cs="Times New Roman"/>
          <w:bCs/>
          <w:color w:val="0D0D0D" w:themeColor="text1" w:themeTint="F2"/>
          <w:sz w:val="26"/>
          <w:szCs w:val="26"/>
        </w:rPr>
        <w:t>grant itself is insufficient income documentation for the purposes of CAP.  A LIHEAP grant only establishes that the household has income at or below 150%</w:t>
      </w:r>
      <w:r w:rsidR="002C741D">
        <w:rPr>
          <w:rFonts w:ascii="Times New Roman" w:hAnsi="Times New Roman" w:cs="Times New Roman"/>
          <w:bCs/>
          <w:color w:val="0D0D0D" w:themeColor="text1" w:themeTint="F2"/>
          <w:sz w:val="26"/>
          <w:szCs w:val="26"/>
        </w:rPr>
        <w:t> </w:t>
      </w:r>
      <w:r w:rsidR="00367066" w:rsidRPr="00DF1CD2">
        <w:rPr>
          <w:rFonts w:ascii="Times New Roman" w:hAnsi="Times New Roman" w:cs="Times New Roman"/>
          <w:bCs/>
          <w:color w:val="0D0D0D" w:themeColor="text1" w:themeTint="F2"/>
          <w:sz w:val="26"/>
          <w:szCs w:val="26"/>
        </w:rPr>
        <w:t xml:space="preserve">of the FPIG and </w:t>
      </w:r>
      <w:r w:rsidR="002C741D">
        <w:rPr>
          <w:rFonts w:ascii="Times New Roman" w:hAnsi="Times New Roman" w:cs="Times New Roman"/>
          <w:bCs/>
          <w:color w:val="0D0D0D" w:themeColor="text1" w:themeTint="F2"/>
          <w:sz w:val="26"/>
          <w:szCs w:val="26"/>
        </w:rPr>
        <w:t xml:space="preserve">is </w:t>
      </w:r>
      <w:r w:rsidR="00367066" w:rsidRPr="00DF1CD2">
        <w:rPr>
          <w:rFonts w:ascii="Times New Roman" w:hAnsi="Times New Roman" w:cs="Times New Roman"/>
          <w:bCs/>
          <w:color w:val="0D0D0D" w:themeColor="text1" w:themeTint="F2"/>
          <w:sz w:val="26"/>
          <w:szCs w:val="26"/>
        </w:rPr>
        <w:t>th</w:t>
      </w:r>
      <w:r w:rsidR="002C741D">
        <w:rPr>
          <w:rFonts w:ascii="Times New Roman" w:hAnsi="Times New Roman" w:cs="Times New Roman"/>
          <w:bCs/>
          <w:color w:val="0D0D0D" w:themeColor="text1" w:themeTint="F2"/>
          <w:sz w:val="26"/>
          <w:szCs w:val="26"/>
        </w:rPr>
        <w:t>us</w:t>
      </w:r>
      <w:r w:rsidR="00367066" w:rsidRPr="00DF1CD2">
        <w:rPr>
          <w:rFonts w:ascii="Times New Roman" w:hAnsi="Times New Roman" w:cs="Times New Roman"/>
          <w:bCs/>
          <w:color w:val="0D0D0D" w:themeColor="text1" w:themeTint="F2"/>
          <w:sz w:val="26"/>
          <w:szCs w:val="26"/>
        </w:rPr>
        <w:t xml:space="preserve"> </w:t>
      </w:r>
      <w:r w:rsidR="002C741D">
        <w:rPr>
          <w:rFonts w:ascii="Times New Roman" w:hAnsi="Times New Roman" w:cs="Times New Roman"/>
          <w:bCs/>
          <w:color w:val="0D0D0D" w:themeColor="text1" w:themeTint="F2"/>
          <w:sz w:val="26"/>
          <w:szCs w:val="26"/>
        </w:rPr>
        <w:t xml:space="preserve">income-eligible for </w:t>
      </w:r>
      <w:r w:rsidR="00367066" w:rsidRPr="00DF1CD2">
        <w:rPr>
          <w:rFonts w:ascii="Times New Roman" w:hAnsi="Times New Roman" w:cs="Times New Roman"/>
          <w:bCs/>
          <w:color w:val="0D0D0D" w:themeColor="text1" w:themeTint="F2"/>
          <w:sz w:val="26"/>
          <w:szCs w:val="26"/>
        </w:rPr>
        <w:t xml:space="preserve">CAP.  However, </w:t>
      </w:r>
      <w:r w:rsidR="00007CA3">
        <w:rPr>
          <w:rFonts w:ascii="Times New Roman" w:hAnsi="Times New Roman" w:cs="Times New Roman"/>
          <w:bCs/>
          <w:color w:val="0D0D0D" w:themeColor="text1" w:themeTint="F2"/>
          <w:sz w:val="26"/>
          <w:szCs w:val="26"/>
        </w:rPr>
        <w:t xml:space="preserve">knowing that a household has received a LIHEAP grant </w:t>
      </w:r>
      <w:r w:rsidR="00367066" w:rsidRPr="00DF1CD2">
        <w:rPr>
          <w:rFonts w:ascii="Times New Roman" w:hAnsi="Times New Roman" w:cs="Times New Roman"/>
          <w:bCs/>
          <w:color w:val="0D0D0D" w:themeColor="text1" w:themeTint="F2"/>
          <w:sz w:val="26"/>
          <w:szCs w:val="26"/>
        </w:rPr>
        <w:t>does not provide the utility with the household</w:t>
      </w:r>
      <w:r w:rsidR="00007CA3">
        <w:rPr>
          <w:rFonts w:ascii="Times New Roman" w:hAnsi="Times New Roman" w:cs="Times New Roman"/>
          <w:bCs/>
          <w:color w:val="0D0D0D" w:themeColor="text1" w:themeTint="F2"/>
          <w:sz w:val="26"/>
          <w:szCs w:val="26"/>
        </w:rPr>
        <w:t>-</w:t>
      </w:r>
      <w:r w:rsidR="00367066" w:rsidRPr="00DF1CD2">
        <w:rPr>
          <w:rFonts w:ascii="Times New Roman" w:hAnsi="Times New Roman" w:cs="Times New Roman"/>
          <w:bCs/>
          <w:color w:val="0D0D0D" w:themeColor="text1" w:themeTint="F2"/>
          <w:sz w:val="26"/>
          <w:szCs w:val="26"/>
        </w:rPr>
        <w:t xml:space="preserve">specific information necessary for the proper determination of CAP benefits.  This is especially important as </w:t>
      </w:r>
      <w:r w:rsidR="00A66D76">
        <w:rPr>
          <w:rFonts w:ascii="Times New Roman" w:hAnsi="Times New Roman" w:cs="Times New Roman"/>
          <w:bCs/>
          <w:color w:val="0D0D0D" w:themeColor="text1" w:themeTint="F2"/>
          <w:sz w:val="26"/>
          <w:szCs w:val="26"/>
        </w:rPr>
        <w:t xml:space="preserve">some </w:t>
      </w:r>
      <w:r w:rsidR="00367066" w:rsidRPr="00DF1CD2">
        <w:rPr>
          <w:rFonts w:ascii="Times New Roman" w:hAnsi="Times New Roman" w:cs="Times New Roman"/>
          <w:bCs/>
          <w:color w:val="0D0D0D" w:themeColor="text1" w:themeTint="F2"/>
          <w:sz w:val="26"/>
          <w:szCs w:val="26"/>
        </w:rPr>
        <w:t xml:space="preserve">CAP benefits are tied to </w:t>
      </w:r>
      <w:r w:rsidR="00A66D76">
        <w:rPr>
          <w:rFonts w:ascii="Times New Roman" w:hAnsi="Times New Roman" w:cs="Times New Roman"/>
          <w:bCs/>
          <w:color w:val="0D0D0D" w:themeColor="text1" w:themeTint="F2"/>
          <w:sz w:val="26"/>
          <w:szCs w:val="26"/>
        </w:rPr>
        <w:t xml:space="preserve">household </w:t>
      </w:r>
      <w:r w:rsidR="00367066" w:rsidRPr="00DF1CD2">
        <w:rPr>
          <w:rFonts w:ascii="Times New Roman" w:hAnsi="Times New Roman" w:cs="Times New Roman"/>
          <w:bCs/>
          <w:color w:val="0D0D0D" w:themeColor="text1" w:themeTint="F2"/>
          <w:sz w:val="26"/>
          <w:szCs w:val="26"/>
        </w:rPr>
        <w:t>income</w:t>
      </w:r>
      <w:r w:rsidR="00A66D76">
        <w:rPr>
          <w:rFonts w:ascii="Times New Roman" w:hAnsi="Times New Roman" w:cs="Times New Roman"/>
          <w:bCs/>
          <w:color w:val="0D0D0D" w:themeColor="text1" w:themeTint="F2"/>
          <w:sz w:val="26"/>
          <w:szCs w:val="26"/>
        </w:rPr>
        <w:t xml:space="preserve">.  By </w:t>
      </w:r>
      <w:r w:rsidR="00547226">
        <w:rPr>
          <w:rFonts w:ascii="Times New Roman" w:hAnsi="Times New Roman" w:cs="Times New Roman"/>
          <w:bCs/>
          <w:color w:val="0D0D0D" w:themeColor="text1" w:themeTint="F2"/>
          <w:sz w:val="26"/>
          <w:szCs w:val="26"/>
        </w:rPr>
        <w:t xml:space="preserve">recommending that utilities </w:t>
      </w:r>
      <w:r w:rsidR="00367066" w:rsidRPr="00DF1CD2">
        <w:rPr>
          <w:rFonts w:ascii="Times New Roman" w:hAnsi="Times New Roman" w:cs="Times New Roman"/>
          <w:bCs/>
          <w:color w:val="0D0D0D" w:themeColor="text1" w:themeTint="F2"/>
          <w:sz w:val="26"/>
          <w:szCs w:val="26"/>
        </w:rPr>
        <w:t xml:space="preserve">overextend the recertification period </w:t>
      </w:r>
      <w:r w:rsidR="00547226">
        <w:rPr>
          <w:rFonts w:ascii="Times New Roman" w:hAnsi="Times New Roman" w:cs="Times New Roman"/>
          <w:bCs/>
          <w:color w:val="0D0D0D" w:themeColor="text1" w:themeTint="F2"/>
          <w:sz w:val="26"/>
          <w:szCs w:val="26"/>
        </w:rPr>
        <w:t xml:space="preserve">for </w:t>
      </w:r>
      <w:r w:rsidR="00367066" w:rsidRPr="00DF1CD2">
        <w:rPr>
          <w:rFonts w:ascii="Times New Roman" w:hAnsi="Times New Roman" w:cs="Times New Roman"/>
          <w:bCs/>
          <w:color w:val="0D0D0D" w:themeColor="text1" w:themeTint="F2"/>
          <w:sz w:val="26"/>
          <w:szCs w:val="26"/>
        </w:rPr>
        <w:t xml:space="preserve">LIHEAP recipients, we </w:t>
      </w:r>
      <w:r w:rsidR="00A66D76">
        <w:rPr>
          <w:rFonts w:ascii="Times New Roman" w:hAnsi="Times New Roman" w:cs="Times New Roman"/>
          <w:bCs/>
          <w:color w:val="0D0D0D" w:themeColor="text1" w:themeTint="F2"/>
          <w:sz w:val="26"/>
          <w:szCs w:val="26"/>
        </w:rPr>
        <w:t xml:space="preserve">could </w:t>
      </w:r>
      <w:r w:rsidR="00367066" w:rsidRPr="00DF1CD2">
        <w:rPr>
          <w:rFonts w:ascii="Times New Roman" w:hAnsi="Times New Roman" w:cs="Times New Roman"/>
          <w:bCs/>
          <w:color w:val="0D0D0D" w:themeColor="text1" w:themeTint="F2"/>
          <w:sz w:val="26"/>
          <w:szCs w:val="26"/>
        </w:rPr>
        <w:t>inadvertently run the risk of preventing otherwise eligible households from receiving greater payment assistance from their utilit</w:t>
      </w:r>
      <w:r w:rsidR="00547226">
        <w:rPr>
          <w:rFonts w:ascii="Times New Roman" w:hAnsi="Times New Roman" w:cs="Times New Roman"/>
          <w:bCs/>
          <w:color w:val="0D0D0D" w:themeColor="text1" w:themeTint="F2"/>
          <w:sz w:val="26"/>
          <w:szCs w:val="26"/>
        </w:rPr>
        <w:t>ies</w:t>
      </w:r>
      <w:r w:rsidR="00367066" w:rsidRPr="00DF1CD2">
        <w:rPr>
          <w:rFonts w:ascii="Times New Roman" w:hAnsi="Times New Roman" w:cs="Times New Roman"/>
          <w:bCs/>
          <w:color w:val="0D0D0D" w:themeColor="text1" w:themeTint="F2"/>
          <w:sz w:val="26"/>
          <w:szCs w:val="26"/>
        </w:rPr>
        <w:t xml:space="preserve"> if, for example, their income w</w:t>
      </w:r>
      <w:r w:rsidR="00D45C02">
        <w:rPr>
          <w:rFonts w:ascii="Times New Roman" w:hAnsi="Times New Roman" w:cs="Times New Roman"/>
          <w:bCs/>
          <w:color w:val="0D0D0D" w:themeColor="text1" w:themeTint="F2"/>
          <w:sz w:val="26"/>
          <w:szCs w:val="26"/>
        </w:rPr>
        <w:t>ere</w:t>
      </w:r>
      <w:r w:rsidR="00367066" w:rsidRPr="00DF1CD2">
        <w:rPr>
          <w:rFonts w:ascii="Times New Roman" w:hAnsi="Times New Roman" w:cs="Times New Roman"/>
          <w:bCs/>
          <w:color w:val="0D0D0D" w:themeColor="text1" w:themeTint="F2"/>
          <w:sz w:val="26"/>
          <w:szCs w:val="26"/>
        </w:rPr>
        <w:t xml:space="preserve"> to decline in the interim.</w:t>
      </w:r>
      <w:r w:rsidR="00D45C02">
        <w:rPr>
          <w:rFonts w:ascii="Times New Roman" w:hAnsi="Times New Roman" w:cs="Times New Roman"/>
          <w:bCs/>
          <w:color w:val="0D0D0D" w:themeColor="text1" w:themeTint="F2"/>
          <w:sz w:val="26"/>
          <w:szCs w:val="26"/>
        </w:rPr>
        <w:t xml:space="preserve">  </w:t>
      </w:r>
      <w:r w:rsidR="005405CD" w:rsidRPr="00C80D3A">
        <w:rPr>
          <w:rFonts w:ascii="Times New Roman" w:hAnsi="Times New Roman" w:cs="Times New Roman"/>
          <w:sz w:val="26"/>
          <w:szCs w:val="26"/>
        </w:rPr>
        <w:t>Therefore, we find merit in extending the recertification timeframe for CAP households that r</w:t>
      </w:r>
      <w:r w:rsidR="00B27FF7">
        <w:rPr>
          <w:rFonts w:ascii="Times New Roman" w:hAnsi="Times New Roman" w:cs="Times New Roman"/>
          <w:sz w:val="26"/>
          <w:szCs w:val="26"/>
        </w:rPr>
        <w:t xml:space="preserve">eceive LIHEAP grants </w:t>
      </w:r>
      <w:r w:rsidR="005405CD" w:rsidRPr="00C80D3A">
        <w:rPr>
          <w:rFonts w:ascii="Times New Roman" w:hAnsi="Times New Roman" w:cs="Times New Roman"/>
          <w:sz w:val="26"/>
          <w:szCs w:val="26"/>
        </w:rPr>
        <w:t xml:space="preserve">for up to </w:t>
      </w:r>
      <w:r w:rsidR="005405CD">
        <w:rPr>
          <w:rFonts w:ascii="Times New Roman" w:hAnsi="Times New Roman" w:cs="Times New Roman"/>
          <w:sz w:val="26"/>
          <w:szCs w:val="26"/>
        </w:rPr>
        <w:t>t</w:t>
      </w:r>
      <w:r w:rsidR="00B27FF7">
        <w:rPr>
          <w:rFonts w:ascii="Times New Roman" w:hAnsi="Times New Roman" w:cs="Times New Roman"/>
          <w:sz w:val="26"/>
          <w:szCs w:val="26"/>
        </w:rPr>
        <w:t xml:space="preserve">wo (2) </w:t>
      </w:r>
      <w:r w:rsidR="005405CD" w:rsidRPr="00C80D3A">
        <w:rPr>
          <w:rFonts w:ascii="Times New Roman" w:hAnsi="Times New Roman" w:cs="Times New Roman"/>
          <w:sz w:val="26"/>
          <w:szCs w:val="26"/>
        </w:rPr>
        <w:t>years</w:t>
      </w:r>
      <w:r w:rsidR="00B27FF7">
        <w:rPr>
          <w:rFonts w:ascii="Times New Roman" w:hAnsi="Times New Roman" w:cs="Times New Roman"/>
          <w:sz w:val="26"/>
          <w:szCs w:val="26"/>
        </w:rPr>
        <w:t>.</w:t>
      </w:r>
    </w:p>
    <w:p w14:paraId="31BFA589" w14:textId="77777777" w:rsidR="00506216" w:rsidRPr="00C80D3A" w:rsidRDefault="00506216" w:rsidP="00315DBC">
      <w:pPr>
        <w:spacing w:after="0" w:line="360" w:lineRule="auto"/>
        <w:contextualSpacing/>
        <w:rPr>
          <w:rFonts w:ascii="Times New Roman" w:hAnsi="Times New Roman" w:cs="Times New Roman"/>
          <w:sz w:val="26"/>
          <w:szCs w:val="26"/>
        </w:rPr>
      </w:pPr>
    </w:p>
    <w:p w14:paraId="203E4F04" w14:textId="7BBD7A3F"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Elderly residents and people with disabilities often rely on income sources which do not increase much from year-to-year, if at all.  Annual changes to these income amounts </w:t>
      </w:r>
      <w:r w:rsidR="00FD7D37" w:rsidRPr="00C80D3A">
        <w:rPr>
          <w:rFonts w:ascii="Times New Roman" w:hAnsi="Times New Roman" w:cs="Times New Roman"/>
          <w:sz w:val="26"/>
          <w:szCs w:val="26"/>
        </w:rPr>
        <w:t xml:space="preserve">typically </w:t>
      </w:r>
      <w:r w:rsidRPr="00C80D3A">
        <w:rPr>
          <w:rFonts w:ascii="Times New Roman" w:hAnsi="Times New Roman" w:cs="Times New Roman"/>
          <w:sz w:val="26"/>
          <w:szCs w:val="26"/>
        </w:rPr>
        <w:t xml:space="preserve">have minimal impact on CAP </w:t>
      </w:r>
      <w:r w:rsidR="00C20750" w:rsidRPr="00C80D3A">
        <w:rPr>
          <w:rFonts w:ascii="Times New Roman" w:hAnsi="Times New Roman" w:cs="Times New Roman"/>
          <w:sz w:val="26"/>
          <w:szCs w:val="26"/>
        </w:rPr>
        <w:t xml:space="preserve">benefit </w:t>
      </w:r>
      <w:r w:rsidRPr="00C80D3A">
        <w:rPr>
          <w:rFonts w:ascii="Times New Roman" w:hAnsi="Times New Roman" w:cs="Times New Roman"/>
          <w:sz w:val="26"/>
          <w:szCs w:val="26"/>
        </w:rPr>
        <w:t xml:space="preserve">calculations.  Therefore, </w:t>
      </w:r>
      <w:r w:rsidR="00B560EA" w:rsidRPr="00C80D3A">
        <w:rPr>
          <w:rFonts w:ascii="Times New Roman" w:hAnsi="Times New Roman" w:cs="Times New Roman"/>
          <w:sz w:val="26"/>
          <w:szCs w:val="26"/>
        </w:rPr>
        <w:t>we</w:t>
      </w:r>
      <w:r w:rsidRPr="00C80D3A">
        <w:rPr>
          <w:rFonts w:ascii="Times New Roman" w:hAnsi="Times New Roman" w:cs="Times New Roman"/>
          <w:sz w:val="26"/>
          <w:szCs w:val="26"/>
        </w:rPr>
        <w:t xml:space="preserve"> </w:t>
      </w:r>
      <w:r w:rsidR="00C245F8" w:rsidRPr="00C80D3A">
        <w:rPr>
          <w:rFonts w:ascii="Times New Roman" w:hAnsi="Times New Roman" w:cs="Times New Roman"/>
          <w:sz w:val="26"/>
          <w:szCs w:val="26"/>
        </w:rPr>
        <w:t xml:space="preserve">find merit in </w:t>
      </w:r>
      <w:r w:rsidRPr="00C80D3A">
        <w:rPr>
          <w:rFonts w:ascii="Times New Roman" w:hAnsi="Times New Roman" w:cs="Times New Roman"/>
          <w:sz w:val="26"/>
          <w:szCs w:val="26"/>
        </w:rPr>
        <w:t xml:space="preserve">extending the recertification timeframe for </w:t>
      </w:r>
      <w:r w:rsidR="000918C4" w:rsidRPr="00C80D3A">
        <w:rPr>
          <w:rFonts w:ascii="Times New Roman" w:hAnsi="Times New Roman" w:cs="Times New Roman"/>
          <w:sz w:val="26"/>
          <w:szCs w:val="26"/>
        </w:rPr>
        <w:t>CAP households that report Social Security, SSI, or pensions as the</w:t>
      </w:r>
      <w:r w:rsidR="00D76EC5" w:rsidRPr="00C80D3A">
        <w:rPr>
          <w:rFonts w:ascii="Times New Roman" w:hAnsi="Times New Roman" w:cs="Times New Roman"/>
          <w:sz w:val="26"/>
          <w:szCs w:val="26"/>
        </w:rPr>
        <w:t>ir</w:t>
      </w:r>
      <w:r w:rsidR="000918C4" w:rsidRPr="00C80D3A">
        <w:rPr>
          <w:rFonts w:ascii="Times New Roman" w:hAnsi="Times New Roman" w:cs="Times New Roman"/>
          <w:sz w:val="26"/>
          <w:szCs w:val="26"/>
        </w:rPr>
        <w:t xml:space="preserve"> primary or sole source of household income </w:t>
      </w:r>
      <w:r w:rsidRPr="00C80D3A">
        <w:rPr>
          <w:rFonts w:ascii="Times New Roman" w:hAnsi="Times New Roman" w:cs="Times New Roman"/>
          <w:sz w:val="26"/>
          <w:szCs w:val="26"/>
        </w:rPr>
        <w:t xml:space="preserve">for up to </w:t>
      </w:r>
      <w:r w:rsidR="005A0AE1">
        <w:rPr>
          <w:rFonts w:ascii="Times New Roman" w:hAnsi="Times New Roman" w:cs="Times New Roman"/>
          <w:sz w:val="26"/>
          <w:szCs w:val="26"/>
        </w:rPr>
        <w:t xml:space="preserve">three </w:t>
      </w:r>
      <w:r w:rsidR="00534E08">
        <w:rPr>
          <w:rFonts w:ascii="Times New Roman" w:hAnsi="Times New Roman" w:cs="Times New Roman"/>
          <w:sz w:val="26"/>
          <w:szCs w:val="26"/>
        </w:rPr>
        <w:t xml:space="preserve">(3) </w:t>
      </w:r>
      <w:r w:rsidRPr="00C80D3A">
        <w:rPr>
          <w:rFonts w:ascii="Times New Roman" w:hAnsi="Times New Roman" w:cs="Times New Roman"/>
          <w:sz w:val="26"/>
          <w:szCs w:val="26"/>
        </w:rPr>
        <w:t>years.</w:t>
      </w:r>
    </w:p>
    <w:p w14:paraId="116A028E" w14:textId="77777777" w:rsidR="00506216" w:rsidRPr="00C80D3A" w:rsidRDefault="00506216" w:rsidP="00315DBC">
      <w:pPr>
        <w:spacing w:after="0" w:line="360" w:lineRule="auto"/>
        <w:contextualSpacing/>
        <w:rPr>
          <w:rFonts w:ascii="Times New Roman" w:hAnsi="Times New Roman" w:cs="Times New Roman"/>
          <w:sz w:val="26"/>
          <w:szCs w:val="26"/>
        </w:rPr>
      </w:pPr>
    </w:p>
    <w:p w14:paraId="2AF0BA9C" w14:textId="4B89CD9F"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D76EC5" w:rsidRPr="008A596B">
        <w:rPr>
          <w:rFonts w:ascii="Times New Roman" w:hAnsi="Times New Roman" w:cs="Times New Roman"/>
          <w:sz w:val="26"/>
          <w:szCs w:val="26"/>
        </w:rPr>
        <w:t>W</w:t>
      </w:r>
      <w:r w:rsidR="008A596B" w:rsidRPr="008A596B">
        <w:rPr>
          <w:rFonts w:ascii="Times New Roman" w:hAnsi="Times New Roman" w:cs="Times New Roman"/>
          <w:sz w:val="26"/>
          <w:szCs w:val="26"/>
        </w:rPr>
        <w:t>ith respect to CAP customers who report zero income at the time of enrollment, w</w:t>
      </w:r>
      <w:r w:rsidR="00D76EC5" w:rsidRPr="008A596B">
        <w:rPr>
          <w:rFonts w:ascii="Times New Roman" w:hAnsi="Times New Roman" w:cs="Times New Roman"/>
          <w:sz w:val="26"/>
          <w:szCs w:val="26"/>
        </w:rPr>
        <w:t xml:space="preserve">e </w:t>
      </w:r>
      <w:r w:rsidRPr="008A596B">
        <w:rPr>
          <w:rFonts w:ascii="Times New Roman" w:hAnsi="Times New Roman" w:cs="Times New Roman"/>
          <w:sz w:val="26"/>
          <w:szCs w:val="26"/>
        </w:rPr>
        <w:t>agree</w:t>
      </w:r>
      <w:r w:rsidRPr="00C80D3A">
        <w:rPr>
          <w:rFonts w:ascii="Times New Roman" w:hAnsi="Times New Roman" w:cs="Times New Roman"/>
          <w:sz w:val="26"/>
          <w:szCs w:val="26"/>
        </w:rPr>
        <w:t xml:space="preserve"> with EAP, PPL, and PGW that CAP customers reporting no income should recertify more frequently.  </w:t>
      </w:r>
      <w:r w:rsidR="00297858" w:rsidRPr="00C80D3A">
        <w:rPr>
          <w:rFonts w:ascii="Times New Roman" w:hAnsi="Times New Roman" w:cs="Times New Roman"/>
          <w:sz w:val="26"/>
          <w:szCs w:val="26"/>
        </w:rPr>
        <w:t>I</w:t>
      </w:r>
      <w:r w:rsidRPr="00C80D3A">
        <w:rPr>
          <w:rFonts w:ascii="Times New Roman" w:hAnsi="Times New Roman" w:cs="Times New Roman"/>
          <w:sz w:val="26"/>
          <w:szCs w:val="26"/>
        </w:rPr>
        <w:t xml:space="preserve">t </w:t>
      </w:r>
      <w:r w:rsidR="00297858" w:rsidRPr="00C80D3A">
        <w:rPr>
          <w:rFonts w:ascii="Times New Roman" w:hAnsi="Times New Roman" w:cs="Times New Roman"/>
          <w:sz w:val="26"/>
          <w:szCs w:val="26"/>
        </w:rPr>
        <w:t xml:space="preserve">does not seem </w:t>
      </w:r>
      <w:r w:rsidRPr="00C80D3A">
        <w:rPr>
          <w:rFonts w:ascii="Times New Roman" w:hAnsi="Times New Roman" w:cs="Times New Roman"/>
          <w:sz w:val="26"/>
          <w:szCs w:val="26"/>
        </w:rPr>
        <w:t xml:space="preserve">reasonable to presume </w:t>
      </w:r>
      <w:r w:rsidR="004F25B0" w:rsidRPr="00C80D3A">
        <w:rPr>
          <w:rFonts w:ascii="Times New Roman" w:hAnsi="Times New Roman" w:cs="Times New Roman"/>
          <w:sz w:val="26"/>
          <w:szCs w:val="26"/>
        </w:rPr>
        <w:t xml:space="preserve">that </w:t>
      </w:r>
      <w:r w:rsidRPr="00C80D3A">
        <w:rPr>
          <w:rFonts w:ascii="Times New Roman" w:hAnsi="Times New Roman" w:cs="Times New Roman"/>
          <w:sz w:val="26"/>
          <w:szCs w:val="26"/>
        </w:rPr>
        <w:t xml:space="preserve">a household can maintain housing/living expenses for an extended period of time with no source of income.  Therefore, households reporting no income </w:t>
      </w:r>
      <w:r w:rsidR="0071622A" w:rsidRPr="00C80D3A">
        <w:rPr>
          <w:rFonts w:ascii="Times New Roman" w:hAnsi="Times New Roman" w:cs="Times New Roman"/>
          <w:sz w:val="26"/>
          <w:szCs w:val="26"/>
        </w:rPr>
        <w:t xml:space="preserve">should </w:t>
      </w:r>
      <w:r w:rsidRPr="00C80D3A">
        <w:rPr>
          <w:rFonts w:ascii="Times New Roman" w:hAnsi="Times New Roman" w:cs="Times New Roman"/>
          <w:sz w:val="26"/>
          <w:szCs w:val="26"/>
        </w:rPr>
        <w:t xml:space="preserve">be required to recertify no less than once every six </w:t>
      </w:r>
      <w:r w:rsidR="00D64AC2">
        <w:rPr>
          <w:rFonts w:ascii="Times New Roman" w:hAnsi="Times New Roman" w:cs="Times New Roman"/>
          <w:sz w:val="26"/>
          <w:szCs w:val="26"/>
        </w:rPr>
        <w:t xml:space="preserve">(6) </w:t>
      </w:r>
      <w:r w:rsidRPr="00C80D3A">
        <w:rPr>
          <w:rFonts w:ascii="Times New Roman" w:hAnsi="Times New Roman" w:cs="Times New Roman"/>
          <w:sz w:val="26"/>
          <w:szCs w:val="26"/>
        </w:rPr>
        <w:t xml:space="preserve">months.  </w:t>
      </w:r>
    </w:p>
    <w:p w14:paraId="7033AEE9" w14:textId="77777777" w:rsidR="00506216" w:rsidRPr="00C80D3A" w:rsidRDefault="00506216" w:rsidP="00315DBC">
      <w:pPr>
        <w:spacing w:after="0" w:line="360" w:lineRule="auto"/>
        <w:contextualSpacing/>
        <w:rPr>
          <w:rFonts w:ascii="Times New Roman" w:hAnsi="Times New Roman" w:cs="Times New Roman"/>
          <w:sz w:val="26"/>
          <w:szCs w:val="26"/>
        </w:rPr>
      </w:pPr>
    </w:p>
    <w:p w14:paraId="09CA2259" w14:textId="36CF32B6"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For CAP households that do not meet any of the above exceptions, </w:t>
      </w:r>
      <w:r w:rsidR="006167F7" w:rsidRPr="00C80D3A">
        <w:rPr>
          <w:rFonts w:ascii="Times New Roman" w:hAnsi="Times New Roman" w:cs="Times New Roman"/>
          <w:sz w:val="26"/>
          <w:szCs w:val="26"/>
        </w:rPr>
        <w:t xml:space="preserve">the </w:t>
      </w:r>
      <w:r w:rsidRPr="00C80D3A">
        <w:rPr>
          <w:rFonts w:ascii="Times New Roman" w:hAnsi="Times New Roman" w:cs="Times New Roman"/>
          <w:sz w:val="26"/>
          <w:szCs w:val="26"/>
        </w:rPr>
        <w:t xml:space="preserve">recertification timeframe </w:t>
      </w:r>
      <w:r w:rsidR="00041C51" w:rsidRPr="00C80D3A">
        <w:rPr>
          <w:rFonts w:ascii="Times New Roman" w:hAnsi="Times New Roman" w:cs="Times New Roman"/>
          <w:sz w:val="26"/>
          <w:szCs w:val="26"/>
        </w:rPr>
        <w:t xml:space="preserve">should </w:t>
      </w:r>
      <w:r w:rsidR="006167F7" w:rsidRPr="00C80D3A">
        <w:rPr>
          <w:rFonts w:ascii="Times New Roman" w:hAnsi="Times New Roman" w:cs="Times New Roman"/>
          <w:sz w:val="26"/>
          <w:szCs w:val="26"/>
        </w:rPr>
        <w:t>be</w:t>
      </w:r>
      <w:r w:rsidRPr="00C80D3A">
        <w:rPr>
          <w:rFonts w:ascii="Times New Roman" w:hAnsi="Times New Roman" w:cs="Times New Roman"/>
          <w:sz w:val="26"/>
          <w:szCs w:val="26"/>
        </w:rPr>
        <w:t xml:space="preserve"> at least once every two </w:t>
      </w:r>
      <w:r w:rsidR="00106874">
        <w:rPr>
          <w:rFonts w:ascii="Times New Roman" w:hAnsi="Times New Roman" w:cs="Times New Roman"/>
          <w:sz w:val="26"/>
          <w:szCs w:val="26"/>
        </w:rPr>
        <w:t xml:space="preserve">(2) </w:t>
      </w:r>
      <w:r w:rsidRPr="00C80D3A">
        <w:rPr>
          <w:rFonts w:ascii="Times New Roman" w:hAnsi="Times New Roman" w:cs="Times New Roman"/>
          <w:sz w:val="26"/>
          <w:szCs w:val="26"/>
        </w:rPr>
        <w:t>years.</w:t>
      </w:r>
      <w:r w:rsidR="0095342D">
        <w:rPr>
          <w:rFonts w:ascii="Times New Roman" w:hAnsi="Times New Roman" w:cs="Times New Roman"/>
          <w:sz w:val="26"/>
          <w:szCs w:val="26"/>
        </w:rPr>
        <w:t xml:space="preserve">  </w:t>
      </w:r>
    </w:p>
    <w:p w14:paraId="2A9473FE" w14:textId="6FAEB885" w:rsidR="00506216" w:rsidRPr="00C80D3A" w:rsidRDefault="00506216" w:rsidP="00315DBC">
      <w:pPr>
        <w:spacing w:after="0" w:line="360" w:lineRule="auto"/>
        <w:contextualSpacing/>
        <w:rPr>
          <w:rFonts w:ascii="Times New Roman" w:hAnsi="Times New Roman" w:cs="Times New Roman"/>
          <w:sz w:val="26"/>
          <w:szCs w:val="26"/>
        </w:rPr>
      </w:pPr>
    </w:p>
    <w:p w14:paraId="37F22120" w14:textId="2567582F" w:rsidR="0095342D" w:rsidRPr="0095342D" w:rsidRDefault="0095342D" w:rsidP="0095342D">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Pr="0095342D">
        <w:rPr>
          <w:rFonts w:ascii="Times New Roman" w:hAnsi="Times New Roman" w:cs="Times New Roman"/>
          <w:sz w:val="26"/>
          <w:szCs w:val="26"/>
        </w:rPr>
        <w:t xml:space="preserve">While the most common reason customers are removed from a CAP is due to failure to recertify, we acknowledge that frequency of recertification is a significant but not sole determinant of this suboptimal outcome.  Another barrier is the process itself.  Utilities should endeavor to find more effective ways of communicating their recertification policies and procedures and develop more efficient ways of collecting appropriate income information from customers in order to minimize disruption in CAP participation. </w:t>
      </w:r>
    </w:p>
    <w:p w14:paraId="01586A49" w14:textId="77777777" w:rsidR="0095342D" w:rsidRPr="00C80D3A" w:rsidRDefault="0095342D" w:rsidP="00315DBC">
      <w:pPr>
        <w:spacing w:after="0" w:line="360" w:lineRule="auto"/>
        <w:contextualSpacing/>
        <w:rPr>
          <w:rFonts w:ascii="Times New Roman" w:hAnsi="Times New Roman" w:cs="Times New Roman"/>
          <w:sz w:val="26"/>
          <w:szCs w:val="26"/>
        </w:rPr>
      </w:pPr>
    </w:p>
    <w:p w14:paraId="4F964458" w14:textId="390EB1A2" w:rsidR="00113B03" w:rsidRDefault="00AD0AB1" w:rsidP="001C4093">
      <w:pPr>
        <w:keepNext/>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sz w:val="26"/>
          <w:szCs w:val="26"/>
        </w:rPr>
        <w:t>Resolution</w:t>
      </w:r>
      <w:r w:rsidR="00506216" w:rsidRPr="00A20145">
        <w:rPr>
          <w:rFonts w:ascii="Times New Roman" w:hAnsi="Times New Roman" w:cs="Times New Roman"/>
          <w:b/>
          <w:bCs/>
          <w:sz w:val="26"/>
          <w:szCs w:val="26"/>
        </w:rPr>
        <w:t xml:space="preserve">: </w:t>
      </w:r>
      <w:r w:rsidR="00113B03" w:rsidRPr="00A20145">
        <w:rPr>
          <w:rFonts w:ascii="Times New Roman" w:hAnsi="Times New Roman" w:cs="Times New Roman"/>
          <w:b/>
          <w:bCs/>
          <w:sz w:val="26"/>
          <w:szCs w:val="26"/>
        </w:rPr>
        <w:t>Amend Section 69.265(8)(viii) – Recertification.</w:t>
      </w:r>
    </w:p>
    <w:p w14:paraId="03C167DA" w14:textId="77777777" w:rsidR="001C4093" w:rsidRPr="00A20145" w:rsidRDefault="001C4093" w:rsidP="009A3B4B">
      <w:pPr>
        <w:keepNext/>
        <w:spacing w:after="0" w:line="240" w:lineRule="auto"/>
        <w:contextualSpacing/>
        <w:rPr>
          <w:rFonts w:ascii="Times New Roman" w:hAnsi="Times New Roman" w:cs="Times New Roman"/>
          <w:b/>
          <w:bCs/>
          <w:sz w:val="26"/>
          <w:szCs w:val="26"/>
        </w:rPr>
      </w:pPr>
    </w:p>
    <w:p w14:paraId="1C32B1F0" w14:textId="3402BD43" w:rsidR="00506216" w:rsidRPr="00C80D3A" w:rsidRDefault="00113B03"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B2323E" w:rsidRPr="00C80D3A">
        <w:rPr>
          <w:rFonts w:ascii="Times New Roman" w:hAnsi="Times New Roman" w:cs="Times New Roman"/>
          <w:sz w:val="26"/>
          <w:szCs w:val="26"/>
        </w:rPr>
        <w:t>This Order</w:t>
      </w:r>
      <w:r w:rsidR="00B2323E" w:rsidRPr="00C80D3A" w:rsidDel="00041C51">
        <w:rPr>
          <w:rFonts w:ascii="Times New Roman" w:hAnsi="Times New Roman" w:cs="Times New Roman"/>
          <w:sz w:val="26"/>
          <w:szCs w:val="26"/>
        </w:rPr>
        <w:t xml:space="preserve"> </w:t>
      </w:r>
      <w:r w:rsidR="00B2323E" w:rsidRPr="00C80D3A">
        <w:rPr>
          <w:rFonts w:ascii="Times New Roman" w:hAnsi="Times New Roman" w:cs="Times New Roman"/>
          <w:sz w:val="26"/>
          <w:szCs w:val="26"/>
        </w:rPr>
        <w:t xml:space="preserve">amends </w:t>
      </w:r>
      <w:r w:rsidRPr="00C80D3A">
        <w:rPr>
          <w:rFonts w:ascii="Times New Roman" w:hAnsi="Times New Roman" w:cs="Times New Roman"/>
          <w:sz w:val="26"/>
          <w:szCs w:val="26"/>
        </w:rPr>
        <w:t xml:space="preserve">Section 69.265(8)(viii) of </w:t>
      </w:r>
      <w:r w:rsidR="00B2323E" w:rsidRPr="00C80D3A">
        <w:rPr>
          <w:rFonts w:ascii="Times New Roman" w:hAnsi="Times New Roman" w:cs="Times New Roman"/>
          <w:sz w:val="26"/>
          <w:szCs w:val="26"/>
        </w:rPr>
        <w:t xml:space="preserve">the CAP Policy Statement as indicated in Annex A to reflect </w:t>
      </w:r>
      <w:r w:rsidR="00332403">
        <w:rPr>
          <w:rFonts w:ascii="Times New Roman" w:hAnsi="Times New Roman" w:cs="Times New Roman"/>
          <w:sz w:val="26"/>
          <w:szCs w:val="26"/>
        </w:rPr>
        <w:t>amended</w:t>
      </w:r>
      <w:r w:rsidR="00332403" w:rsidRPr="00C80D3A">
        <w:rPr>
          <w:rFonts w:ascii="Times New Roman" w:hAnsi="Times New Roman" w:cs="Times New Roman"/>
          <w:sz w:val="26"/>
          <w:szCs w:val="26"/>
        </w:rPr>
        <w:t xml:space="preserve"> </w:t>
      </w:r>
      <w:r w:rsidR="00B2323E" w:rsidRPr="00C80D3A">
        <w:rPr>
          <w:rFonts w:ascii="Times New Roman" w:hAnsi="Times New Roman" w:cs="Times New Roman"/>
          <w:sz w:val="26"/>
          <w:szCs w:val="26"/>
        </w:rPr>
        <w:t>recertification timeframes</w:t>
      </w:r>
      <w:r w:rsidR="00A2609D" w:rsidRPr="00C80D3A">
        <w:rPr>
          <w:rFonts w:ascii="Times New Roman" w:hAnsi="Times New Roman" w:cs="Times New Roman"/>
          <w:sz w:val="26"/>
          <w:szCs w:val="26"/>
        </w:rPr>
        <w:t xml:space="preserve"> </w:t>
      </w:r>
      <w:r w:rsidR="00BD2EF3" w:rsidRPr="00C80D3A">
        <w:rPr>
          <w:rFonts w:ascii="Times New Roman" w:hAnsi="Times New Roman" w:cs="Times New Roman"/>
          <w:sz w:val="26"/>
          <w:szCs w:val="26"/>
        </w:rPr>
        <w:t xml:space="preserve">as </w:t>
      </w:r>
      <w:r w:rsidR="007E577F" w:rsidRPr="00C80D3A">
        <w:rPr>
          <w:rFonts w:ascii="Times New Roman" w:hAnsi="Times New Roman" w:cs="Times New Roman"/>
          <w:sz w:val="26"/>
          <w:szCs w:val="26"/>
        </w:rPr>
        <w:t>follow</w:t>
      </w:r>
      <w:r w:rsidR="00B769AE" w:rsidRPr="00C80D3A">
        <w:rPr>
          <w:rFonts w:ascii="Times New Roman" w:hAnsi="Times New Roman" w:cs="Times New Roman"/>
          <w:sz w:val="26"/>
          <w:szCs w:val="26"/>
        </w:rPr>
        <w:t>s</w:t>
      </w:r>
      <w:r w:rsidR="00506216" w:rsidRPr="00C80D3A">
        <w:rPr>
          <w:rFonts w:ascii="Times New Roman" w:hAnsi="Times New Roman" w:cs="Times New Roman"/>
          <w:sz w:val="26"/>
          <w:szCs w:val="26"/>
        </w:rPr>
        <w:t xml:space="preserve">: </w:t>
      </w:r>
    </w:p>
    <w:p w14:paraId="5FE115C8" w14:textId="77777777" w:rsidR="00506216" w:rsidRPr="00C80D3A" w:rsidRDefault="00506216" w:rsidP="00315DBC">
      <w:pPr>
        <w:spacing w:after="0" w:line="360" w:lineRule="auto"/>
        <w:contextualSpacing/>
        <w:rPr>
          <w:rFonts w:ascii="Times New Roman" w:hAnsi="Times New Roman" w:cs="Times New Roman"/>
          <w:sz w:val="26"/>
          <w:szCs w:val="26"/>
        </w:rPr>
      </w:pPr>
    </w:p>
    <w:p w14:paraId="590D9270" w14:textId="775A4827" w:rsidR="00506216" w:rsidRPr="00C80D3A" w:rsidRDefault="00506216" w:rsidP="001E1580">
      <w:pPr>
        <w:numPr>
          <w:ilvl w:val="0"/>
          <w:numId w:val="8"/>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CAP households reporting no income </w:t>
      </w:r>
      <w:r w:rsidR="00DF4BA5" w:rsidRPr="00C80D3A">
        <w:rPr>
          <w:rFonts w:ascii="Times New Roman" w:hAnsi="Times New Roman" w:cs="Times New Roman"/>
          <w:sz w:val="26"/>
          <w:szCs w:val="26"/>
        </w:rPr>
        <w:t xml:space="preserve">should be required to </w:t>
      </w:r>
      <w:r w:rsidRPr="00C80D3A">
        <w:rPr>
          <w:rFonts w:ascii="Times New Roman" w:hAnsi="Times New Roman" w:cs="Times New Roman"/>
          <w:sz w:val="26"/>
          <w:szCs w:val="26"/>
        </w:rPr>
        <w:t xml:space="preserve">recertify at least once every six </w:t>
      </w:r>
      <w:r w:rsidR="000A671A">
        <w:rPr>
          <w:rFonts w:ascii="Times New Roman" w:hAnsi="Times New Roman" w:cs="Times New Roman"/>
          <w:sz w:val="26"/>
          <w:szCs w:val="26"/>
        </w:rPr>
        <w:t xml:space="preserve">(6) </w:t>
      </w:r>
      <w:r w:rsidRPr="00C80D3A">
        <w:rPr>
          <w:rFonts w:ascii="Times New Roman" w:hAnsi="Times New Roman" w:cs="Times New Roman"/>
          <w:sz w:val="26"/>
          <w:szCs w:val="26"/>
        </w:rPr>
        <w:t>months</w:t>
      </w:r>
      <w:r w:rsidR="000A671A">
        <w:rPr>
          <w:rFonts w:ascii="Times New Roman" w:hAnsi="Times New Roman" w:cs="Times New Roman"/>
          <w:sz w:val="26"/>
          <w:szCs w:val="26"/>
        </w:rPr>
        <w:t xml:space="preserve"> regardless of participation in LIHEAP</w:t>
      </w:r>
      <w:r w:rsidRPr="00C80D3A">
        <w:rPr>
          <w:rFonts w:ascii="Times New Roman" w:hAnsi="Times New Roman" w:cs="Times New Roman"/>
          <w:sz w:val="26"/>
          <w:szCs w:val="26"/>
        </w:rPr>
        <w:t xml:space="preserve">; </w:t>
      </w:r>
    </w:p>
    <w:p w14:paraId="46B10F60" w14:textId="77777777" w:rsidR="001E1580" w:rsidRPr="00C80D3A" w:rsidRDefault="001E1580" w:rsidP="001E1580">
      <w:pPr>
        <w:spacing w:after="0" w:line="240" w:lineRule="auto"/>
        <w:ind w:left="1440"/>
        <w:contextualSpacing/>
        <w:rPr>
          <w:rFonts w:ascii="Times New Roman" w:hAnsi="Times New Roman" w:cs="Times New Roman"/>
          <w:sz w:val="26"/>
          <w:szCs w:val="26"/>
        </w:rPr>
      </w:pPr>
    </w:p>
    <w:p w14:paraId="78B7CB65" w14:textId="23303646" w:rsidR="00506216" w:rsidRPr="00C80D3A" w:rsidRDefault="00506216" w:rsidP="001E1580">
      <w:pPr>
        <w:numPr>
          <w:ilvl w:val="0"/>
          <w:numId w:val="8"/>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CAP households with income </w:t>
      </w:r>
      <w:r w:rsidR="008A257D">
        <w:rPr>
          <w:rFonts w:ascii="Times New Roman" w:hAnsi="Times New Roman" w:cs="Times New Roman"/>
          <w:sz w:val="26"/>
          <w:szCs w:val="26"/>
        </w:rPr>
        <w:t>that</w:t>
      </w:r>
      <w:r w:rsidRPr="00C80D3A">
        <w:rPr>
          <w:rFonts w:ascii="Times New Roman" w:hAnsi="Times New Roman" w:cs="Times New Roman"/>
          <w:sz w:val="26"/>
          <w:szCs w:val="26"/>
        </w:rPr>
        <w:t xml:space="preserve"> participate in LIHEAP annually </w:t>
      </w:r>
      <w:r w:rsidR="00041C51" w:rsidRPr="00C80D3A">
        <w:rPr>
          <w:rFonts w:ascii="Times New Roman" w:hAnsi="Times New Roman" w:cs="Times New Roman"/>
          <w:sz w:val="26"/>
          <w:szCs w:val="26"/>
        </w:rPr>
        <w:t xml:space="preserve">should </w:t>
      </w:r>
      <w:r w:rsidR="00DF4BA5" w:rsidRPr="00C80D3A">
        <w:rPr>
          <w:rFonts w:ascii="Times New Roman" w:hAnsi="Times New Roman" w:cs="Times New Roman"/>
          <w:sz w:val="26"/>
          <w:szCs w:val="26"/>
        </w:rPr>
        <w:t>be re</w:t>
      </w:r>
      <w:r w:rsidR="00143E0A" w:rsidRPr="00C80D3A">
        <w:rPr>
          <w:rFonts w:ascii="Times New Roman" w:hAnsi="Times New Roman" w:cs="Times New Roman"/>
          <w:sz w:val="26"/>
          <w:szCs w:val="26"/>
        </w:rPr>
        <w:t xml:space="preserve">quired to </w:t>
      </w:r>
      <w:r w:rsidRPr="00C80D3A">
        <w:rPr>
          <w:rFonts w:ascii="Times New Roman" w:hAnsi="Times New Roman" w:cs="Times New Roman"/>
          <w:sz w:val="26"/>
          <w:szCs w:val="26"/>
        </w:rPr>
        <w:t xml:space="preserve">recertify at least once every three </w:t>
      </w:r>
      <w:r w:rsidR="000A671A">
        <w:rPr>
          <w:rFonts w:ascii="Times New Roman" w:hAnsi="Times New Roman" w:cs="Times New Roman"/>
          <w:sz w:val="26"/>
          <w:szCs w:val="26"/>
        </w:rPr>
        <w:t xml:space="preserve">(3) </w:t>
      </w:r>
      <w:r w:rsidRPr="00C80D3A">
        <w:rPr>
          <w:rFonts w:ascii="Times New Roman" w:hAnsi="Times New Roman" w:cs="Times New Roman"/>
          <w:sz w:val="26"/>
          <w:szCs w:val="26"/>
        </w:rPr>
        <w:t xml:space="preserve">years; </w:t>
      </w:r>
    </w:p>
    <w:p w14:paraId="1B4CD5CC" w14:textId="349715A5" w:rsidR="001E1580" w:rsidRPr="00C80D3A" w:rsidRDefault="001E1580" w:rsidP="001E1580">
      <w:pPr>
        <w:pStyle w:val="ListParagraph"/>
        <w:rPr>
          <w:sz w:val="26"/>
          <w:szCs w:val="26"/>
        </w:rPr>
      </w:pPr>
    </w:p>
    <w:p w14:paraId="3E02D36F" w14:textId="1213BC1E" w:rsidR="00506216" w:rsidRPr="00C80D3A" w:rsidRDefault="00506216" w:rsidP="001E1580">
      <w:pPr>
        <w:numPr>
          <w:ilvl w:val="0"/>
          <w:numId w:val="8"/>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CAP households whose primary source of income is Social Security, SSI, or pensions </w:t>
      </w:r>
      <w:r w:rsidR="00041C51" w:rsidRPr="00C80D3A">
        <w:rPr>
          <w:rFonts w:ascii="Times New Roman" w:hAnsi="Times New Roman" w:cs="Times New Roman"/>
          <w:sz w:val="26"/>
          <w:szCs w:val="26"/>
        </w:rPr>
        <w:t xml:space="preserve">should </w:t>
      </w:r>
      <w:r w:rsidR="00143E0A" w:rsidRPr="00C80D3A">
        <w:rPr>
          <w:rFonts w:ascii="Times New Roman" w:hAnsi="Times New Roman" w:cs="Times New Roman"/>
          <w:sz w:val="26"/>
          <w:szCs w:val="26"/>
        </w:rPr>
        <w:t xml:space="preserve">be required to </w:t>
      </w:r>
      <w:r w:rsidRPr="00C80D3A">
        <w:rPr>
          <w:rFonts w:ascii="Times New Roman" w:hAnsi="Times New Roman" w:cs="Times New Roman"/>
          <w:sz w:val="26"/>
          <w:szCs w:val="26"/>
        </w:rPr>
        <w:t xml:space="preserve">recertify at least once every </w:t>
      </w:r>
      <w:r w:rsidR="000A671A">
        <w:rPr>
          <w:rFonts w:ascii="Times New Roman" w:hAnsi="Times New Roman" w:cs="Times New Roman"/>
          <w:sz w:val="26"/>
          <w:szCs w:val="26"/>
        </w:rPr>
        <w:t>three</w:t>
      </w:r>
      <w:r w:rsidRPr="00C80D3A">
        <w:rPr>
          <w:rFonts w:ascii="Times New Roman" w:hAnsi="Times New Roman" w:cs="Times New Roman"/>
          <w:sz w:val="26"/>
          <w:szCs w:val="26"/>
        </w:rPr>
        <w:t xml:space="preserve"> </w:t>
      </w:r>
      <w:r w:rsidR="000A671A">
        <w:rPr>
          <w:rFonts w:ascii="Times New Roman" w:hAnsi="Times New Roman" w:cs="Times New Roman"/>
          <w:sz w:val="26"/>
          <w:szCs w:val="26"/>
        </w:rPr>
        <w:t xml:space="preserve">(3) </w:t>
      </w:r>
      <w:r w:rsidRPr="00C80D3A">
        <w:rPr>
          <w:rFonts w:ascii="Times New Roman" w:hAnsi="Times New Roman" w:cs="Times New Roman"/>
          <w:sz w:val="26"/>
          <w:szCs w:val="26"/>
        </w:rPr>
        <w:t xml:space="preserve">years; and </w:t>
      </w:r>
    </w:p>
    <w:p w14:paraId="366C916E" w14:textId="71D5C719" w:rsidR="001E1580" w:rsidRPr="00C80D3A" w:rsidRDefault="001E1580" w:rsidP="001E1580">
      <w:pPr>
        <w:pStyle w:val="ListParagraph"/>
        <w:rPr>
          <w:sz w:val="26"/>
          <w:szCs w:val="26"/>
        </w:rPr>
      </w:pPr>
    </w:p>
    <w:p w14:paraId="2233B1F9" w14:textId="7C8BB06F" w:rsidR="004C567C" w:rsidRPr="00C80D3A" w:rsidRDefault="00506216" w:rsidP="004B1489">
      <w:pPr>
        <w:numPr>
          <w:ilvl w:val="0"/>
          <w:numId w:val="8"/>
        </w:numPr>
        <w:spacing w:after="0" w:line="240" w:lineRule="auto"/>
        <w:ind w:left="144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All other CAP households </w:t>
      </w:r>
      <w:r w:rsidR="00041C51" w:rsidRPr="00C80D3A">
        <w:rPr>
          <w:rFonts w:ascii="Times New Roman" w:hAnsi="Times New Roman" w:cs="Times New Roman"/>
          <w:sz w:val="26"/>
          <w:szCs w:val="26"/>
        </w:rPr>
        <w:t xml:space="preserve">should </w:t>
      </w:r>
      <w:r w:rsidR="00143E0A" w:rsidRPr="00C80D3A">
        <w:rPr>
          <w:rFonts w:ascii="Times New Roman" w:hAnsi="Times New Roman" w:cs="Times New Roman"/>
          <w:sz w:val="26"/>
          <w:szCs w:val="26"/>
        </w:rPr>
        <w:t xml:space="preserve">be required to </w:t>
      </w:r>
      <w:r w:rsidRPr="00C80D3A">
        <w:rPr>
          <w:rFonts w:ascii="Times New Roman" w:hAnsi="Times New Roman" w:cs="Times New Roman"/>
          <w:sz w:val="26"/>
          <w:szCs w:val="26"/>
        </w:rPr>
        <w:t xml:space="preserve">recertify at least once every two </w:t>
      </w:r>
      <w:r w:rsidR="000A671A">
        <w:rPr>
          <w:rFonts w:ascii="Times New Roman" w:hAnsi="Times New Roman" w:cs="Times New Roman"/>
          <w:sz w:val="26"/>
          <w:szCs w:val="26"/>
        </w:rPr>
        <w:t xml:space="preserve">(2) </w:t>
      </w:r>
      <w:r w:rsidRPr="00C80D3A">
        <w:rPr>
          <w:rFonts w:ascii="Times New Roman" w:hAnsi="Times New Roman" w:cs="Times New Roman"/>
          <w:sz w:val="26"/>
          <w:szCs w:val="26"/>
        </w:rPr>
        <w:t>years.</w:t>
      </w:r>
    </w:p>
    <w:p w14:paraId="06A8E586" w14:textId="77777777" w:rsidR="00506216" w:rsidRDefault="00506216" w:rsidP="00315DBC">
      <w:pPr>
        <w:spacing w:after="0" w:line="360" w:lineRule="auto"/>
        <w:contextualSpacing/>
        <w:rPr>
          <w:rFonts w:ascii="Times New Roman" w:hAnsi="Times New Roman" w:cs="Times New Roman"/>
          <w:sz w:val="26"/>
          <w:szCs w:val="26"/>
        </w:rPr>
      </w:pPr>
    </w:p>
    <w:p w14:paraId="7484603C" w14:textId="12F334CC" w:rsidR="00BC03A0" w:rsidRDefault="00BC03A0" w:rsidP="00235AE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B83FFD" w:rsidRPr="00C80D3A">
        <w:rPr>
          <w:rFonts w:ascii="Times New Roman" w:hAnsi="Times New Roman" w:cs="Times New Roman"/>
          <w:sz w:val="26"/>
          <w:szCs w:val="26"/>
        </w:rPr>
        <w:t>This Order</w:t>
      </w:r>
      <w:r w:rsidR="00B83FFD" w:rsidRPr="00C80D3A" w:rsidDel="00041C51">
        <w:rPr>
          <w:rFonts w:ascii="Times New Roman" w:hAnsi="Times New Roman" w:cs="Times New Roman"/>
          <w:sz w:val="26"/>
          <w:szCs w:val="26"/>
        </w:rPr>
        <w:t xml:space="preserve"> </w:t>
      </w:r>
      <w:r w:rsidR="00B83FFD">
        <w:rPr>
          <w:rFonts w:ascii="Times New Roman" w:hAnsi="Times New Roman" w:cs="Times New Roman"/>
          <w:sz w:val="26"/>
          <w:szCs w:val="26"/>
        </w:rPr>
        <w:t xml:space="preserve">also </w:t>
      </w:r>
      <w:r w:rsidR="00B83FFD" w:rsidRPr="00C80D3A">
        <w:rPr>
          <w:rFonts w:ascii="Times New Roman" w:hAnsi="Times New Roman" w:cs="Times New Roman"/>
          <w:sz w:val="26"/>
          <w:szCs w:val="26"/>
        </w:rPr>
        <w:t>amends Section 69.265(8)(viii) of the CAP Policy Statement as indicated in Annex A to</w:t>
      </w:r>
      <w:r w:rsidR="00B83FFD">
        <w:rPr>
          <w:rFonts w:ascii="Times New Roman" w:hAnsi="Times New Roman" w:cs="Times New Roman"/>
          <w:sz w:val="26"/>
          <w:szCs w:val="26"/>
        </w:rPr>
        <w:t xml:space="preserve"> </w:t>
      </w:r>
      <w:r w:rsidR="00CA5539">
        <w:rPr>
          <w:rFonts w:ascii="Times New Roman" w:hAnsi="Times New Roman" w:cs="Times New Roman"/>
          <w:sz w:val="26"/>
          <w:szCs w:val="26"/>
        </w:rPr>
        <w:t>minimiz</w:t>
      </w:r>
      <w:r w:rsidR="00AA1015">
        <w:rPr>
          <w:rFonts w:ascii="Times New Roman" w:hAnsi="Times New Roman" w:cs="Times New Roman"/>
          <w:sz w:val="26"/>
          <w:szCs w:val="26"/>
        </w:rPr>
        <w:t>e</w:t>
      </w:r>
      <w:r w:rsidR="00CA5539">
        <w:rPr>
          <w:rFonts w:ascii="Times New Roman" w:hAnsi="Times New Roman" w:cs="Times New Roman"/>
          <w:sz w:val="26"/>
          <w:szCs w:val="26"/>
        </w:rPr>
        <w:t xml:space="preserve"> disruptions in </w:t>
      </w:r>
      <w:r w:rsidR="00AA1015">
        <w:rPr>
          <w:rFonts w:ascii="Times New Roman" w:hAnsi="Times New Roman" w:cs="Times New Roman"/>
          <w:sz w:val="26"/>
          <w:szCs w:val="26"/>
        </w:rPr>
        <w:t xml:space="preserve">CAP participation by amending the </w:t>
      </w:r>
      <w:r w:rsidR="0050365F">
        <w:rPr>
          <w:rFonts w:ascii="Times New Roman" w:hAnsi="Times New Roman" w:cs="Times New Roman"/>
          <w:sz w:val="26"/>
          <w:szCs w:val="26"/>
        </w:rPr>
        <w:t>recertification</w:t>
      </w:r>
      <w:r w:rsidR="00AA1015">
        <w:rPr>
          <w:rFonts w:ascii="Times New Roman" w:hAnsi="Times New Roman" w:cs="Times New Roman"/>
          <w:sz w:val="26"/>
          <w:szCs w:val="26"/>
        </w:rPr>
        <w:t xml:space="preserve"> timeframes</w:t>
      </w:r>
      <w:r w:rsidR="00DE6C03">
        <w:rPr>
          <w:rFonts w:ascii="Times New Roman" w:hAnsi="Times New Roman" w:cs="Times New Roman"/>
          <w:sz w:val="26"/>
          <w:szCs w:val="26"/>
        </w:rPr>
        <w:t xml:space="preserve">. </w:t>
      </w:r>
      <w:r>
        <w:rPr>
          <w:rFonts w:ascii="Times New Roman" w:hAnsi="Times New Roman" w:cs="Times New Roman"/>
          <w:sz w:val="26"/>
          <w:szCs w:val="26"/>
        </w:rPr>
        <w:t xml:space="preserve"> </w:t>
      </w:r>
      <w:r w:rsidR="009D04C4">
        <w:rPr>
          <w:rFonts w:ascii="Times New Roman" w:hAnsi="Times New Roman" w:cs="Times New Roman"/>
          <w:sz w:val="26"/>
          <w:szCs w:val="26"/>
        </w:rPr>
        <w:t xml:space="preserve">A utility </w:t>
      </w:r>
      <w:r w:rsidR="009D04C4" w:rsidRPr="0095342D">
        <w:rPr>
          <w:rFonts w:ascii="Times New Roman" w:hAnsi="Times New Roman" w:cs="Times New Roman"/>
          <w:sz w:val="26"/>
          <w:szCs w:val="26"/>
        </w:rPr>
        <w:t xml:space="preserve">should endeavor to find more effective ways of communicating </w:t>
      </w:r>
      <w:r w:rsidR="009D04C4">
        <w:rPr>
          <w:rFonts w:ascii="Times New Roman" w:hAnsi="Times New Roman" w:cs="Times New Roman"/>
          <w:sz w:val="26"/>
          <w:szCs w:val="26"/>
        </w:rPr>
        <w:t xml:space="preserve">its </w:t>
      </w:r>
      <w:r w:rsidR="009D04C4" w:rsidRPr="0095342D">
        <w:rPr>
          <w:rFonts w:ascii="Times New Roman" w:hAnsi="Times New Roman" w:cs="Times New Roman"/>
          <w:sz w:val="26"/>
          <w:szCs w:val="26"/>
        </w:rPr>
        <w:t xml:space="preserve">recertification </w:t>
      </w:r>
      <w:r w:rsidR="009D04C4">
        <w:rPr>
          <w:rFonts w:ascii="Times New Roman" w:hAnsi="Times New Roman" w:cs="Times New Roman"/>
          <w:sz w:val="26"/>
          <w:szCs w:val="26"/>
        </w:rPr>
        <w:t xml:space="preserve">practices </w:t>
      </w:r>
      <w:r w:rsidR="009D04C4" w:rsidRPr="0095342D">
        <w:rPr>
          <w:rFonts w:ascii="Times New Roman" w:hAnsi="Times New Roman" w:cs="Times New Roman"/>
          <w:sz w:val="26"/>
          <w:szCs w:val="26"/>
        </w:rPr>
        <w:t xml:space="preserve">and procedures and </w:t>
      </w:r>
      <w:r w:rsidR="00982238">
        <w:rPr>
          <w:rFonts w:ascii="Times New Roman" w:hAnsi="Times New Roman" w:cs="Times New Roman"/>
          <w:sz w:val="26"/>
          <w:szCs w:val="26"/>
        </w:rPr>
        <w:t xml:space="preserve">to </w:t>
      </w:r>
      <w:r w:rsidR="009D04C4" w:rsidRPr="0095342D">
        <w:rPr>
          <w:rFonts w:ascii="Times New Roman" w:hAnsi="Times New Roman" w:cs="Times New Roman"/>
          <w:sz w:val="26"/>
          <w:szCs w:val="26"/>
        </w:rPr>
        <w:t>develop more efficient ways of collecting appropriate income information from customers in order to minimize disruption in CAP participation.</w:t>
      </w:r>
    </w:p>
    <w:p w14:paraId="0BF51EAE" w14:textId="77777777" w:rsidR="00BC03A0" w:rsidRPr="00C80D3A" w:rsidRDefault="00BC03A0" w:rsidP="00315DBC">
      <w:pPr>
        <w:spacing w:after="0" w:line="360" w:lineRule="auto"/>
        <w:contextualSpacing/>
        <w:rPr>
          <w:rFonts w:ascii="Times New Roman" w:hAnsi="Times New Roman" w:cs="Times New Roman"/>
          <w:sz w:val="26"/>
          <w:szCs w:val="26"/>
        </w:rPr>
      </w:pPr>
    </w:p>
    <w:p w14:paraId="0ABA7FCF" w14:textId="7A59D0BD" w:rsidR="00506216" w:rsidRPr="00C80D3A" w:rsidRDefault="00506216" w:rsidP="001E1580">
      <w:pPr>
        <w:pStyle w:val="Heading3"/>
        <w:contextualSpacing/>
        <w:rPr>
          <w:sz w:val="26"/>
          <w:szCs w:val="26"/>
        </w:rPr>
      </w:pPr>
      <w:bookmarkStart w:id="31" w:name="_13._Proposed_Change:"/>
      <w:bookmarkEnd w:id="31"/>
      <w:r w:rsidRPr="00C80D3A">
        <w:rPr>
          <w:sz w:val="26"/>
          <w:szCs w:val="26"/>
        </w:rPr>
        <w:t>1</w:t>
      </w:r>
      <w:r w:rsidR="00340F40" w:rsidRPr="00C80D3A">
        <w:rPr>
          <w:sz w:val="26"/>
          <w:szCs w:val="26"/>
        </w:rPr>
        <w:t>3</w:t>
      </w:r>
      <w:r w:rsidRPr="00C80D3A">
        <w:rPr>
          <w:sz w:val="26"/>
          <w:szCs w:val="26"/>
        </w:rPr>
        <w:t xml:space="preserve">. </w:t>
      </w:r>
      <w:r w:rsidR="00A613A4" w:rsidRPr="00C80D3A">
        <w:rPr>
          <w:sz w:val="26"/>
          <w:szCs w:val="26"/>
        </w:rPr>
        <w:t xml:space="preserve"> </w:t>
      </w:r>
      <w:bookmarkStart w:id="32" w:name="_Hlk13556014"/>
      <w:r w:rsidR="00194EEA" w:rsidRPr="00C80D3A">
        <w:rPr>
          <w:sz w:val="26"/>
          <w:szCs w:val="26"/>
        </w:rPr>
        <w:t>Utilities should i</w:t>
      </w:r>
      <w:r w:rsidR="00194EEA" w:rsidRPr="00C80D3A">
        <w:rPr>
          <w:bCs/>
          <w:sz w:val="26"/>
          <w:szCs w:val="26"/>
        </w:rPr>
        <w:t xml:space="preserve">nitiate collection activity for CAP accounts </w:t>
      </w:r>
      <w:r w:rsidR="009E4F72" w:rsidRPr="00C80D3A">
        <w:rPr>
          <w:bCs/>
          <w:sz w:val="26"/>
          <w:szCs w:val="26"/>
        </w:rPr>
        <w:t xml:space="preserve">when a customer has </w:t>
      </w:r>
      <w:r w:rsidR="00194EEA" w:rsidRPr="00C80D3A">
        <w:rPr>
          <w:bCs/>
          <w:sz w:val="26"/>
          <w:szCs w:val="26"/>
        </w:rPr>
        <w:t xml:space="preserve">no more than two </w:t>
      </w:r>
      <w:r w:rsidR="009E4F72" w:rsidRPr="00C80D3A">
        <w:rPr>
          <w:bCs/>
          <w:sz w:val="26"/>
          <w:szCs w:val="26"/>
        </w:rPr>
        <w:t xml:space="preserve">in-program </w:t>
      </w:r>
      <w:r w:rsidR="00194EEA" w:rsidRPr="00C80D3A">
        <w:rPr>
          <w:bCs/>
          <w:sz w:val="26"/>
          <w:szCs w:val="26"/>
        </w:rPr>
        <w:t>payments in arrears.  Customers should not be removed or defaulted from CAP as a precursor to termination for non-payment</w:t>
      </w:r>
      <w:bookmarkEnd w:id="32"/>
      <w:r w:rsidR="00194EEA" w:rsidRPr="00C80D3A">
        <w:rPr>
          <w:bCs/>
          <w:sz w:val="26"/>
          <w:szCs w:val="26"/>
        </w:rPr>
        <w:t>.</w:t>
      </w:r>
      <w:r w:rsidRPr="00C80D3A">
        <w:rPr>
          <w:sz w:val="26"/>
          <w:szCs w:val="26"/>
        </w:rPr>
        <w:t xml:space="preserve">  </w:t>
      </w:r>
    </w:p>
    <w:p w14:paraId="2FC5CF9D" w14:textId="77777777" w:rsidR="00506216" w:rsidRPr="00C80D3A" w:rsidRDefault="00506216" w:rsidP="001E1580">
      <w:pPr>
        <w:keepNext/>
        <w:spacing w:after="0" w:line="240" w:lineRule="auto"/>
        <w:contextualSpacing/>
        <w:rPr>
          <w:rFonts w:ascii="Times New Roman" w:hAnsi="Times New Roman" w:cs="Times New Roman"/>
          <w:sz w:val="26"/>
          <w:szCs w:val="26"/>
        </w:rPr>
      </w:pPr>
    </w:p>
    <w:p w14:paraId="52BA8257" w14:textId="7AE81FD6"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The </w:t>
      </w:r>
      <w:r w:rsidR="001567D3">
        <w:rPr>
          <w:rFonts w:ascii="Times New Roman" w:hAnsi="Times New Roman" w:cs="Times New Roman"/>
          <w:sz w:val="26"/>
          <w:szCs w:val="26"/>
        </w:rPr>
        <w:t xml:space="preserve">current </w:t>
      </w:r>
      <w:r w:rsidRPr="00C80D3A">
        <w:rPr>
          <w:rFonts w:ascii="Times New Roman" w:hAnsi="Times New Roman" w:cs="Times New Roman"/>
          <w:sz w:val="26"/>
          <w:szCs w:val="26"/>
        </w:rPr>
        <w:t>CAP Policy Statement provides the following guidance related to dismissal from CAP due to non-payment:</w:t>
      </w:r>
    </w:p>
    <w:p w14:paraId="5827284F" w14:textId="77777777" w:rsidR="00506216" w:rsidRPr="00C80D3A" w:rsidRDefault="00506216" w:rsidP="001E1580">
      <w:pPr>
        <w:spacing w:after="0" w:line="240" w:lineRule="auto"/>
        <w:contextualSpacing/>
        <w:rPr>
          <w:rFonts w:ascii="Times New Roman" w:hAnsi="Times New Roman" w:cs="Times New Roman"/>
          <w:sz w:val="26"/>
          <w:szCs w:val="26"/>
        </w:rPr>
      </w:pPr>
    </w:p>
    <w:p w14:paraId="71423D55" w14:textId="77777777" w:rsidR="00506216" w:rsidRPr="00C80D3A" w:rsidRDefault="00506216" w:rsidP="00442B52">
      <w:pPr>
        <w:spacing w:after="0"/>
        <w:ind w:left="720" w:right="720"/>
        <w:contextualSpacing/>
        <w:rPr>
          <w:rFonts w:ascii="Times New Roman" w:hAnsi="Times New Roman" w:cs="Times New Roman"/>
          <w:sz w:val="26"/>
          <w:szCs w:val="26"/>
        </w:rPr>
      </w:pPr>
      <w:r w:rsidRPr="00C80D3A">
        <w:rPr>
          <w:rFonts w:ascii="Times New Roman" w:hAnsi="Times New Roman" w:cs="Times New Roman"/>
          <w:sz w:val="26"/>
          <w:szCs w:val="26"/>
        </w:rPr>
        <w:t>Failure to make payments will result in the utility returning the participant to the regular collection cycle and may lead to termination of service.  By returning the customer to the regular collection cycle, the utility does not need to enter into a new payment arrangement but may begin the termination process.  At a minimum, the utility should inform the participant of the consequences of defaulting from the CAP.  To avoid termination of service, the CAP participant must pay the amount set forth in the termination notice prior to the scheduled termination date.  This amount should generally be no more than two CAP bills.</w:t>
      </w:r>
    </w:p>
    <w:p w14:paraId="1537CF88" w14:textId="77777777" w:rsidR="00506216" w:rsidRPr="00C80D3A" w:rsidRDefault="00506216" w:rsidP="001E1580">
      <w:pPr>
        <w:spacing w:after="0" w:line="240" w:lineRule="auto"/>
        <w:contextualSpacing/>
        <w:rPr>
          <w:rFonts w:ascii="Times New Roman" w:hAnsi="Times New Roman" w:cs="Times New Roman"/>
          <w:sz w:val="26"/>
          <w:szCs w:val="26"/>
        </w:rPr>
      </w:pPr>
    </w:p>
    <w:p w14:paraId="19214C61" w14:textId="6FA55A43" w:rsidR="00506216" w:rsidRDefault="00113B03"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52 Pa. Code §</w:t>
      </w:r>
      <w:r w:rsidR="00506216" w:rsidRPr="00C80D3A">
        <w:rPr>
          <w:rFonts w:ascii="Times New Roman" w:hAnsi="Times New Roman" w:cs="Times New Roman"/>
          <w:sz w:val="26"/>
          <w:szCs w:val="26"/>
        </w:rPr>
        <w:t xml:space="preserve"> 69.265(7)(i)</w:t>
      </w:r>
      <w:r w:rsidR="006A1381" w:rsidRPr="00C80D3A">
        <w:rPr>
          <w:rFonts w:ascii="Times New Roman" w:hAnsi="Times New Roman" w:cs="Times New Roman"/>
          <w:sz w:val="26"/>
          <w:szCs w:val="26"/>
        </w:rPr>
        <w:t>.</w:t>
      </w:r>
    </w:p>
    <w:p w14:paraId="3584A0BF" w14:textId="77777777" w:rsidR="003156B0" w:rsidRPr="00C80D3A" w:rsidRDefault="003156B0" w:rsidP="00315DBC">
      <w:pPr>
        <w:spacing w:after="0" w:line="360" w:lineRule="auto"/>
        <w:contextualSpacing/>
        <w:rPr>
          <w:rFonts w:ascii="Times New Roman" w:hAnsi="Times New Roman" w:cs="Times New Roman"/>
          <w:sz w:val="26"/>
          <w:szCs w:val="26"/>
        </w:rPr>
      </w:pPr>
    </w:p>
    <w:p w14:paraId="0726A8C3" w14:textId="46C70895"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216675" w:rsidRPr="00C80D3A">
        <w:rPr>
          <w:rFonts w:ascii="Times New Roman" w:hAnsi="Times New Roman" w:cs="Times New Roman"/>
          <w:sz w:val="26"/>
          <w:szCs w:val="26"/>
        </w:rPr>
        <w:t>Commission staff</w:t>
      </w:r>
      <w:r w:rsidRPr="00C80D3A">
        <w:rPr>
          <w:rFonts w:ascii="Times New Roman" w:hAnsi="Times New Roman" w:cs="Times New Roman"/>
          <w:sz w:val="26"/>
          <w:szCs w:val="26"/>
        </w:rPr>
        <w:t xml:space="preserve"> conducted a survey of CAP collections processes and </w:t>
      </w:r>
      <w:r w:rsidR="00216675" w:rsidRPr="00C80D3A">
        <w:rPr>
          <w:rFonts w:ascii="Times New Roman" w:hAnsi="Times New Roman" w:cs="Times New Roman"/>
          <w:sz w:val="26"/>
          <w:szCs w:val="26"/>
        </w:rPr>
        <w:t xml:space="preserve">found </w:t>
      </w:r>
      <w:r w:rsidRPr="00C80D3A">
        <w:rPr>
          <w:rFonts w:ascii="Times New Roman" w:hAnsi="Times New Roman" w:cs="Times New Roman"/>
          <w:sz w:val="26"/>
          <w:szCs w:val="26"/>
        </w:rPr>
        <w:t>that EDCs and NGDCs have various default provisions for program non-payment.  Results of the survey revealed:</w:t>
      </w:r>
    </w:p>
    <w:p w14:paraId="7124FF2D" w14:textId="77777777" w:rsidR="00506216" w:rsidRPr="00C80D3A" w:rsidRDefault="00506216" w:rsidP="001F63A3">
      <w:pPr>
        <w:spacing w:after="0" w:line="240" w:lineRule="auto"/>
        <w:ind w:left="1440" w:hanging="720"/>
        <w:contextualSpacing/>
        <w:rPr>
          <w:rFonts w:ascii="Times New Roman" w:hAnsi="Times New Roman" w:cs="Times New Roman"/>
          <w:sz w:val="26"/>
          <w:szCs w:val="26"/>
        </w:rPr>
      </w:pPr>
    </w:p>
    <w:p w14:paraId="335E6659" w14:textId="77777777" w:rsidR="00506216" w:rsidRPr="00C80D3A" w:rsidRDefault="00506216" w:rsidP="001F63A3">
      <w:pPr>
        <w:numPr>
          <w:ilvl w:val="0"/>
          <w:numId w:val="9"/>
        </w:numPr>
        <w:spacing w:after="0" w:line="240" w:lineRule="auto"/>
        <w:ind w:left="1440" w:right="72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PECO, NFG, and PGW initiate collection activity after one missed CAP payment.  Customers are not removed from CAP prior to termination. </w:t>
      </w:r>
    </w:p>
    <w:p w14:paraId="478927B1" w14:textId="77777777" w:rsidR="00506216" w:rsidRPr="00C80D3A" w:rsidRDefault="00506216" w:rsidP="001F63A3">
      <w:pPr>
        <w:spacing w:after="0" w:line="240" w:lineRule="auto"/>
        <w:ind w:left="1440" w:right="720" w:hanging="720"/>
        <w:contextualSpacing/>
        <w:rPr>
          <w:rFonts w:ascii="Times New Roman" w:hAnsi="Times New Roman" w:cs="Times New Roman"/>
          <w:sz w:val="26"/>
          <w:szCs w:val="26"/>
        </w:rPr>
      </w:pPr>
    </w:p>
    <w:p w14:paraId="73C49673" w14:textId="77777777" w:rsidR="00506216" w:rsidRPr="00C80D3A" w:rsidRDefault="00506216" w:rsidP="001F63A3">
      <w:pPr>
        <w:numPr>
          <w:ilvl w:val="0"/>
          <w:numId w:val="9"/>
        </w:numPr>
        <w:spacing w:after="0" w:line="240" w:lineRule="auto"/>
        <w:ind w:left="1440" w:right="720" w:hanging="720"/>
        <w:contextualSpacing/>
        <w:rPr>
          <w:rFonts w:ascii="Times New Roman" w:hAnsi="Times New Roman" w:cs="Times New Roman"/>
          <w:sz w:val="26"/>
          <w:szCs w:val="26"/>
        </w:rPr>
      </w:pPr>
      <w:r w:rsidRPr="00C80D3A">
        <w:rPr>
          <w:rFonts w:ascii="Times New Roman" w:hAnsi="Times New Roman" w:cs="Times New Roman"/>
          <w:sz w:val="26"/>
          <w:szCs w:val="26"/>
        </w:rPr>
        <w:t xml:space="preserve">Columbia and the Peoples utilities initiate collections activity after two missed payments.  Customers are not removed from CAP prior to termination.  </w:t>
      </w:r>
    </w:p>
    <w:p w14:paraId="57CCC238" w14:textId="77777777" w:rsidR="00506216" w:rsidRPr="00C80D3A" w:rsidRDefault="00506216" w:rsidP="001F63A3">
      <w:pPr>
        <w:spacing w:after="0" w:line="240" w:lineRule="auto"/>
        <w:ind w:left="1440" w:right="720" w:hanging="720"/>
        <w:contextualSpacing/>
        <w:rPr>
          <w:rFonts w:ascii="Times New Roman" w:hAnsi="Times New Roman" w:cs="Times New Roman"/>
          <w:sz w:val="26"/>
          <w:szCs w:val="26"/>
        </w:rPr>
      </w:pPr>
    </w:p>
    <w:p w14:paraId="6543D5B4" w14:textId="77777777" w:rsidR="00506216" w:rsidRPr="00C80D3A" w:rsidRDefault="00506216" w:rsidP="001F63A3">
      <w:pPr>
        <w:numPr>
          <w:ilvl w:val="0"/>
          <w:numId w:val="9"/>
        </w:numPr>
        <w:spacing w:after="0" w:line="240" w:lineRule="auto"/>
        <w:ind w:left="1440" w:right="720" w:hanging="720"/>
        <w:contextualSpacing/>
        <w:rPr>
          <w:rFonts w:ascii="Times New Roman" w:hAnsi="Times New Roman" w:cs="Times New Roman"/>
          <w:sz w:val="26"/>
          <w:szCs w:val="26"/>
        </w:rPr>
      </w:pPr>
      <w:r w:rsidRPr="00C80D3A">
        <w:rPr>
          <w:rFonts w:ascii="Times New Roman" w:hAnsi="Times New Roman" w:cs="Times New Roman"/>
          <w:sz w:val="26"/>
          <w:szCs w:val="26"/>
        </w:rPr>
        <w:t>Duquesne, the FirstEnergy utilities, and the UGI utilities initiate collections activity after the CAP account exceeds a balance threshold and is overdue for a certain amount of time.</w:t>
      </w:r>
      <w:r w:rsidRPr="00C80D3A">
        <w:rPr>
          <w:rFonts w:ascii="Times New Roman" w:hAnsi="Times New Roman" w:cs="Times New Roman"/>
          <w:sz w:val="26"/>
          <w:szCs w:val="26"/>
          <w:vertAlign w:val="superscript"/>
        </w:rPr>
        <w:footnoteReference w:id="115"/>
      </w:r>
      <w:r w:rsidRPr="00C80D3A">
        <w:rPr>
          <w:rFonts w:ascii="Times New Roman" w:hAnsi="Times New Roman" w:cs="Times New Roman"/>
          <w:sz w:val="26"/>
          <w:szCs w:val="26"/>
        </w:rPr>
        <w:t xml:space="preserve">  Customers are not removed from CAP prior to termination.</w:t>
      </w:r>
    </w:p>
    <w:p w14:paraId="766A41CA" w14:textId="77777777" w:rsidR="00506216" w:rsidRPr="00C80D3A" w:rsidRDefault="00506216" w:rsidP="001F63A3">
      <w:pPr>
        <w:spacing w:after="0" w:line="240" w:lineRule="auto"/>
        <w:ind w:left="1440" w:right="720" w:hanging="720"/>
        <w:contextualSpacing/>
        <w:rPr>
          <w:rFonts w:ascii="Times New Roman" w:hAnsi="Times New Roman" w:cs="Times New Roman"/>
          <w:sz w:val="26"/>
          <w:szCs w:val="26"/>
        </w:rPr>
      </w:pPr>
    </w:p>
    <w:p w14:paraId="656AD5B2" w14:textId="77777777" w:rsidR="00506216" w:rsidRPr="00C80D3A" w:rsidRDefault="00506216" w:rsidP="001F63A3">
      <w:pPr>
        <w:numPr>
          <w:ilvl w:val="0"/>
          <w:numId w:val="9"/>
        </w:numPr>
        <w:spacing w:after="0" w:line="240" w:lineRule="auto"/>
        <w:ind w:left="1440" w:right="720" w:hanging="720"/>
        <w:contextualSpacing/>
        <w:rPr>
          <w:rFonts w:ascii="Times New Roman" w:hAnsi="Times New Roman" w:cs="Times New Roman"/>
          <w:sz w:val="26"/>
          <w:szCs w:val="26"/>
        </w:rPr>
      </w:pPr>
      <w:r w:rsidRPr="00C80D3A">
        <w:rPr>
          <w:rFonts w:ascii="Times New Roman" w:hAnsi="Times New Roman" w:cs="Times New Roman"/>
          <w:sz w:val="26"/>
          <w:szCs w:val="26"/>
        </w:rPr>
        <w:t>PPL initiates collection activity after one missed payment.  After two missed payments, the customer is “defaulted” from CAP and billed the full tariff rate.</w:t>
      </w:r>
    </w:p>
    <w:p w14:paraId="4E94FC7C" w14:textId="77777777" w:rsidR="00506216" w:rsidRPr="00C80D3A" w:rsidRDefault="00506216" w:rsidP="003E09EB">
      <w:pPr>
        <w:spacing w:after="0" w:line="360" w:lineRule="auto"/>
        <w:contextualSpacing/>
        <w:rPr>
          <w:rFonts w:ascii="Times New Roman" w:hAnsi="Times New Roman" w:cs="Times New Roman"/>
          <w:sz w:val="26"/>
          <w:szCs w:val="26"/>
        </w:rPr>
      </w:pPr>
    </w:p>
    <w:p w14:paraId="44A6ED53" w14:textId="7777777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During the </w:t>
      </w:r>
      <w:r w:rsidRPr="00C80D3A">
        <w:rPr>
          <w:rFonts w:ascii="Times New Roman" w:hAnsi="Times New Roman" w:cs="Times New Roman"/>
          <w:i/>
          <w:iCs/>
          <w:sz w:val="26"/>
          <w:szCs w:val="26"/>
        </w:rPr>
        <w:t>Review</w:t>
      </w:r>
      <w:r w:rsidRPr="00C80D3A">
        <w:rPr>
          <w:rFonts w:ascii="Times New Roman" w:hAnsi="Times New Roman" w:cs="Times New Roman"/>
          <w:sz w:val="26"/>
          <w:szCs w:val="26"/>
        </w:rPr>
        <w:t xml:space="preserve"> proceeding, stakeholders voiced support for a more consistent collections/termination policy across CAPs.</w:t>
      </w:r>
      <w:r w:rsidRPr="00C80D3A">
        <w:rPr>
          <w:rFonts w:ascii="Times New Roman" w:hAnsi="Times New Roman" w:cs="Times New Roman"/>
          <w:sz w:val="26"/>
          <w:szCs w:val="26"/>
          <w:vertAlign w:val="superscript"/>
        </w:rPr>
        <w:footnoteReference w:id="116"/>
      </w:r>
    </w:p>
    <w:p w14:paraId="52EB5F8B" w14:textId="77777777" w:rsidR="00506216" w:rsidRPr="00C80D3A" w:rsidRDefault="00506216" w:rsidP="00315DBC">
      <w:pPr>
        <w:spacing w:after="0" w:line="360" w:lineRule="auto"/>
        <w:contextualSpacing/>
        <w:rPr>
          <w:rFonts w:ascii="Times New Roman" w:hAnsi="Times New Roman" w:cs="Times New Roman"/>
          <w:sz w:val="26"/>
          <w:szCs w:val="26"/>
        </w:rPr>
      </w:pPr>
    </w:p>
    <w:p w14:paraId="2ABD41E5" w14:textId="698C25B0" w:rsidR="00506216" w:rsidRPr="00C80D3A" w:rsidRDefault="00506216" w:rsidP="001E1580">
      <w:pPr>
        <w:keepNext/>
        <w:spacing w:after="0" w:line="240" w:lineRule="auto"/>
        <w:contextualSpacing/>
        <w:rPr>
          <w:rFonts w:ascii="Times New Roman" w:hAnsi="Times New Roman" w:cs="Times New Roman"/>
          <w:color w:val="000000"/>
          <w:sz w:val="26"/>
          <w:szCs w:val="26"/>
        </w:rPr>
      </w:pPr>
      <w:r w:rsidRPr="00C80D3A">
        <w:rPr>
          <w:rFonts w:ascii="Times New Roman" w:hAnsi="Times New Roman" w:cs="Times New Roman"/>
          <w:i/>
          <w:sz w:val="26"/>
          <w:szCs w:val="26"/>
        </w:rPr>
        <w:t>Review of Universal Service and Energy Conservation Programs, Docket No.</w:t>
      </w:r>
      <w:r w:rsidR="00FF2268">
        <w:rPr>
          <w:rFonts w:ascii="Times New Roman" w:hAnsi="Times New Roman" w:cs="Times New Roman"/>
          <w:i/>
          <w:sz w:val="26"/>
          <w:szCs w:val="26"/>
        </w:rPr>
        <w:t> </w:t>
      </w:r>
      <w:r w:rsidRPr="00C80D3A">
        <w:rPr>
          <w:rFonts w:ascii="Times New Roman" w:hAnsi="Times New Roman" w:cs="Times New Roman"/>
          <w:i/>
          <w:sz w:val="26"/>
          <w:szCs w:val="26"/>
        </w:rPr>
        <w:t>M</w:t>
      </w:r>
      <w:r w:rsidR="00FF2268">
        <w:rPr>
          <w:rFonts w:ascii="Times New Roman" w:hAnsi="Times New Roman" w:cs="Times New Roman"/>
          <w:i/>
          <w:sz w:val="26"/>
          <w:szCs w:val="26"/>
        </w:rPr>
        <w:noBreakHyphen/>
      </w:r>
      <w:r w:rsidRPr="00C80D3A">
        <w:rPr>
          <w:rFonts w:ascii="Times New Roman" w:hAnsi="Times New Roman" w:cs="Times New Roman"/>
          <w:i/>
          <w:sz w:val="26"/>
          <w:szCs w:val="26"/>
        </w:rPr>
        <w:t>2017</w:t>
      </w:r>
      <w:r w:rsidR="00FF2268">
        <w:rPr>
          <w:rFonts w:ascii="Times New Roman" w:hAnsi="Times New Roman" w:cs="Times New Roman"/>
          <w:i/>
          <w:sz w:val="26"/>
          <w:szCs w:val="26"/>
        </w:rPr>
        <w:noBreakHyphen/>
      </w:r>
      <w:r w:rsidRPr="00C80D3A">
        <w:rPr>
          <w:rFonts w:ascii="Times New Roman" w:hAnsi="Times New Roman" w:cs="Times New Roman"/>
          <w:i/>
          <w:sz w:val="26"/>
          <w:szCs w:val="26"/>
        </w:rPr>
        <w:t>2596907</w:t>
      </w:r>
    </w:p>
    <w:p w14:paraId="3995C555" w14:textId="77777777" w:rsidR="00506216" w:rsidRPr="00C80D3A" w:rsidRDefault="00506216" w:rsidP="001E1580">
      <w:pPr>
        <w:keepNext/>
        <w:spacing w:after="0" w:line="240" w:lineRule="auto"/>
        <w:contextualSpacing/>
        <w:rPr>
          <w:rFonts w:ascii="Times New Roman" w:hAnsi="Times New Roman" w:cs="Times New Roman"/>
          <w:color w:val="000000"/>
          <w:sz w:val="26"/>
          <w:szCs w:val="26"/>
        </w:rPr>
      </w:pPr>
    </w:p>
    <w:p w14:paraId="41C0313C" w14:textId="77777777" w:rsidR="00506216" w:rsidRPr="00C80D3A" w:rsidRDefault="00506216" w:rsidP="001E1580">
      <w:pPr>
        <w:keepNext/>
        <w:spacing w:after="0" w:line="360" w:lineRule="auto"/>
        <w:contextualSpacing/>
        <w:rPr>
          <w:rFonts w:ascii="Times New Roman" w:hAnsi="Times New Roman" w:cs="Times New Roman"/>
          <w:sz w:val="26"/>
          <w:szCs w:val="26"/>
        </w:rPr>
      </w:pPr>
      <w:r w:rsidRPr="00C80D3A">
        <w:rPr>
          <w:rFonts w:ascii="Times New Roman" w:hAnsi="Times New Roman" w:cs="Times New Roman"/>
          <w:b/>
          <w:bCs/>
          <w:color w:val="000000"/>
          <w:sz w:val="26"/>
          <w:szCs w:val="26"/>
        </w:rPr>
        <w:t>Comments from Parties</w:t>
      </w:r>
    </w:p>
    <w:p w14:paraId="423D1C75" w14:textId="7777777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OCA recommends that utilities place CAP customers into the collection cycle for missed CAP payments, including termination of service.  Disconnected CAP participants should pay unpaid CAP bills (not bills at the full-tariff rate) and reconnection fees.  OCA Comments at 16.</w:t>
      </w:r>
    </w:p>
    <w:p w14:paraId="3D798BF2" w14:textId="77777777" w:rsidR="00506216" w:rsidRPr="00C80D3A" w:rsidRDefault="00506216" w:rsidP="00315DBC">
      <w:pPr>
        <w:spacing w:after="0" w:line="360" w:lineRule="auto"/>
        <w:contextualSpacing/>
        <w:rPr>
          <w:rFonts w:ascii="Times New Roman" w:hAnsi="Times New Roman" w:cs="Times New Roman"/>
          <w:sz w:val="26"/>
          <w:szCs w:val="26"/>
        </w:rPr>
      </w:pPr>
    </w:p>
    <w:p w14:paraId="7AFA9BC7" w14:textId="7777777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Low Income Advocates recommend revising the CAP Policy Statement to prevent inconsistent statewide CAP termination practices leading to high up-front restoration costs for vulnerable households.  Low Income Advocates Comments at 32.</w:t>
      </w:r>
    </w:p>
    <w:p w14:paraId="7B370B77" w14:textId="77777777" w:rsidR="00506216" w:rsidRPr="00C80D3A" w:rsidRDefault="00506216" w:rsidP="00315DBC">
      <w:pPr>
        <w:spacing w:after="0" w:line="360" w:lineRule="auto"/>
        <w:contextualSpacing/>
        <w:rPr>
          <w:rFonts w:ascii="Times New Roman" w:hAnsi="Times New Roman" w:cs="Times New Roman"/>
          <w:sz w:val="26"/>
          <w:szCs w:val="26"/>
        </w:rPr>
      </w:pPr>
    </w:p>
    <w:p w14:paraId="09BFBCE9" w14:textId="77777777" w:rsidR="00506216" w:rsidRPr="00C80D3A" w:rsidRDefault="00506216" w:rsidP="001E1580">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04BE493C" w14:textId="2C1B9E60"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2A0201" w:rsidRPr="00C80D3A">
        <w:rPr>
          <w:rFonts w:ascii="Times New Roman" w:hAnsi="Times New Roman" w:cs="Times New Roman"/>
          <w:sz w:val="26"/>
          <w:szCs w:val="26"/>
        </w:rPr>
        <w:t xml:space="preserve">Relative to </w:t>
      </w:r>
      <w:r w:rsidRPr="00C80D3A">
        <w:rPr>
          <w:rFonts w:ascii="Times New Roman" w:hAnsi="Times New Roman" w:cs="Times New Roman"/>
          <w:sz w:val="26"/>
          <w:szCs w:val="26"/>
        </w:rPr>
        <w:t>non-payment CAP default</w:t>
      </w:r>
      <w:r w:rsidR="002A0201" w:rsidRPr="00C80D3A">
        <w:rPr>
          <w:rFonts w:ascii="Times New Roman" w:hAnsi="Times New Roman" w:cs="Times New Roman"/>
          <w:sz w:val="26"/>
          <w:szCs w:val="26"/>
        </w:rPr>
        <w:t>s</w:t>
      </w:r>
      <w:r w:rsidRPr="00C80D3A">
        <w:rPr>
          <w:rFonts w:ascii="Times New Roman" w:hAnsi="Times New Roman" w:cs="Times New Roman"/>
          <w:sz w:val="26"/>
          <w:szCs w:val="26"/>
        </w:rPr>
        <w:t xml:space="preserve">, </w:t>
      </w:r>
      <w:r w:rsidR="0059551F" w:rsidRPr="00C80D3A">
        <w:rPr>
          <w:rFonts w:ascii="Times New Roman" w:hAnsi="Times New Roman" w:cs="Times New Roman"/>
          <w:sz w:val="26"/>
          <w:szCs w:val="26"/>
        </w:rPr>
        <w:t>we</w:t>
      </w:r>
      <w:r w:rsidRPr="00C80D3A">
        <w:rPr>
          <w:rFonts w:ascii="Times New Roman" w:hAnsi="Times New Roman" w:cs="Times New Roman"/>
          <w:sz w:val="26"/>
          <w:szCs w:val="26"/>
        </w:rPr>
        <w:t xml:space="preserve"> </w:t>
      </w:r>
      <w:r w:rsidR="003C6391" w:rsidRPr="00C80D3A">
        <w:rPr>
          <w:rFonts w:ascii="Times New Roman" w:hAnsi="Times New Roman" w:cs="Times New Roman"/>
          <w:sz w:val="26"/>
          <w:szCs w:val="26"/>
        </w:rPr>
        <w:t xml:space="preserve">find that </w:t>
      </w:r>
      <w:r w:rsidR="000B4D38" w:rsidRPr="00C80D3A">
        <w:rPr>
          <w:rFonts w:ascii="Times New Roman" w:hAnsi="Times New Roman" w:cs="Times New Roman"/>
          <w:sz w:val="26"/>
          <w:szCs w:val="26"/>
        </w:rPr>
        <w:t xml:space="preserve">it is appropriate to </w:t>
      </w:r>
      <w:r w:rsidR="005263AE" w:rsidRPr="00C80D3A">
        <w:rPr>
          <w:rFonts w:ascii="Times New Roman" w:hAnsi="Times New Roman" w:cs="Times New Roman"/>
          <w:sz w:val="26"/>
          <w:szCs w:val="26"/>
        </w:rPr>
        <w:t xml:space="preserve">recommend that utilities </w:t>
      </w:r>
      <w:r w:rsidRPr="00C80D3A">
        <w:rPr>
          <w:rFonts w:ascii="Times New Roman" w:hAnsi="Times New Roman" w:cs="Times New Roman"/>
          <w:sz w:val="26"/>
          <w:szCs w:val="26"/>
        </w:rPr>
        <w:t>initiat</w:t>
      </w:r>
      <w:r w:rsidR="000B4D38" w:rsidRPr="00C80D3A">
        <w:rPr>
          <w:rFonts w:ascii="Times New Roman" w:hAnsi="Times New Roman" w:cs="Times New Roman"/>
          <w:sz w:val="26"/>
          <w:szCs w:val="26"/>
        </w:rPr>
        <w:t>e</w:t>
      </w:r>
      <w:r w:rsidRPr="00C80D3A">
        <w:rPr>
          <w:rFonts w:ascii="Times New Roman" w:hAnsi="Times New Roman" w:cs="Times New Roman"/>
          <w:sz w:val="26"/>
          <w:szCs w:val="26"/>
        </w:rPr>
        <w:t xml:space="preserve"> collection activity after no more than two </w:t>
      </w:r>
      <w:r w:rsidR="005263AE" w:rsidRPr="00C80D3A">
        <w:rPr>
          <w:rFonts w:ascii="Times New Roman" w:hAnsi="Times New Roman" w:cs="Times New Roman"/>
          <w:sz w:val="26"/>
          <w:szCs w:val="26"/>
        </w:rPr>
        <w:t xml:space="preserve">CAP </w:t>
      </w:r>
      <w:r w:rsidRPr="00C80D3A">
        <w:rPr>
          <w:rFonts w:ascii="Times New Roman" w:hAnsi="Times New Roman" w:cs="Times New Roman"/>
          <w:sz w:val="26"/>
          <w:szCs w:val="26"/>
        </w:rPr>
        <w:t>payments</w:t>
      </w:r>
      <w:r w:rsidR="00C7716F" w:rsidRPr="00C80D3A">
        <w:rPr>
          <w:rFonts w:ascii="Times New Roman" w:hAnsi="Times New Roman" w:cs="Times New Roman"/>
          <w:sz w:val="26"/>
          <w:szCs w:val="26"/>
        </w:rPr>
        <w:t xml:space="preserve"> in arrears</w:t>
      </w:r>
      <w:r w:rsidRPr="00C80D3A">
        <w:rPr>
          <w:rFonts w:ascii="Times New Roman" w:hAnsi="Times New Roman" w:cs="Times New Roman"/>
          <w:sz w:val="26"/>
          <w:szCs w:val="26"/>
        </w:rPr>
        <w:t xml:space="preserve">. </w:t>
      </w:r>
      <w:r w:rsidR="00AD503E"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While Section 1405(c) prohibits the Commission from making a payment agreement for a CAP customer, it does not prohibit the Commission from ensuring that the </w:t>
      </w:r>
      <w:r w:rsidR="000A6249" w:rsidRPr="00C80D3A">
        <w:rPr>
          <w:rFonts w:ascii="Times New Roman" w:hAnsi="Times New Roman" w:cs="Times New Roman"/>
          <w:sz w:val="26"/>
          <w:szCs w:val="26"/>
        </w:rPr>
        <w:t>statutory “</w:t>
      </w:r>
      <w:r w:rsidRPr="00C80D3A">
        <w:rPr>
          <w:rFonts w:ascii="Times New Roman" w:hAnsi="Times New Roman" w:cs="Times New Roman"/>
          <w:sz w:val="26"/>
          <w:szCs w:val="26"/>
        </w:rPr>
        <w:t>policy</w:t>
      </w:r>
      <w:r w:rsidR="000A6249" w:rsidRPr="00C80D3A">
        <w:rPr>
          <w:rFonts w:ascii="Times New Roman" w:hAnsi="Times New Roman" w:cs="Times New Roman"/>
          <w:sz w:val="26"/>
          <w:szCs w:val="26"/>
        </w:rPr>
        <w:t>”</w:t>
      </w:r>
      <w:r w:rsidRPr="00C80D3A">
        <w:rPr>
          <w:rFonts w:ascii="Times New Roman" w:hAnsi="Times New Roman" w:cs="Times New Roman"/>
          <w:sz w:val="26"/>
          <w:szCs w:val="26"/>
        </w:rPr>
        <w:t xml:space="preserve"> at Section 1402(3) of </w:t>
      </w:r>
      <w:r w:rsidR="00403F05" w:rsidRPr="00C80D3A">
        <w:rPr>
          <w:rFonts w:ascii="Times New Roman" w:hAnsi="Times New Roman" w:cs="Times New Roman"/>
          <w:sz w:val="26"/>
          <w:szCs w:val="26"/>
        </w:rPr>
        <w:t>“</w:t>
      </w:r>
      <w:r w:rsidRPr="00C80D3A">
        <w:rPr>
          <w:rFonts w:ascii="Times New Roman" w:hAnsi="Times New Roman" w:cs="Times New Roman"/>
          <w:sz w:val="26"/>
          <w:szCs w:val="26"/>
        </w:rPr>
        <w:t>increasing timely collections</w:t>
      </w:r>
      <w:r w:rsidR="00403F05" w:rsidRPr="00C80D3A">
        <w:rPr>
          <w:rFonts w:ascii="Times New Roman" w:hAnsi="Times New Roman" w:cs="Times New Roman"/>
          <w:sz w:val="26"/>
          <w:szCs w:val="26"/>
        </w:rPr>
        <w:t>”</w:t>
      </w:r>
      <w:r w:rsidRPr="00C80D3A">
        <w:rPr>
          <w:rFonts w:ascii="Times New Roman" w:hAnsi="Times New Roman" w:cs="Times New Roman"/>
          <w:sz w:val="26"/>
          <w:szCs w:val="26"/>
        </w:rPr>
        <w:t xml:space="preserve"> is appropriately applied to CAP accounts.  </w:t>
      </w:r>
      <w:r w:rsidR="002C4D8E" w:rsidRPr="00C80D3A">
        <w:rPr>
          <w:rFonts w:ascii="Times New Roman" w:hAnsi="Times New Roman" w:cs="Times New Roman"/>
          <w:sz w:val="26"/>
          <w:szCs w:val="26"/>
        </w:rPr>
        <w:t xml:space="preserve">66 Pa. C.S. § </w:t>
      </w:r>
      <w:r w:rsidR="002A0201" w:rsidRPr="00C80D3A">
        <w:rPr>
          <w:rFonts w:ascii="Times New Roman" w:hAnsi="Times New Roman" w:cs="Times New Roman"/>
          <w:sz w:val="26"/>
          <w:szCs w:val="26"/>
        </w:rPr>
        <w:t xml:space="preserve">1402(3).  </w:t>
      </w:r>
      <w:r w:rsidRPr="00C80D3A">
        <w:rPr>
          <w:rFonts w:ascii="Times New Roman" w:hAnsi="Times New Roman" w:cs="Times New Roman"/>
          <w:sz w:val="26"/>
          <w:szCs w:val="26"/>
        </w:rPr>
        <w:t>An appropriate default provision is necessary to ensure that a utility is operating its CAP in a cost-effective manner.  66 Pa. C.S. § 2203(8).</w:t>
      </w:r>
    </w:p>
    <w:p w14:paraId="130C23FE" w14:textId="77777777" w:rsidR="00506216" w:rsidRPr="00C80D3A" w:rsidRDefault="00506216" w:rsidP="00315DBC">
      <w:pPr>
        <w:spacing w:after="0" w:line="360" w:lineRule="auto"/>
        <w:contextualSpacing/>
        <w:rPr>
          <w:rFonts w:ascii="Times New Roman" w:hAnsi="Times New Roman" w:cs="Times New Roman"/>
          <w:sz w:val="26"/>
          <w:szCs w:val="26"/>
        </w:rPr>
      </w:pPr>
    </w:p>
    <w:p w14:paraId="53CD8CA8" w14:textId="57A8FA7C"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The rationale for timely collection for CAP participants is that a low-income CAP participant is more likely to be able to pay a catch-up amount if the utility pursues collections in a prompt manner.  For a utility to allow more than two CAP payments </w:t>
      </w:r>
      <w:r w:rsidR="006D7EDE" w:rsidRPr="00C80D3A">
        <w:rPr>
          <w:rFonts w:ascii="Times New Roman" w:hAnsi="Times New Roman" w:cs="Times New Roman"/>
          <w:sz w:val="26"/>
          <w:szCs w:val="26"/>
        </w:rPr>
        <w:t xml:space="preserve">in arrears </w:t>
      </w:r>
      <w:r w:rsidRPr="00C80D3A">
        <w:rPr>
          <w:rFonts w:ascii="Times New Roman" w:hAnsi="Times New Roman" w:cs="Times New Roman"/>
          <w:sz w:val="26"/>
          <w:szCs w:val="26"/>
        </w:rPr>
        <w:t xml:space="preserve">without taking any collection action is counterproductive and inconsistent with the </w:t>
      </w:r>
      <w:r w:rsidR="00560404" w:rsidRPr="00C80D3A">
        <w:rPr>
          <w:rFonts w:ascii="Times New Roman" w:hAnsi="Times New Roman" w:cs="Times New Roman"/>
          <w:sz w:val="26"/>
          <w:szCs w:val="26"/>
        </w:rPr>
        <w:t>General Assembly</w:t>
      </w:r>
      <w:r w:rsidR="001529C6">
        <w:rPr>
          <w:rFonts w:ascii="Times New Roman" w:hAnsi="Times New Roman" w:cs="Times New Roman"/>
          <w:sz w:val="26"/>
          <w:szCs w:val="26"/>
        </w:rPr>
        <w:t>’</w:t>
      </w:r>
      <w:r w:rsidR="00560404" w:rsidRPr="00C80D3A">
        <w:rPr>
          <w:rFonts w:ascii="Times New Roman" w:hAnsi="Times New Roman" w:cs="Times New Roman"/>
          <w:sz w:val="26"/>
          <w:szCs w:val="26"/>
        </w:rPr>
        <w:t xml:space="preserve">s </w:t>
      </w:r>
      <w:r w:rsidRPr="00C80D3A">
        <w:rPr>
          <w:rFonts w:ascii="Times New Roman" w:hAnsi="Times New Roman" w:cs="Times New Roman"/>
          <w:sz w:val="26"/>
          <w:szCs w:val="26"/>
        </w:rPr>
        <w:t>declaration of policy that utilities are to increase timely collections.  Section 1402(3).  When a utility fails to take timely collection action, it increases the likelihood that a low-income customer will accrue a balance it cannot pay back or satisfy through available energy assistance grants or donations.</w:t>
      </w:r>
    </w:p>
    <w:p w14:paraId="0F99EA84" w14:textId="77777777" w:rsidR="00506216" w:rsidRPr="00C80D3A" w:rsidRDefault="00506216" w:rsidP="00315DBC">
      <w:pPr>
        <w:spacing w:after="0" w:line="360" w:lineRule="auto"/>
        <w:contextualSpacing/>
        <w:rPr>
          <w:rFonts w:ascii="Times New Roman" w:hAnsi="Times New Roman" w:cs="Times New Roman"/>
          <w:sz w:val="26"/>
          <w:szCs w:val="26"/>
        </w:rPr>
      </w:pPr>
    </w:p>
    <w:p w14:paraId="1EC6897F" w14:textId="5CE644CF"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The consequence for nonpayment of CAP bills should be loss of service, not loss of CAP.  </w:t>
      </w:r>
      <w:r w:rsidR="00AA7775" w:rsidRPr="00C80D3A">
        <w:rPr>
          <w:rFonts w:ascii="Times New Roman" w:hAnsi="Times New Roman" w:cs="Times New Roman"/>
          <w:sz w:val="26"/>
          <w:szCs w:val="26"/>
        </w:rPr>
        <w:t xml:space="preserve">Loss of CAP merely increases debt.  </w:t>
      </w:r>
      <w:r w:rsidRPr="00C80D3A">
        <w:rPr>
          <w:rFonts w:ascii="Times New Roman" w:hAnsi="Times New Roman" w:cs="Times New Roman"/>
          <w:sz w:val="26"/>
          <w:szCs w:val="26"/>
        </w:rPr>
        <w:t xml:space="preserve">It is </w:t>
      </w:r>
      <w:r w:rsidR="00035F45" w:rsidRPr="00C80D3A">
        <w:rPr>
          <w:rFonts w:ascii="Times New Roman" w:hAnsi="Times New Roman" w:cs="Times New Roman"/>
          <w:sz w:val="26"/>
          <w:szCs w:val="26"/>
        </w:rPr>
        <w:t>illogical</w:t>
      </w:r>
      <w:r w:rsidR="00B43FAD" w:rsidRPr="00C80D3A">
        <w:rPr>
          <w:rFonts w:ascii="Times New Roman" w:hAnsi="Times New Roman" w:cs="Times New Roman"/>
          <w:sz w:val="26"/>
          <w:szCs w:val="26"/>
        </w:rPr>
        <w:t xml:space="preserve">, unproductive, </w:t>
      </w:r>
      <w:r w:rsidR="00035F45" w:rsidRPr="00C80D3A">
        <w:rPr>
          <w:rFonts w:ascii="Times New Roman" w:hAnsi="Times New Roman" w:cs="Times New Roman"/>
          <w:sz w:val="26"/>
          <w:szCs w:val="26"/>
        </w:rPr>
        <w:t xml:space="preserve">and </w:t>
      </w:r>
      <w:r w:rsidRPr="00C80D3A">
        <w:rPr>
          <w:rFonts w:ascii="Times New Roman" w:hAnsi="Times New Roman" w:cs="Times New Roman"/>
          <w:sz w:val="26"/>
          <w:szCs w:val="26"/>
        </w:rPr>
        <w:t xml:space="preserve">unreasonable for a utility to allow a customer to </w:t>
      </w:r>
      <w:r w:rsidR="00E46A47" w:rsidRPr="00C80D3A">
        <w:rPr>
          <w:rFonts w:ascii="Times New Roman" w:hAnsi="Times New Roman" w:cs="Times New Roman"/>
          <w:sz w:val="26"/>
          <w:szCs w:val="26"/>
        </w:rPr>
        <w:t xml:space="preserve">incur </w:t>
      </w:r>
      <w:r w:rsidRPr="00C80D3A">
        <w:rPr>
          <w:rFonts w:ascii="Times New Roman" w:hAnsi="Times New Roman" w:cs="Times New Roman"/>
          <w:sz w:val="26"/>
          <w:szCs w:val="26"/>
        </w:rPr>
        <w:t xml:space="preserve">an insurmountable obstacle to restoration of service by failing to </w:t>
      </w:r>
      <w:r w:rsidR="00EA46BB" w:rsidRPr="00C80D3A">
        <w:rPr>
          <w:rFonts w:ascii="Times New Roman" w:hAnsi="Times New Roman" w:cs="Times New Roman"/>
          <w:sz w:val="26"/>
          <w:szCs w:val="26"/>
        </w:rPr>
        <w:t xml:space="preserve">pursue </w:t>
      </w:r>
      <w:r w:rsidRPr="00C80D3A">
        <w:rPr>
          <w:rFonts w:ascii="Times New Roman" w:hAnsi="Times New Roman" w:cs="Times New Roman"/>
          <w:sz w:val="26"/>
          <w:szCs w:val="26"/>
        </w:rPr>
        <w:t xml:space="preserve">timely collection on a CAP account.  An appropriate default provision is necessary to ensure that a utility is operating its CAP in a cost-effective manner.  Therefore, we recommend that a utility should initiate collection procedures after a </w:t>
      </w:r>
      <w:r w:rsidR="00100FFF" w:rsidRPr="00C80D3A">
        <w:rPr>
          <w:rFonts w:ascii="Times New Roman" w:hAnsi="Times New Roman" w:cs="Times New Roman"/>
          <w:sz w:val="26"/>
          <w:szCs w:val="26"/>
        </w:rPr>
        <w:t xml:space="preserve">customer has a </w:t>
      </w:r>
      <w:r w:rsidRPr="00C80D3A">
        <w:rPr>
          <w:rFonts w:ascii="Times New Roman" w:hAnsi="Times New Roman" w:cs="Times New Roman"/>
          <w:sz w:val="26"/>
          <w:szCs w:val="26"/>
        </w:rPr>
        <w:t>maximum of two CAP payments</w:t>
      </w:r>
      <w:r w:rsidR="0004484D" w:rsidRPr="00C80D3A">
        <w:rPr>
          <w:rFonts w:ascii="Times New Roman" w:hAnsi="Times New Roman" w:cs="Times New Roman"/>
          <w:sz w:val="26"/>
          <w:szCs w:val="26"/>
        </w:rPr>
        <w:t xml:space="preserve"> in arrears</w:t>
      </w:r>
      <w:r w:rsidRPr="00C80D3A">
        <w:rPr>
          <w:rFonts w:ascii="Times New Roman" w:hAnsi="Times New Roman" w:cs="Times New Roman"/>
          <w:sz w:val="26"/>
          <w:szCs w:val="26"/>
        </w:rPr>
        <w:t>.</w:t>
      </w:r>
    </w:p>
    <w:p w14:paraId="419581D0" w14:textId="77777777" w:rsidR="00506216" w:rsidRPr="00C80D3A" w:rsidRDefault="00506216" w:rsidP="00315DBC">
      <w:pPr>
        <w:spacing w:after="0" w:line="360" w:lineRule="auto"/>
        <w:contextualSpacing/>
        <w:rPr>
          <w:rFonts w:ascii="Times New Roman" w:hAnsi="Times New Roman" w:cs="Times New Roman"/>
          <w:sz w:val="26"/>
          <w:szCs w:val="26"/>
        </w:rPr>
      </w:pPr>
    </w:p>
    <w:p w14:paraId="215D243C" w14:textId="2968B438" w:rsidR="00113B03" w:rsidRDefault="00F5125E" w:rsidP="00504E74">
      <w:pPr>
        <w:spacing w:after="120" w:line="240" w:lineRule="auto"/>
        <w:contextualSpacing/>
        <w:rPr>
          <w:rFonts w:ascii="Times New Roman" w:hAnsi="Times New Roman" w:cs="Times New Roman"/>
          <w:b/>
          <w:bCs/>
          <w:sz w:val="26"/>
          <w:szCs w:val="26"/>
        </w:rPr>
      </w:pPr>
      <w:r w:rsidRPr="00A20145">
        <w:rPr>
          <w:rFonts w:ascii="Times New Roman" w:hAnsi="Times New Roman" w:cs="Times New Roman"/>
          <w:b/>
          <w:bCs/>
          <w:sz w:val="26"/>
          <w:szCs w:val="26"/>
        </w:rPr>
        <w:t>Resolution</w:t>
      </w:r>
      <w:r w:rsidR="00506216" w:rsidRPr="00A20145">
        <w:rPr>
          <w:rFonts w:ascii="Times New Roman" w:hAnsi="Times New Roman" w:cs="Times New Roman"/>
          <w:b/>
          <w:bCs/>
          <w:sz w:val="26"/>
          <w:szCs w:val="26"/>
        </w:rPr>
        <w:t xml:space="preserve">: </w:t>
      </w:r>
      <w:r w:rsidR="00113B03" w:rsidRPr="00A20145">
        <w:rPr>
          <w:rFonts w:ascii="Times New Roman" w:hAnsi="Times New Roman" w:cs="Times New Roman"/>
          <w:b/>
          <w:bCs/>
          <w:sz w:val="26"/>
          <w:szCs w:val="26"/>
        </w:rPr>
        <w:t>Add Section 69.265(11) – Collection activity</w:t>
      </w:r>
      <w:r w:rsidR="00DD7907">
        <w:rPr>
          <w:rFonts w:ascii="Times New Roman" w:hAnsi="Times New Roman" w:cs="Times New Roman"/>
          <w:b/>
          <w:bCs/>
          <w:sz w:val="26"/>
          <w:szCs w:val="26"/>
        </w:rPr>
        <w:t xml:space="preserve">; amend </w:t>
      </w:r>
      <w:r w:rsidR="0045077A">
        <w:rPr>
          <w:rFonts w:ascii="Times New Roman" w:hAnsi="Times New Roman" w:cs="Times New Roman"/>
          <w:b/>
          <w:bCs/>
          <w:sz w:val="26"/>
          <w:szCs w:val="26"/>
        </w:rPr>
        <w:t>69.265(9)(i) to remove certain default provisions.</w:t>
      </w:r>
    </w:p>
    <w:p w14:paraId="30D687BC" w14:textId="77777777" w:rsidR="00504E74" w:rsidRPr="00A20145" w:rsidRDefault="00504E74" w:rsidP="009A3B4B">
      <w:pPr>
        <w:spacing w:after="120" w:line="240" w:lineRule="auto"/>
        <w:contextualSpacing/>
        <w:rPr>
          <w:rFonts w:ascii="Times New Roman" w:hAnsi="Times New Roman" w:cs="Times New Roman"/>
          <w:b/>
          <w:bCs/>
          <w:sz w:val="26"/>
          <w:szCs w:val="26"/>
        </w:rPr>
      </w:pPr>
    </w:p>
    <w:p w14:paraId="62BD0BB0" w14:textId="408EBF62" w:rsidR="003273BE" w:rsidRPr="00C80D3A" w:rsidRDefault="00113B03" w:rsidP="00FF4FFD">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1445C6" w:rsidRPr="00C80D3A">
        <w:rPr>
          <w:rFonts w:ascii="Times New Roman" w:hAnsi="Times New Roman" w:cs="Times New Roman"/>
          <w:sz w:val="26"/>
          <w:szCs w:val="26"/>
        </w:rPr>
        <w:t>C</w:t>
      </w:r>
      <w:r w:rsidR="0007697F" w:rsidRPr="00C80D3A">
        <w:rPr>
          <w:rFonts w:ascii="Times New Roman" w:hAnsi="Times New Roman" w:cs="Times New Roman"/>
          <w:sz w:val="26"/>
          <w:szCs w:val="26"/>
        </w:rPr>
        <w:t xml:space="preserve">onsistent with the discussion above, this Order </w:t>
      </w:r>
      <w:r w:rsidR="00601931" w:rsidRPr="00C80D3A">
        <w:rPr>
          <w:rFonts w:ascii="Times New Roman" w:hAnsi="Times New Roman" w:cs="Times New Roman"/>
          <w:sz w:val="26"/>
          <w:szCs w:val="26"/>
        </w:rPr>
        <w:t xml:space="preserve">amends </w:t>
      </w:r>
      <w:r w:rsidRPr="00C80D3A">
        <w:rPr>
          <w:rFonts w:ascii="Times New Roman" w:hAnsi="Times New Roman" w:cs="Times New Roman"/>
          <w:sz w:val="26"/>
          <w:szCs w:val="26"/>
        </w:rPr>
        <w:t xml:space="preserve">Section 69.265 of </w:t>
      </w:r>
      <w:r w:rsidR="0007697F" w:rsidRPr="00C80D3A">
        <w:rPr>
          <w:rFonts w:ascii="Times New Roman" w:hAnsi="Times New Roman" w:cs="Times New Roman"/>
          <w:sz w:val="26"/>
          <w:szCs w:val="26"/>
        </w:rPr>
        <w:t xml:space="preserve">the CAP Policy Statement as indicated in </w:t>
      </w:r>
      <w:r w:rsidR="00B769AE" w:rsidRPr="00C80D3A">
        <w:rPr>
          <w:rFonts w:ascii="Times New Roman" w:hAnsi="Times New Roman" w:cs="Times New Roman"/>
          <w:sz w:val="26"/>
          <w:szCs w:val="26"/>
        </w:rPr>
        <w:t>Annex</w:t>
      </w:r>
      <w:r w:rsidR="0007697F" w:rsidRPr="00C80D3A">
        <w:rPr>
          <w:rFonts w:ascii="Times New Roman" w:hAnsi="Times New Roman" w:cs="Times New Roman"/>
          <w:sz w:val="26"/>
          <w:szCs w:val="26"/>
        </w:rPr>
        <w:t xml:space="preserve"> </w:t>
      </w:r>
      <w:r w:rsidR="00601931" w:rsidRPr="00C80D3A">
        <w:rPr>
          <w:rFonts w:ascii="Times New Roman" w:hAnsi="Times New Roman" w:cs="Times New Roman"/>
          <w:sz w:val="26"/>
          <w:szCs w:val="26"/>
        </w:rPr>
        <w:t xml:space="preserve">A </w:t>
      </w:r>
      <w:r w:rsidR="0007697F" w:rsidRPr="00C80D3A">
        <w:rPr>
          <w:rFonts w:ascii="Times New Roman" w:hAnsi="Times New Roman" w:cs="Times New Roman"/>
          <w:sz w:val="26"/>
          <w:szCs w:val="26"/>
        </w:rPr>
        <w:t xml:space="preserve">to address </w:t>
      </w:r>
      <w:r w:rsidR="00233B63" w:rsidRPr="00C80D3A">
        <w:rPr>
          <w:rFonts w:ascii="Times New Roman" w:hAnsi="Times New Roman" w:cs="Times New Roman"/>
          <w:sz w:val="26"/>
          <w:szCs w:val="26"/>
        </w:rPr>
        <w:t xml:space="preserve">CAP </w:t>
      </w:r>
      <w:r w:rsidR="00920456" w:rsidRPr="00C80D3A">
        <w:rPr>
          <w:rFonts w:ascii="Times New Roman" w:hAnsi="Times New Roman" w:cs="Times New Roman"/>
          <w:sz w:val="26"/>
          <w:szCs w:val="26"/>
        </w:rPr>
        <w:t xml:space="preserve">collection and </w:t>
      </w:r>
      <w:r w:rsidR="00233B63" w:rsidRPr="00C80D3A">
        <w:rPr>
          <w:rFonts w:ascii="Times New Roman" w:hAnsi="Times New Roman" w:cs="Times New Roman"/>
          <w:sz w:val="26"/>
          <w:szCs w:val="26"/>
        </w:rPr>
        <w:t>termination procedures.</w:t>
      </w:r>
      <w:r w:rsidR="0007697F" w:rsidRPr="00C80D3A">
        <w:rPr>
          <w:rFonts w:ascii="Times New Roman" w:hAnsi="Times New Roman" w:cs="Times New Roman"/>
          <w:sz w:val="26"/>
          <w:szCs w:val="26"/>
        </w:rPr>
        <w:t xml:space="preserve">  </w:t>
      </w:r>
      <w:r w:rsidR="00475F9E" w:rsidRPr="00C80D3A">
        <w:rPr>
          <w:rFonts w:ascii="Times New Roman" w:hAnsi="Times New Roman" w:cs="Times New Roman"/>
          <w:sz w:val="26"/>
          <w:szCs w:val="26"/>
        </w:rPr>
        <w:t>E</w:t>
      </w:r>
      <w:r w:rsidR="00233B63" w:rsidRPr="00C80D3A">
        <w:rPr>
          <w:rFonts w:ascii="Times New Roman" w:hAnsi="Times New Roman" w:cs="Times New Roman"/>
          <w:sz w:val="26"/>
          <w:szCs w:val="26"/>
        </w:rPr>
        <w:t xml:space="preserve">xcept in circumstances where </w:t>
      </w:r>
      <w:r w:rsidR="00F83D8F" w:rsidRPr="00C80D3A">
        <w:rPr>
          <w:rFonts w:ascii="Times New Roman" w:hAnsi="Times New Roman" w:cs="Times New Roman"/>
          <w:sz w:val="26"/>
          <w:szCs w:val="26"/>
        </w:rPr>
        <w:t>medical</w:t>
      </w:r>
      <w:r w:rsidR="00E62AA6" w:rsidRPr="00C80D3A">
        <w:rPr>
          <w:rFonts w:ascii="Times New Roman" w:hAnsi="Times New Roman" w:cs="Times New Roman"/>
          <w:sz w:val="26"/>
          <w:szCs w:val="26"/>
        </w:rPr>
        <w:t xml:space="preserve"> certificate</w:t>
      </w:r>
      <w:r w:rsidR="00F83D8F" w:rsidRPr="00C80D3A">
        <w:rPr>
          <w:rStyle w:val="FootnoteReference"/>
          <w:rFonts w:ascii="Times New Roman" w:hAnsi="Times New Roman" w:cs="Times New Roman"/>
          <w:sz w:val="26"/>
          <w:szCs w:val="26"/>
        </w:rPr>
        <w:footnoteReference w:id="117"/>
      </w:r>
      <w:r w:rsidR="00F83D8F" w:rsidRPr="00C80D3A">
        <w:rPr>
          <w:rFonts w:ascii="Times New Roman" w:hAnsi="Times New Roman" w:cs="Times New Roman"/>
          <w:sz w:val="26"/>
          <w:szCs w:val="26"/>
        </w:rPr>
        <w:t xml:space="preserve"> and </w:t>
      </w:r>
      <w:r w:rsidR="00233B63" w:rsidRPr="00C80D3A">
        <w:rPr>
          <w:rFonts w:ascii="Times New Roman" w:hAnsi="Times New Roman" w:cs="Times New Roman"/>
          <w:sz w:val="26"/>
          <w:szCs w:val="26"/>
        </w:rPr>
        <w:t>winter termination</w:t>
      </w:r>
      <w:r w:rsidR="003A1B55" w:rsidRPr="00C80D3A">
        <w:rPr>
          <w:rStyle w:val="FootnoteReference"/>
          <w:rFonts w:ascii="Times New Roman" w:hAnsi="Times New Roman" w:cs="Times New Roman"/>
          <w:sz w:val="26"/>
          <w:szCs w:val="26"/>
        </w:rPr>
        <w:footnoteReference w:id="118"/>
      </w:r>
      <w:r w:rsidR="00233B63" w:rsidRPr="00C80D3A">
        <w:rPr>
          <w:rFonts w:ascii="Times New Roman" w:hAnsi="Times New Roman" w:cs="Times New Roman"/>
          <w:sz w:val="26"/>
          <w:szCs w:val="26"/>
        </w:rPr>
        <w:t xml:space="preserve"> procedures apply, </w:t>
      </w:r>
      <w:r w:rsidR="00D21B1A" w:rsidRPr="00C80D3A">
        <w:rPr>
          <w:rFonts w:ascii="Times New Roman" w:hAnsi="Times New Roman" w:cs="Times New Roman"/>
          <w:sz w:val="26"/>
          <w:szCs w:val="26"/>
        </w:rPr>
        <w:t>utilit</w:t>
      </w:r>
      <w:r w:rsidR="00AB358B" w:rsidRPr="00C80D3A">
        <w:rPr>
          <w:rFonts w:ascii="Times New Roman" w:hAnsi="Times New Roman" w:cs="Times New Roman"/>
          <w:sz w:val="26"/>
          <w:szCs w:val="26"/>
        </w:rPr>
        <w:t xml:space="preserve">ies </w:t>
      </w:r>
      <w:r w:rsidR="00194EEA" w:rsidRPr="00C80D3A">
        <w:rPr>
          <w:rFonts w:ascii="Times New Roman" w:hAnsi="Times New Roman" w:cs="Times New Roman"/>
          <w:sz w:val="26"/>
          <w:szCs w:val="26"/>
        </w:rPr>
        <w:t>should</w:t>
      </w:r>
      <w:r w:rsidR="00703D5C" w:rsidRPr="00C80D3A">
        <w:rPr>
          <w:rFonts w:ascii="Times New Roman" w:hAnsi="Times New Roman" w:cs="Times New Roman"/>
          <w:sz w:val="26"/>
          <w:szCs w:val="26"/>
        </w:rPr>
        <w:t>, at a minimum,</w:t>
      </w:r>
      <w:r w:rsidR="00194EEA" w:rsidRPr="00C80D3A">
        <w:rPr>
          <w:rFonts w:ascii="Times New Roman" w:hAnsi="Times New Roman" w:cs="Times New Roman"/>
          <w:sz w:val="26"/>
          <w:szCs w:val="26"/>
        </w:rPr>
        <w:t xml:space="preserve"> </w:t>
      </w:r>
      <w:r w:rsidR="00AB358B" w:rsidRPr="00C80D3A">
        <w:rPr>
          <w:rFonts w:ascii="Times New Roman" w:hAnsi="Times New Roman" w:cs="Times New Roman"/>
          <w:sz w:val="26"/>
          <w:szCs w:val="26"/>
        </w:rPr>
        <w:t>initiate their</w:t>
      </w:r>
      <w:r w:rsidR="00D21B1A" w:rsidRPr="00C80D3A">
        <w:rPr>
          <w:rFonts w:ascii="Times New Roman" w:hAnsi="Times New Roman" w:cs="Times New Roman"/>
          <w:sz w:val="26"/>
          <w:szCs w:val="26"/>
        </w:rPr>
        <w:t xml:space="preserve"> </w:t>
      </w:r>
      <w:r w:rsidR="00AB358B" w:rsidRPr="00C80D3A">
        <w:rPr>
          <w:rFonts w:ascii="Times New Roman" w:hAnsi="Times New Roman" w:cs="Times New Roman"/>
          <w:sz w:val="26"/>
          <w:szCs w:val="26"/>
        </w:rPr>
        <w:t xml:space="preserve">overdue CAP </w:t>
      </w:r>
      <w:r w:rsidR="00D21B1A" w:rsidRPr="00C80D3A">
        <w:rPr>
          <w:rFonts w:ascii="Times New Roman" w:hAnsi="Times New Roman" w:cs="Times New Roman"/>
          <w:sz w:val="26"/>
          <w:szCs w:val="26"/>
        </w:rPr>
        <w:t xml:space="preserve">account </w:t>
      </w:r>
      <w:r w:rsidR="00AB358B" w:rsidRPr="00C80D3A">
        <w:rPr>
          <w:rFonts w:ascii="Times New Roman" w:hAnsi="Times New Roman" w:cs="Times New Roman"/>
          <w:sz w:val="26"/>
          <w:szCs w:val="26"/>
        </w:rPr>
        <w:t xml:space="preserve">collection and </w:t>
      </w:r>
      <w:r w:rsidR="00475F9E" w:rsidRPr="00C80D3A">
        <w:rPr>
          <w:rFonts w:ascii="Times New Roman" w:hAnsi="Times New Roman" w:cs="Times New Roman"/>
          <w:sz w:val="26"/>
          <w:szCs w:val="26"/>
        </w:rPr>
        <w:t xml:space="preserve">termination </w:t>
      </w:r>
      <w:r w:rsidR="00D21B1A" w:rsidRPr="00C80D3A">
        <w:rPr>
          <w:rFonts w:ascii="Times New Roman" w:hAnsi="Times New Roman" w:cs="Times New Roman"/>
          <w:sz w:val="26"/>
          <w:szCs w:val="26"/>
        </w:rPr>
        <w:t>process</w:t>
      </w:r>
      <w:r w:rsidR="00AB358B" w:rsidRPr="00C80D3A">
        <w:rPr>
          <w:rFonts w:ascii="Times New Roman" w:hAnsi="Times New Roman" w:cs="Times New Roman"/>
          <w:sz w:val="26"/>
          <w:szCs w:val="26"/>
        </w:rPr>
        <w:t>es</w:t>
      </w:r>
      <w:r w:rsidR="00D21B1A" w:rsidRPr="00C80D3A">
        <w:rPr>
          <w:rFonts w:ascii="Times New Roman" w:hAnsi="Times New Roman" w:cs="Times New Roman"/>
          <w:sz w:val="26"/>
          <w:szCs w:val="26"/>
        </w:rPr>
        <w:t xml:space="preserve"> </w:t>
      </w:r>
      <w:r w:rsidR="00194EEA" w:rsidRPr="00C80D3A">
        <w:rPr>
          <w:rFonts w:ascii="Times New Roman" w:hAnsi="Times New Roman" w:cs="Times New Roman"/>
          <w:sz w:val="26"/>
          <w:szCs w:val="26"/>
        </w:rPr>
        <w:t xml:space="preserve">when a customer is behind </w:t>
      </w:r>
      <w:r w:rsidR="002858FE" w:rsidRPr="00C80D3A">
        <w:rPr>
          <w:rFonts w:ascii="Times New Roman" w:hAnsi="Times New Roman" w:cs="Times New Roman"/>
          <w:sz w:val="26"/>
          <w:szCs w:val="26"/>
        </w:rPr>
        <w:t>two CAP payments</w:t>
      </w:r>
      <w:r w:rsidR="007A37FC" w:rsidRPr="00C80D3A">
        <w:rPr>
          <w:rFonts w:ascii="Times New Roman" w:hAnsi="Times New Roman" w:cs="Times New Roman"/>
          <w:sz w:val="26"/>
          <w:szCs w:val="26"/>
        </w:rPr>
        <w:t xml:space="preserve">. </w:t>
      </w:r>
      <w:r w:rsidR="00D21B1A" w:rsidRPr="00C80D3A">
        <w:rPr>
          <w:rFonts w:ascii="Times New Roman" w:hAnsi="Times New Roman" w:cs="Times New Roman"/>
          <w:sz w:val="26"/>
          <w:szCs w:val="26"/>
        </w:rPr>
        <w:t xml:space="preserve"> </w:t>
      </w:r>
      <w:r w:rsidR="002F5380" w:rsidRPr="00C80D3A">
        <w:rPr>
          <w:rFonts w:ascii="Times New Roman" w:hAnsi="Times New Roman" w:cs="Times New Roman"/>
          <w:sz w:val="26"/>
          <w:szCs w:val="26"/>
        </w:rPr>
        <w:t xml:space="preserve">Utilities </w:t>
      </w:r>
      <w:r w:rsidR="00B769AE" w:rsidRPr="00C80D3A">
        <w:rPr>
          <w:rFonts w:ascii="Times New Roman" w:hAnsi="Times New Roman" w:cs="Times New Roman"/>
          <w:sz w:val="26"/>
          <w:szCs w:val="26"/>
        </w:rPr>
        <w:t xml:space="preserve">should </w:t>
      </w:r>
      <w:r w:rsidR="002F5380" w:rsidRPr="00C80D3A">
        <w:rPr>
          <w:rFonts w:ascii="Times New Roman" w:hAnsi="Times New Roman" w:cs="Times New Roman"/>
          <w:sz w:val="26"/>
          <w:szCs w:val="26"/>
        </w:rPr>
        <w:t>not</w:t>
      </w:r>
      <w:r w:rsidR="00AB358B" w:rsidRPr="00C80D3A">
        <w:rPr>
          <w:rFonts w:ascii="Times New Roman" w:hAnsi="Times New Roman" w:cs="Times New Roman"/>
          <w:sz w:val="26"/>
          <w:szCs w:val="26"/>
        </w:rPr>
        <w:t>, however,</w:t>
      </w:r>
      <w:r w:rsidR="002F5380" w:rsidRPr="00C80D3A">
        <w:rPr>
          <w:rFonts w:ascii="Times New Roman" w:hAnsi="Times New Roman" w:cs="Times New Roman"/>
          <w:sz w:val="26"/>
          <w:szCs w:val="26"/>
        </w:rPr>
        <w:t xml:space="preserve"> remove</w:t>
      </w:r>
      <w:r w:rsidR="007474DF" w:rsidRPr="00C80D3A">
        <w:rPr>
          <w:rFonts w:ascii="Times New Roman" w:hAnsi="Times New Roman" w:cs="Times New Roman"/>
          <w:sz w:val="26"/>
          <w:szCs w:val="26"/>
        </w:rPr>
        <w:t xml:space="preserve"> or </w:t>
      </w:r>
      <w:r w:rsidR="002F5380" w:rsidRPr="00C80D3A">
        <w:rPr>
          <w:rFonts w:ascii="Times New Roman" w:hAnsi="Times New Roman" w:cs="Times New Roman"/>
          <w:sz w:val="26"/>
          <w:szCs w:val="26"/>
        </w:rPr>
        <w:t xml:space="preserve">default customers from CAPs as a precursor or alternative to termination for non-payment.  </w:t>
      </w:r>
    </w:p>
    <w:p w14:paraId="1AABB698" w14:textId="77777777" w:rsidR="003273BE" w:rsidRPr="00C80D3A" w:rsidRDefault="003273BE" w:rsidP="00FF4FFD">
      <w:pPr>
        <w:spacing w:after="0" w:line="360" w:lineRule="auto"/>
        <w:contextualSpacing/>
        <w:rPr>
          <w:rFonts w:ascii="Times New Roman" w:hAnsi="Times New Roman" w:cs="Times New Roman"/>
          <w:sz w:val="26"/>
          <w:szCs w:val="26"/>
        </w:rPr>
      </w:pPr>
    </w:p>
    <w:p w14:paraId="7CBF69E8" w14:textId="3AEF8D58" w:rsidR="00506216" w:rsidRPr="00C80D3A" w:rsidRDefault="00506216" w:rsidP="001E1580">
      <w:pPr>
        <w:pStyle w:val="Heading3"/>
        <w:contextualSpacing/>
        <w:rPr>
          <w:sz w:val="26"/>
          <w:szCs w:val="26"/>
        </w:rPr>
      </w:pPr>
      <w:bookmarkStart w:id="33" w:name="_14._CAP_bills"/>
      <w:bookmarkEnd w:id="33"/>
      <w:r w:rsidRPr="00C80D3A">
        <w:rPr>
          <w:sz w:val="26"/>
          <w:szCs w:val="26"/>
        </w:rPr>
        <w:t>1</w:t>
      </w:r>
      <w:r w:rsidR="00314118" w:rsidRPr="00C80D3A">
        <w:rPr>
          <w:sz w:val="26"/>
          <w:szCs w:val="26"/>
        </w:rPr>
        <w:t>4</w:t>
      </w:r>
      <w:r w:rsidRPr="00C80D3A">
        <w:rPr>
          <w:sz w:val="26"/>
          <w:szCs w:val="26"/>
        </w:rPr>
        <w:t xml:space="preserve">. </w:t>
      </w:r>
      <w:r w:rsidR="00A613A4" w:rsidRPr="00C80D3A">
        <w:rPr>
          <w:sz w:val="26"/>
          <w:szCs w:val="26"/>
        </w:rPr>
        <w:t xml:space="preserve"> </w:t>
      </w:r>
      <w:r w:rsidR="009E4F72" w:rsidRPr="00C80D3A">
        <w:rPr>
          <w:sz w:val="26"/>
          <w:szCs w:val="26"/>
        </w:rPr>
        <w:t>Utilities should evaluate household CAP bills at least quarterly to determine whether the customer</w:t>
      </w:r>
      <w:r w:rsidR="001529C6">
        <w:rPr>
          <w:sz w:val="26"/>
          <w:szCs w:val="26"/>
        </w:rPr>
        <w:t>’</w:t>
      </w:r>
      <w:r w:rsidR="009E4F72" w:rsidRPr="00C80D3A">
        <w:rPr>
          <w:sz w:val="26"/>
          <w:szCs w:val="26"/>
        </w:rPr>
        <w:t>s CAP credit amount or billing method is appropriate</w:t>
      </w:r>
      <w:r w:rsidRPr="00C80D3A">
        <w:rPr>
          <w:sz w:val="26"/>
          <w:szCs w:val="26"/>
        </w:rPr>
        <w:t>.</w:t>
      </w:r>
    </w:p>
    <w:p w14:paraId="564EEFC7" w14:textId="77777777" w:rsidR="00506216" w:rsidRPr="00C80D3A" w:rsidRDefault="00506216" w:rsidP="009A3B4B">
      <w:pPr>
        <w:keepNext/>
        <w:spacing w:after="0" w:line="240" w:lineRule="auto"/>
        <w:contextualSpacing/>
        <w:rPr>
          <w:rFonts w:ascii="Times New Roman" w:hAnsi="Times New Roman" w:cs="Times New Roman"/>
          <w:sz w:val="26"/>
          <w:szCs w:val="26"/>
        </w:rPr>
      </w:pPr>
    </w:p>
    <w:p w14:paraId="2D5180EF" w14:textId="235425D3" w:rsidR="00506216" w:rsidRPr="00C80D3A" w:rsidRDefault="00506216" w:rsidP="00315DBC">
      <w:pPr>
        <w:spacing w:after="0" w:line="360" w:lineRule="auto"/>
        <w:contextualSpacing/>
        <w:rPr>
          <w:rFonts w:ascii="Times New Roman" w:hAnsi="Times New Roman" w:cs="Times New Roman"/>
          <w:color w:val="0D0D0D" w:themeColor="text1" w:themeTint="F2"/>
          <w:sz w:val="26"/>
          <w:szCs w:val="26"/>
        </w:rPr>
      </w:pPr>
      <w:r w:rsidRPr="00C80D3A">
        <w:rPr>
          <w:rFonts w:ascii="Times New Roman" w:hAnsi="Times New Roman" w:cs="Times New Roman"/>
          <w:sz w:val="26"/>
          <w:szCs w:val="26"/>
        </w:rPr>
        <w:tab/>
        <w:t xml:space="preserve">The CAP Policy Statement does not provide guidance on how often EDCs and NGDCs should evaluate customer bills to ensure they are </w:t>
      </w:r>
      <w:r w:rsidRPr="00C80D3A">
        <w:rPr>
          <w:rFonts w:ascii="Times New Roman" w:hAnsi="Times New Roman" w:cs="Times New Roman"/>
          <w:color w:val="0D0D0D" w:themeColor="text1" w:themeTint="F2"/>
          <w:sz w:val="26"/>
          <w:szCs w:val="26"/>
        </w:rPr>
        <w:t>paying the most affordable CAP billing method.  Many CAPs determine the amount of a household</w:t>
      </w:r>
      <w:r w:rsidR="001529C6">
        <w:rPr>
          <w:rFonts w:ascii="Times New Roman" w:hAnsi="Times New Roman" w:cs="Times New Roman"/>
          <w:color w:val="0D0D0D" w:themeColor="text1" w:themeTint="F2"/>
          <w:sz w:val="26"/>
          <w:szCs w:val="26"/>
        </w:rPr>
        <w:t>’</w:t>
      </w:r>
      <w:r w:rsidRPr="00C80D3A">
        <w:rPr>
          <w:rFonts w:ascii="Times New Roman" w:hAnsi="Times New Roman" w:cs="Times New Roman"/>
          <w:color w:val="0D0D0D" w:themeColor="text1" w:themeTint="F2"/>
          <w:sz w:val="26"/>
          <w:szCs w:val="26"/>
        </w:rPr>
        <w:t>s monthly CAP credits or payment method</w:t>
      </w:r>
      <w:r w:rsidRPr="00C80D3A">
        <w:rPr>
          <w:rStyle w:val="FootnoteReference"/>
          <w:rFonts w:ascii="Times New Roman" w:hAnsi="Times New Roman" w:cs="Times New Roman"/>
          <w:color w:val="0D0D0D" w:themeColor="text1" w:themeTint="F2"/>
          <w:sz w:val="26"/>
          <w:szCs w:val="26"/>
        </w:rPr>
        <w:footnoteReference w:id="119"/>
      </w:r>
      <w:r w:rsidRPr="00C80D3A">
        <w:rPr>
          <w:rFonts w:ascii="Times New Roman" w:hAnsi="Times New Roman" w:cs="Times New Roman"/>
          <w:color w:val="0D0D0D" w:themeColor="text1" w:themeTint="F2"/>
          <w:sz w:val="26"/>
          <w:szCs w:val="26"/>
        </w:rPr>
        <w:t xml:space="preserve"> based on their usage history, which can fluctuate over time.  Although all utilities adjust CAP bills when household income is recertified, many utilities also evaluate and adjust customer CAP bills on a more frequent basis.  For example: </w:t>
      </w:r>
    </w:p>
    <w:p w14:paraId="2ACC09EC" w14:textId="77777777" w:rsidR="00506216" w:rsidRPr="00C80D3A" w:rsidRDefault="00506216" w:rsidP="001F63A3">
      <w:pPr>
        <w:spacing w:after="0" w:line="240" w:lineRule="auto"/>
        <w:contextualSpacing/>
        <w:rPr>
          <w:rFonts w:ascii="Times New Roman" w:hAnsi="Times New Roman" w:cs="Times New Roman"/>
          <w:color w:val="0D0D0D" w:themeColor="text1" w:themeTint="F2"/>
          <w:sz w:val="26"/>
          <w:szCs w:val="26"/>
        </w:rPr>
      </w:pPr>
    </w:p>
    <w:p w14:paraId="70A565F1" w14:textId="495CA421" w:rsidR="00506216" w:rsidRPr="00C80D3A" w:rsidRDefault="00506216" w:rsidP="001F63A3">
      <w:pPr>
        <w:pStyle w:val="ListParagraph"/>
        <w:numPr>
          <w:ilvl w:val="0"/>
          <w:numId w:val="13"/>
        </w:numPr>
        <w:ind w:left="1440" w:right="720" w:hanging="720"/>
        <w:rPr>
          <w:color w:val="0D0D0D" w:themeColor="text1" w:themeTint="F2"/>
          <w:sz w:val="26"/>
          <w:szCs w:val="26"/>
        </w:rPr>
      </w:pPr>
      <w:r w:rsidRPr="00C80D3A">
        <w:rPr>
          <w:color w:val="0D0D0D" w:themeColor="text1" w:themeTint="F2"/>
          <w:sz w:val="26"/>
          <w:szCs w:val="26"/>
        </w:rPr>
        <w:t>Peoples reviews CAP customer bills monthly to determine whether PIP or budget billing is more affordable;</w:t>
      </w:r>
      <w:r w:rsidRPr="00C80D3A">
        <w:rPr>
          <w:rStyle w:val="FootnoteReference"/>
          <w:color w:val="0D0D0D" w:themeColor="text1" w:themeTint="F2"/>
          <w:sz w:val="26"/>
          <w:szCs w:val="26"/>
        </w:rPr>
        <w:footnoteReference w:id="120"/>
      </w:r>
    </w:p>
    <w:p w14:paraId="1444CC22" w14:textId="77777777" w:rsidR="00506216" w:rsidRPr="00C80D3A" w:rsidRDefault="00506216" w:rsidP="001F63A3">
      <w:pPr>
        <w:spacing w:after="0" w:line="240" w:lineRule="auto"/>
        <w:ind w:left="1440" w:right="720" w:hanging="720"/>
        <w:contextualSpacing/>
        <w:rPr>
          <w:rFonts w:ascii="Times New Roman" w:hAnsi="Times New Roman" w:cs="Times New Roman"/>
          <w:color w:val="0D0D0D" w:themeColor="text1" w:themeTint="F2"/>
          <w:sz w:val="26"/>
          <w:szCs w:val="26"/>
        </w:rPr>
      </w:pPr>
    </w:p>
    <w:p w14:paraId="2E57F850" w14:textId="0135DB3E" w:rsidR="00506216" w:rsidRPr="00C80D3A" w:rsidRDefault="00506216" w:rsidP="001F63A3">
      <w:pPr>
        <w:pStyle w:val="ListParagraph"/>
        <w:numPr>
          <w:ilvl w:val="0"/>
          <w:numId w:val="13"/>
        </w:numPr>
        <w:ind w:left="1440" w:right="720" w:hanging="720"/>
        <w:rPr>
          <w:sz w:val="26"/>
          <w:szCs w:val="26"/>
        </w:rPr>
      </w:pPr>
      <w:r w:rsidRPr="00C80D3A">
        <w:rPr>
          <w:color w:val="0D0D0D" w:themeColor="text1" w:themeTint="F2"/>
          <w:sz w:val="26"/>
          <w:szCs w:val="26"/>
        </w:rPr>
        <w:t>PECO</w:t>
      </w:r>
      <w:r w:rsidRPr="00C80D3A">
        <w:rPr>
          <w:rStyle w:val="FootnoteReference"/>
          <w:color w:val="0D0D0D" w:themeColor="text1" w:themeTint="F2"/>
          <w:sz w:val="26"/>
          <w:szCs w:val="26"/>
        </w:rPr>
        <w:footnoteReference w:id="121"/>
      </w:r>
      <w:r w:rsidRPr="00C80D3A">
        <w:rPr>
          <w:color w:val="0D0D0D" w:themeColor="text1" w:themeTint="F2"/>
          <w:sz w:val="26"/>
          <w:szCs w:val="26"/>
        </w:rPr>
        <w:t xml:space="preserve"> and the FirstEnergy utilities</w:t>
      </w:r>
      <w:r w:rsidRPr="00C80D3A">
        <w:rPr>
          <w:rStyle w:val="FootnoteReference"/>
          <w:color w:val="0D0D0D" w:themeColor="text1" w:themeTint="F2"/>
          <w:sz w:val="26"/>
          <w:szCs w:val="26"/>
        </w:rPr>
        <w:footnoteReference w:id="122"/>
      </w:r>
      <w:r w:rsidRPr="00C80D3A">
        <w:rPr>
          <w:color w:val="0D0D0D" w:themeColor="text1" w:themeTint="F2"/>
          <w:sz w:val="26"/>
          <w:szCs w:val="26"/>
        </w:rPr>
        <w:t xml:space="preserve"> review customer CAP bills every quarter to recalculate CAP credit allotments.</w:t>
      </w:r>
      <w:r w:rsidR="001174E4" w:rsidRPr="00C80D3A">
        <w:rPr>
          <w:color w:val="0D0D0D" w:themeColor="text1" w:themeTint="F2"/>
          <w:sz w:val="26"/>
          <w:szCs w:val="26"/>
        </w:rPr>
        <w:t xml:space="preserve">  </w:t>
      </w:r>
      <w:r w:rsidR="001174E4" w:rsidRPr="00C80D3A">
        <w:rPr>
          <w:sz w:val="26"/>
          <w:szCs w:val="26"/>
        </w:rPr>
        <w:t>PECO and FE calculate the amount of CAP credits a customer should receive annually.  They re-calculate this amount every month based on new usage information.</w:t>
      </w:r>
    </w:p>
    <w:p w14:paraId="7FDDE53B" w14:textId="77777777" w:rsidR="00506216" w:rsidRPr="00C80D3A" w:rsidRDefault="00506216" w:rsidP="001F63A3">
      <w:pPr>
        <w:spacing w:after="0" w:line="360" w:lineRule="auto"/>
        <w:ind w:right="720"/>
        <w:contextualSpacing/>
        <w:rPr>
          <w:rFonts w:ascii="Times New Roman" w:hAnsi="Times New Roman" w:cs="Times New Roman"/>
          <w:sz w:val="26"/>
          <w:szCs w:val="26"/>
        </w:rPr>
      </w:pPr>
    </w:p>
    <w:p w14:paraId="7EB01645" w14:textId="62CC4A27" w:rsidR="00506216" w:rsidRPr="00C80D3A" w:rsidRDefault="00876D5B"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w:t>
      </w:r>
      <w:r w:rsidR="00506216" w:rsidRPr="00C80D3A">
        <w:rPr>
          <w:rFonts w:ascii="Times New Roman" w:hAnsi="Times New Roman" w:cs="Times New Roman"/>
          <w:sz w:val="26"/>
          <w:szCs w:val="26"/>
        </w:rPr>
        <w:t xml:space="preserve">his issue was not addressed in the </w:t>
      </w:r>
      <w:r w:rsidR="00506216" w:rsidRPr="00C80D3A">
        <w:rPr>
          <w:rFonts w:ascii="Times New Roman" w:hAnsi="Times New Roman" w:cs="Times New Roman"/>
          <w:i/>
          <w:iCs/>
          <w:sz w:val="26"/>
          <w:szCs w:val="26"/>
        </w:rPr>
        <w:t>Review</w:t>
      </w:r>
      <w:r w:rsidR="00506216" w:rsidRPr="00C80D3A">
        <w:rPr>
          <w:rFonts w:ascii="Times New Roman" w:hAnsi="Times New Roman" w:cs="Times New Roman"/>
          <w:sz w:val="26"/>
          <w:szCs w:val="26"/>
        </w:rPr>
        <w:t xml:space="preserve"> or </w:t>
      </w:r>
      <w:r w:rsidR="00506216" w:rsidRPr="00C80D3A">
        <w:rPr>
          <w:rFonts w:ascii="Times New Roman" w:hAnsi="Times New Roman" w:cs="Times New Roman"/>
          <w:i/>
          <w:iCs/>
          <w:sz w:val="26"/>
          <w:szCs w:val="26"/>
        </w:rPr>
        <w:t>Energy Affordability</w:t>
      </w:r>
      <w:r w:rsidR="00506216" w:rsidRPr="00C80D3A">
        <w:rPr>
          <w:rFonts w:ascii="Times New Roman" w:hAnsi="Times New Roman" w:cs="Times New Roman"/>
          <w:sz w:val="26"/>
          <w:szCs w:val="26"/>
        </w:rPr>
        <w:t xml:space="preserve"> proceedings</w:t>
      </w:r>
      <w:r w:rsidRPr="00C80D3A">
        <w:rPr>
          <w:rFonts w:ascii="Times New Roman" w:hAnsi="Times New Roman" w:cs="Times New Roman"/>
          <w:sz w:val="26"/>
          <w:szCs w:val="26"/>
        </w:rPr>
        <w:t>.  T</w:t>
      </w:r>
      <w:r w:rsidR="00506216" w:rsidRPr="00C80D3A">
        <w:rPr>
          <w:rFonts w:ascii="Times New Roman" w:hAnsi="Times New Roman" w:cs="Times New Roman"/>
          <w:sz w:val="26"/>
          <w:szCs w:val="26"/>
        </w:rPr>
        <w:t xml:space="preserve">he Commission </w:t>
      </w:r>
      <w:r w:rsidR="00334A2C" w:rsidRPr="00C80D3A">
        <w:rPr>
          <w:rFonts w:ascii="Times New Roman" w:hAnsi="Times New Roman" w:cs="Times New Roman"/>
          <w:sz w:val="26"/>
          <w:szCs w:val="26"/>
        </w:rPr>
        <w:t xml:space="preserve">recently </w:t>
      </w:r>
      <w:r w:rsidR="00506216" w:rsidRPr="00C80D3A">
        <w:rPr>
          <w:rFonts w:ascii="Times New Roman" w:hAnsi="Times New Roman" w:cs="Times New Roman"/>
          <w:sz w:val="26"/>
          <w:szCs w:val="26"/>
        </w:rPr>
        <w:t>direct</w:t>
      </w:r>
      <w:r w:rsidR="00334A2C" w:rsidRPr="00C80D3A">
        <w:rPr>
          <w:rFonts w:ascii="Times New Roman" w:hAnsi="Times New Roman" w:cs="Times New Roman"/>
          <w:sz w:val="26"/>
          <w:szCs w:val="26"/>
        </w:rPr>
        <w:t>ed</w:t>
      </w:r>
      <w:r w:rsidR="00506216" w:rsidRPr="00C80D3A">
        <w:rPr>
          <w:rFonts w:ascii="Times New Roman" w:hAnsi="Times New Roman" w:cs="Times New Roman"/>
          <w:sz w:val="26"/>
          <w:szCs w:val="26"/>
        </w:rPr>
        <w:t xml:space="preserve"> UGI to </w:t>
      </w:r>
      <w:r w:rsidR="00506216" w:rsidRPr="00C80D3A">
        <w:rPr>
          <w:rFonts w:ascii="Times New Roman" w:hAnsi="Times New Roman" w:cs="Times New Roman"/>
          <w:color w:val="0D0D0D" w:themeColor="text1" w:themeTint="F2"/>
          <w:sz w:val="26"/>
          <w:szCs w:val="26"/>
        </w:rPr>
        <w:t>evaluate customer CAP bills at least once per quarter to ensure participants are being billed the most affordable option (</w:t>
      </w:r>
      <w:r w:rsidR="00506216" w:rsidRPr="00C80D3A">
        <w:rPr>
          <w:rFonts w:ascii="Times New Roman" w:hAnsi="Times New Roman" w:cs="Times New Roman"/>
          <w:i/>
          <w:iCs/>
          <w:color w:val="0D0D0D" w:themeColor="text1" w:themeTint="F2"/>
          <w:sz w:val="26"/>
          <w:szCs w:val="26"/>
        </w:rPr>
        <w:t>i.e.</w:t>
      </w:r>
      <w:r w:rsidR="00506216" w:rsidRPr="00C80D3A">
        <w:rPr>
          <w:rFonts w:ascii="Times New Roman" w:hAnsi="Times New Roman" w:cs="Times New Roman"/>
          <w:color w:val="0D0D0D" w:themeColor="text1" w:themeTint="F2"/>
          <w:sz w:val="26"/>
          <w:szCs w:val="26"/>
        </w:rPr>
        <w:t>, PIP or average annual bill)</w:t>
      </w:r>
      <w:r w:rsidR="00506216" w:rsidRPr="00C80D3A">
        <w:rPr>
          <w:rFonts w:ascii="Times New Roman" w:hAnsi="Times New Roman" w:cs="Times New Roman"/>
          <w:sz w:val="26"/>
          <w:szCs w:val="26"/>
        </w:rPr>
        <w:t xml:space="preserve">.  </w:t>
      </w:r>
      <w:r w:rsidR="00506216" w:rsidRPr="00C80D3A">
        <w:rPr>
          <w:rFonts w:ascii="Times New Roman" w:hAnsi="Times New Roman" w:cs="Times New Roman"/>
          <w:i/>
          <w:iCs/>
          <w:sz w:val="26"/>
          <w:szCs w:val="26"/>
        </w:rPr>
        <w:t>See</w:t>
      </w:r>
      <w:r w:rsidR="00506216" w:rsidRPr="00C80D3A">
        <w:rPr>
          <w:rFonts w:ascii="Times New Roman" w:hAnsi="Times New Roman" w:cs="Times New Roman"/>
          <w:iCs/>
          <w:sz w:val="26"/>
          <w:szCs w:val="26"/>
        </w:rPr>
        <w:t xml:space="preserve"> </w:t>
      </w:r>
      <w:r w:rsidR="00506216" w:rsidRPr="00C80D3A">
        <w:rPr>
          <w:rFonts w:ascii="Times New Roman" w:hAnsi="Times New Roman" w:cs="Times New Roman"/>
          <w:i/>
          <w:iCs/>
          <w:sz w:val="26"/>
          <w:szCs w:val="26"/>
        </w:rPr>
        <w:t>UGI 2018-2020 USECP Order,</w:t>
      </w:r>
      <w:r w:rsidR="00506216" w:rsidRPr="00C80D3A">
        <w:rPr>
          <w:rFonts w:ascii="Times New Roman" w:hAnsi="Times New Roman" w:cs="Times New Roman"/>
          <w:sz w:val="26"/>
          <w:szCs w:val="26"/>
        </w:rPr>
        <w:t xml:space="preserve"> Docket Nos. M</w:t>
      </w:r>
      <w:r w:rsidR="00D25753" w:rsidRPr="00C80D3A">
        <w:rPr>
          <w:rFonts w:ascii="Times New Roman" w:hAnsi="Times New Roman" w:cs="Times New Roman"/>
          <w:sz w:val="26"/>
          <w:szCs w:val="26"/>
        </w:rPr>
        <w:noBreakHyphen/>
      </w:r>
      <w:r w:rsidR="00506216" w:rsidRPr="00C80D3A">
        <w:rPr>
          <w:rFonts w:ascii="Times New Roman" w:hAnsi="Times New Roman" w:cs="Times New Roman"/>
          <w:sz w:val="26"/>
          <w:szCs w:val="26"/>
        </w:rPr>
        <w:t>2017-2598190, M-2017-2637094, M-2017-2637095, and M-2017-2637098 (</w:t>
      </w:r>
      <w:r w:rsidR="00334A2C" w:rsidRPr="00C80D3A">
        <w:rPr>
          <w:rFonts w:ascii="Times New Roman" w:hAnsi="Times New Roman" w:cs="Times New Roman"/>
          <w:sz w:val="26"/>
          <w:szCs w:val="26"/>
        </w:rPr>
        <w:t>order entered on</w:t>
      </w:r>
      <w:r w:rsidR="00506216" w:rsidRPr="00C80D3A">
        <w:rPr>
          <w:rFonts w:ascii="Times New Roman" w:hAnsi="Times New Roman" w:cs="Times New Roman"/>
          <w:sz w:val="26"/>
          <w:szCs w:val="26"/>
        </w:rPr>
        <w:t xml:space="preserve"> August 8, 2019)</w:t>
      </w:r>
      <w:r w:rsidR="00FD7E5B" w:rsidRPr="00C80D3A">
        <w:rPr>
          <w:rFonts w:ascii="Times New Roman" w:hAnsi="Times New Roman" w:cs="Times New Roman"/>
          <w:sz w:val="26"/>
          <w:szCs w:val="26"/>
        </w:rPr>
        <w:t>,</w:t>
      </w:r>
      <w:r w:rsidR="00506216" w:rsidRPr="00C80D3A">
        <w:rPr>
          <w:rFonts w:ascii="Times New Roman" w:hAnsi="Times New Roman" w:cs="Times New Roman"/>
          <w:sz w:val="26"/>
          <w:szCs w:val="26"/>
        </w:rPr>
        <w:t xml:space="preserve"> at 50</w:t>
      </w:r>
      <w:r w:rsidR="006A1381" w:rsidRPr="00C80D3A">
        <w:rPr>
          <w:rFonts w:ascii="Times New Roman" w:hAnsi="Times New Roman" w:cs="Times New Roman"/>
          <w:sz w:val="26"/>
          <w:szCs w:val="26"/>
        </w:rPr>
        <w:t>–</w:t>
      </w:r>
      <w:r w:rsidR="00506216" w:rsidRPr="00C80D3A">
        <w:rPr>
          <w:rFonts w:ascii="Times New Roman" w:hAnsi="Times New Roman" w:cs="Times New Roman"/>
          <w:sz w:val="26"/>
          <w:szCs w:val="26"/>
        </w:rPr>
        <w:t xml:space="preserve">52. </w:t>
      </w:r>
    </w:p>
    <w:p w14:paraId="44534F6D" w14:textId="77777777" w:rsidR="00506216" w:rsidRPr="00C80D3A" w:rsidRDefault="00506216" w:rsidP="00315DBC">
      <w:pPr>
        <w:spacing w:after="0" w:line="360" w:lineRule="auto"/>
        <w:contextualSpacing/>
        <w:rPr>
          <w:rFonts w:ascii="Times New Roman" w:hAnsi="Times New Roman" w:cs="Times New Roman"/>
          <w:sz w:val="26"/>
          <w:szCs w:val="26"/>
        </w:rPr>
      </w:pPr>
    </w:p>
    <w:p w14:paraId="4B1AD3E6" w14:textId="77777777" w:rsidR="00506216" w:rsidRPr="00C80D3A" w:rsidRDefault="00506216" w:rsidP="001E1580">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Discussion</w:t>
      </w:r>
    </w:p>
    <w:p w14:paraId="3750C806" w14:textId="37E79EFA" w:rsidR="00506216" w:rsidRPr="00C80D3A" w:rsidRDefault="00506216" w:rsidP="00315DBC">
      <w:pPr>
        <w:spacing w:after="0" w:line="360" w:lineRule="auto"/>
        <w:contextualSpacing/>
        <w:rPr>
          <w:rFonts w:ascii="Times New Roman" w:hAnsi="Times New Roman" w:cs="Times New Roman"/>
          <w:color w:val="0D0D0D" w:themeColor="text1" w:themeTint="F2"/>
          <w:sz w:val="26"/>
          <w:szCs w:val="26"/>
        </w:rPr>
      </w:pPr>
      <w:r w:rsidRPr="00C80D3A">
        <w:rPr>
          <w:rFonts w:ascii="Times New Roman" w:hAnsi="Times New Roman" w:cs="Times New Roman"/>
          <w:color w:val="0D0D0D" w:themeColor="text1" w:themeTint="F2"/>
          <w:sz w:val="26"/>
          <w:szCs w:val="26"/>
        </w:rPr>
        <w:tab/>
      </w:r>
      <w:r w:rsidR="00B916E3" w:rsidRPr="00C80D3A">
        <w:rPr>
          <w:rFonts w:ascii="Times New Roman" w:hAnsi="Times New Roman" w:cs="Times New Roman"/>
          <w:color w:val="0D0D0D" w:themeColor="text1" w:themeTint="F2"/>
          <w:sz w:val="26"/>
          <w:szCs w:val="26"/>
        </w:rPr>
        <w:t>We</w:t>
      </w:r>
      <w:r w:rsidR="00115EAB" w:rsidRPr="00C80D3A">
        <w:rPr>
          <w:rFonts w:ascii="Times New Roman" w:hAnsi="Times New Roman" w:cs="Times New Roman"/>
          <w:color w:val="0D0D0D" w:themeColor="text1" w:themeTint="F2"/>
          <w:sz w:val="26"/>
          <w:szCs w:val="26"/>
        </w:rPr>
        <w:t xml:space="preserve"> </w:t>
      </w:r>
      <w:r w:rsidR="009E2DBE" w:rsidRPr="00C80D3A">
        <w:rPr>
          <w:rFonts w:ascii="Times New Roman" w:hAnsi="Times New Roman" w:cs="Times New Roman"/>
          <w:color w:val="0D0D0D" w:themeColor="text1" w:themeTint="F2"/>
          <w:sz w:val="26"/>
          <w:szCs w:val="26"/>
        </w:rPr>
        <w:t xml:space="preserve">find </w:t>
      </w:r>
      <w:r w:rsidRPr="00C80D3A">
        <w:rPr>
          <w:rFonts w:ascii="Times New Roman" w:hAnsi="Times New Roman" w:cs="Times New Roman"/>
          <w:color w:val="0D0D0D" w:themeColor="text1" w:themeTint="F2"/>
          <w:sz w:val="26"/>
          <w:szCs w:val="26"/>
        </w:rPr>
        <w:t xml:space="preserve">that </w:t>
      </w:r>
      <w:r w:rsidR="00741940" w:rsidRPr="00C80D3A">
        <w:rPr>
          <w:rFonts w:ascii="Times New Roman" w:hAnsi="Times New Roman" w:cs="Times New Roman"/>
          <w:color w:val="0D0D0D" w:themeColor="text1" w:themeTint="F2"/>
          <w:sz w:val="26"/>
          <w:szCs w:val="26"/>
        </w:rPr>
        <w:t xml:space="preserve">evaluating </w:t>
      </w:r>
      <w:r w:rsidRPr="00C80D3A">
        <w:rPr>
          <w:rFonts w:ascii="Times New Roman" w:hAnsi="Times New Roman" w:cs="Times New Roman"/>
          <w:color w:val="0D0D0D" w:themeColor="text1" w:themeTint="F2"/>
          <w:sz w:val="26"/>
          <w:szCs w:val="26"/>
        </w:rPr>
        <w:t>CAP bills at least once per quarter</w:t>
      </w:r>
      <w:r w:rsidR="00F77313" w:rsidRPr="00C80D3A">
        <w:rPr>
          <w:rFonts w:ascii="Times New Roman" w:hAnsi="Times New Roman" w:cs="Times New Roman"/>
          <w:color w:val="0D0D0D" w:themeColor="text1" w:themeTint="F2"/>
          <w:sz w:val="26"/>
          <w:szCs w:val="26"/>
        </w:rPr>
        <w:t>, as opposed to a longer interval,</w:t>
      </w:r>
      <w:r w:rsidRPr="00C80D3A">
        <w:rPr>
          <w:rFonts w:ascii="Times New Roman" w:hAnsi="Times New Roman" w:cs="Times New Roman"/>
          <w:color w:val="0D0D0D" w:themeColor="text1" w:themeTint="F2"/>
          <w:sz w:val="26"/>
          <w:szCs w:val="26"/>
        </w:rPr>
        <w:t xml:space="preserve"> </w:t>
      </w:r>
      <w:r w:rsidR="00096DD5" w:rsidRPr="00C80D3A">
        <w:rPr>
          <w:rFonts w:ascii="Times New Roman" w:hAnsi="Times New Roman" w:cs="Times New Roman"/>
          <w:color w:val="0D0D0D" w:themeColor="text1" w:themeTint="F2"/>
          <w:sz w:val="26"/>
          <w:szCs w:val="26"/>
        </w:rPr>
        <w:t xml:space="preserve">is </w:t>
      </w:r>
      <w:r w:rsidR="00B67A2D" w:rsidRPr="00C80D3A">
        <w:rPr>
          <w:rFonts w:ascii="Times New Roman" w:hAnsi="Times New Roman" w:cs="Times New Roman"/>
          <w:color w:val="0D0D0D" w:themeColor="text1" w:themeTint="F2"/>
          <w:sz w:val="26"/>
          <w:szCs w:val="26"/>
        </w:rPr>
        <w:t xml:space="preserve">more </w:t>
      </w:r>
      <w:r w:rsidR="00096DD5" w:rsidRPr="00C80D3A">
        <w:rPr>
          <w:rFonts w:ascii="Times New Roman" w:hAnsi="Times New Roman" w:cs="Times New Roman"/>
          <w:color w:val="0D0D0D" w:themeColor="text1" w:themeTint="F2"/>
          <w:sz w:val="26"/>
          <w:szCs w:val="26"/>
        </w:rPr>
        <w:t xml:space="preserve">likely </w:t>
      </w:r>
      <w:r w:rsidRPr="00C80D3A">
        <w:rPr>
          <w:rFonts w:ascii="Times New Roman" w:hAnsi="Times New Roman" w:cs="Times New Roman"/>
          <w:color w:val="0D0D0D" w:themeColor="text1" w:themeTint="F2"/>
          <w:sz w:val="26"/>
          <w:szCs w:val="26"/>
        </w:rPr>
        <w:t xml:space="preserve">to </w:t>
      </w:r>
      <w:r w:rsidR="00096DD5" w:rsidRPr="00C80D3A">
        <w:rPr>
          <w:rFonts w:ascii="Times New Roman" w:hAnsi="Times New Roman" w:cs="Times New Roman"/>
          <w:color w:val="0D0D0D" w:themeColor="text1" w:themeTint="F2"/>
          <w:sz w:val="26"/>
          <w:szCs w:val="26"/>
        </w:rPr>
        <w:t xml:space="preserve">result in </w:t>
      </w:r>
      <w:r w:rsidRPr="00C80D3A">
        <w:rPr>
          <w:rFonts w:ascii="Times New Roman" w:hAnsi="Times New Roman" w:cs="Times New Roman"/>
          <w:color w:val="0D0D0D" w:themeColor="text1" w:themeTint="F2"/>
          <w:sz w:val="26"/>
          <w:szCs w:val="26"/>
        </w:rPr>
        <w:t>the customer</w:t>
      </w:r>
      <w:r w:rsidR="00B67A2D" w:rsidRPr="00C80D3A">
        <w:rPr>
          <w:rFonts w:ascii="Times New Roman" w:hAnsi="Times New Roman" w:cs="Times New Roman"/>
          <w:color w:val="0D0D0D" w:themeColor="text1" w:themeTint="F2"/>
          <w:sz w:val="26"/>
          <w:szCs w:val="26"/>
        </w:rPr>
        <w:t>s</w:t>
      </w:r>
      <w:r w:rsidRPr="00C80D3A">
        <w:rPr>
          <w:rFonts w:ascii="Times New Roman" w:hAnsi="Times New Roman" w:cs="Times New Roman"/>
          <w:color w:val="0D0D0D" w:themeColor="text1" w:themeTint="F2"/>
          <w:sz w:val="26"/>
          <w:szCs w:val="26"/>
        </w:rPr>
        <w:t xml:space="preserve"> receiving the </w:t>
      </w:r>
      <w:r w:rsidR="00B64488" w:rsidRPr="00C80D3A">
        <w:rPr>
          <w:rFonts w:ascii="Times New Roman" w:hAnsi="Times New Roman" w:cs="Times New Roman"/>
          <w:color w:val="0D0D0D" w:themeColor="text1" w:themeTint="F2"/>
          <w:sz w:val="26"/>
          <w:szCs w:val="26"/>
        </w:rPr>
        <w:t xml:space="preserve">most beneficial </w:t>
      </w:r>
      <w:r w:rsidRPr="00C80D3A">
        <w:rPr>
          <w:rFonts w:ascii="Times New Roman" w:hAnsi="Times New Roman" w:cs="Times New Roman"/>
          <w:color w:val="0D0D0D" w:themeColor="text1" w:themeTint="F2"/>
          <w:sz w:val="26"/>
          <w:szCs w:val="26"/>
        </w:rPr>
        <w:t xml:space="preserve">discount amount and/or billing option.  As energy usage may increase due to temperature extremes during winter and summer months, utilities </w:t>
      </w:r>
      <w:r w:rsidR="00B64488" w:rsidRPr="00C80D3A">
        <w:rPr>
          <w:rFonts w:ascii="Times New Roman" w:hAnsi="Times New Roman" w:cs="Times New Roman"/>
          <w:color w:val="0D0D0D" w:themeColor="text1" w:themeTint="F2"/>
          <w:sz w:val="26"/>
          <w:szCs w:val="26"/>
        </w:rPr>
        <w:t xml:space="preserve">should </w:t>
      </w:r>
      <w:r w:rsidRPr="00C80D3A">
        <w:rPr>
          <w:rFonts w:ascii="Times New Roman" w:hAnsi="Times New Roman" w:cs="Times New Roman"/>
          <w:color w:val="0D0D0D" w:themeColor="text1" w:themeTint="F2"/>
          <w:sz w:val="26"/>
          <w:szCs w:val="26"/>
        </w:rPr>
        <w:t>evaluat</w:t>
      </w:r>
      <w:r w:rsidR="00F77313" w:rsidRPr="00C80D3A">
        <w:rPr>
          <w:rFonts w:ascii="Times New Roman" w:hAnsi="Times New Roman" w:cs="Times New Roman"/>
          <w:color w:val="0D0D0D" w:themeColor="text1" w:themeTint="F2"/>
          <w:sz w:val="26"/>
          <w:szCs w:val="26"/>
        </w:rPr>
        <w:t>e</w:t>
      </w:r>
      <w:r w:rsidRPr="00C80D3A">
        <w:rPr>
          <w:rFonts w:ascii="Times New Roman" w:hAnsi="Times New Roman" w:cs="Times New Roman"/>
          <w:color w:val="0D0D0D" w:themeColor="text1" w:themeTint="F2"/>
          <w:sz w:val="26"/>
          <w:szCs w:val="26"/>
        </w:rPr>
        <w:t xml:space="preserve"> CAP bills regularly to ensure the household is receiving the appropriate amount of CAP credits to keep the </w:t>
      </w:r>
      <w:r w:rsidR="00BA6CFC" w:rsidRPr="00C80D3A">
        <w:rPr>
          <w:rFonts w:ascii="Times New Roman" w:hAnsi="Times New Roman" w:cs="Times New Roman"/>
          <w:color w:val="0D0D0D" w:themeColor="text1" w:themeTint="F2"/>
          <w:sz w:val="26"/>
          <w:szCs w:val="26"/>
        </w:rPr>
        <w:t xml:space="preserve">monthly </w:t>
      </w:r>
      <w:r w:rsidRPr="00C80D3A">
        <w:rPr>
          <w:rFonts w:ascii="Times New Roman" w:hAnsi="Times New Roman" w:cs="Times New Roman"/>
          <w:color w:val="0D0D0D" w:themeColor="text1" w:themeTint="F2"/>
          <w:sz w:val="26"/>
          <w:szCs w:val="26"/>
        </w:rPr>
        <w:t xml:space="preserve">payment </w:t>
      </w:r>
      <w:r w:rsidR="003E74AA" w:rsidRPr="00C80D3A">
        <w:rPr>
          <w:rFonts w:ascii="Times New Roman" w:hAnsi="Times New Roman" w:cs="Times New Roman"/>
          <w:color w:val="0D0D0D" w:themeColor="text1" w:themeTint="F2"/>
          <w:sz w:val="26"/>
          <w:szCs w:val="26"/>
        </w:rPr>
        <w:t xml:space="preserve">as </w:t>
      </w:r>
      <w:r w:rsidRPr="00C80D3A">
        <w:rPr>
          <w:rFonts w:ascii="Times New Roman" w:hAnsi="Times New Roman" w:cs="Times New Roman"/>
          <w:color w:val="0D0D0D" w:themeColor="text1" w:themeTint="F2"/>
          <w:sz w:val="26"/>
          <w:szCs w:val="26"/>
        </w:rPr>
        <w:t>affordable</w:t>
      </w:r>
      <w:r w:rsidR="003E74AA" w:rsidRPr="00C80D3A">
        <w:rPr>
          <w:rFonts w:ascii="Times New Roman" w:hAnsi="Times New Roman" w:cs="Times New Roman"/>
          <w:color w:val="0D0D0D" w:themeColor="text1" w:themeTint="F2"/>
          <w:sz w:val="26"/>
          <w:szCs w:val="26"/>
        </w:rPr>
        <w:t xml:space="preserve"> as possible</w:t>
      </w:r>
      <w:r w:rsidRPr="00C80D3A">
        <w:rPr>
          <w:rFonts w:ascii="Times New Roman" w:hAnsi="Times New Roman" w:cs="Times New Roman"/>
          <w:color w:val="0D0D0D" w:themeColor="text1" w:themeTint="F2"/>
          <w:sz w:val="26"/>
          <w:szCs w:val="26"/>
        </w:rPr>
        <w:t>.  If energy usage decreases due to energy conservation or moderate temperatures, the CAP customer could benefit by being switched to a different CAP payment option (</w:t>
      </w:r>
      <w:r w:rsidRPr="00C80D3A">
        <w:rPr>
          <w:rFonts w:ascii="Times New Roman" w:hAnsi="Times New Roman" w:cs="Times New Roman"/>
          <w:i/>
          <w:iCs/>
          <w:color w:val="0D0D0D" w:themeColor="text1" w:themeTint="F2"/>
          <w:sz w:val="26"/>
          <w:szCs w:val="26"/>
        </w:rPr>
        <w:t>e.g.</w:t>
      </w:r>
      <w:r w:rsidRPr="00C80D3A">
        <w:rPr>
          <w:rFonts w:ascii="Times New Roman" w:hAnsi="Times New Roman" w:cs="Times New Roman"/>
          <w:color w:val="0D0D0D" w:themeColor="text1" w:themeTint="F2"/>
          <w:sz w:val="26"/>
          <w:szCs w:val="26"/>
        </w:rPr>
        <w:t xml:space="preserve">, switched from PIP to average bill).  </w:t>
      </w:r>
      <w:r w:rsidR="00D339E0" w:rsidRPr="00C80D3A">
        <w:rPr>
          <w:rFonts w:ascii="Times New Roman" w:hAnsi="Times New Roman" w:cs="Times New Roman"/>
          <w:color w:val="0D0D0D" w:themeColor="text1" w:themeTint="F2"/>
          <w:sz w:val="26"/>
          <w:szCs w:val="26"/>
        </w:rPr>
        <w:t xml:space="preserve">Such a procedure </w:t>
      </w:r>
      <w:r w:rsidRPr="00C80D3A">
        <w:rPr>
          <w:rFonts w:ascii="Times New Roman" w:hAnsi="Times New Roman" w:cs="Times New Roman"/>
          <w:color w:val="0D0D0D" w:themeColor="text1" w:themeTint="F2"/>
          <w:sz w:val="26"/>
          <w:szCs w:val="26"/>
        </w:rPr>
        <w:t xml:space="preserve">may </w:t>
      </w:r>
      <w:r w:rsidR="00D339E0" w:rsidRPr="00C80D3A">
        <w:rPr>
          <w:rFonts w:ascii="Times New Roman" w:hAnsi="Times New Roman" w:cs="Times New Roman"/>
          <w:color w:val="0D0D0D" w:themeColor="text1" w:themeTint="F2"/>
          <w:sz w:val="26"/>
          <w:szCs w:val="26"/>
        </w:rPr>
        <w:t xml:space="preserve">also </w:t>
      </w:r>
      <w:r w:rsidRPr="00C80D3A">
        <w:rPr>
          <w:rFonts w:ascii="Times New Roman" w:hAnsi="Times New Roman" w:cs="Times New Roman"/>
          <w:color w:val="0D0D0D" w:themeColor="text1" w:themeTint="F2"/>
          <w:sz w:val="26"/>
          <w:szCs w:val="26"/>
        </w:rPr>
        <w:t>help to improve customer payment behavior, reduce debt, and reward energy conservation.</w:t>
      </w:r>
    </w:p>
    <w:p w14:paraId="31166074" w14:textId="77777777" w:rsidR="00506216" w:rsidRPr="00C80D3A" w:rsidRDefault="00506216" w:rsidP="00315DBC">
      <w:pPr>
        <w:spacing w:after="0" w:line="360" w:lineRule="auto"/>
        <w:contextualSpacing/>
        <w:rPr>
          <w:rFonts w:ascii="Times New Roman" w:hAnsi="Times New Roman" w:cs="Times New Roman"/>
          <w:color w:val="0D0D0D" w:themeColor="text1" w:themeTint="F2"/>
          <w:sz w:val="26"/>
          <w:szCs w:val="26"/>
        </w:rPr>
      </w:pPr>
    </w:p>
    <w:p w14:paraId="7C241DDE" w14:textId="20F0A977" w:rsidR="007474DF" w:rsidRDefault="003025BF" w:rsidP="001C4093">
      <w:pPr>
        <w:keepNext/>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color w:val="0D0D0D" w:themeColor="text1" w:themeTint="F2"/>
          <w:sz w:val="26"/>
          <w:szCs w:val="26"/>
        </w:rPr>
        <w:t>Resolution</w:t>
      </w:r>
      <w:r w:rsidR="00506216" w:rsidRPr="00A20145">
        <w:rPr>
          <w:rFonts w:ascii="Times New Roman" w:hAnsi="Times New Roman" w:cs="Times New Roman"/>
          <w:b/>
          <w:bCs/>
          <w:color w:val="0D0D0D" w:themeColor="text1" w:themeTint="F2"/>
          <w:sz w:val="26"/>
          <w:szCs w:val="26"/>
        </w:rPr>
        <w:t xml:space="preserve">: </w:t>
      </w:r>
      <w:r w:rsidR="007474DF" w:rsidRPr="00A20145">
        <w:rPr>
          <w:rFonts w:ascii="Times New Roman" w:hAnsi="Times New Roman" w:cs="Times New Roman"/>
          <w:b/>
          <w:bCs/>
          <w:color w:val="0D0D0D" w:themeColor="text1" w:themeTint="F2"/>
          <w:sz w:val="26"/>
          <w:szCs w:val="26"/>
        </w:rPr>
        <w:t xml:space="preserve">Amend </w:t>
      </w:r>
      <w:r w:rsidR="007474DF" w:rsidRPr="00A20145">
        <w:rPr>
          <w:rFonts w:ascii="Times New Roman" w:hAnsi="Times New Roman" w:cs="Times New Roman"/>
          <w:b/>
          <w:bCs/>
          <w:sz w:val="26"/>
          <w:szCs w:val="26"/>
        </w:rPr>
        <w:t>Section 69.265(8)(vii) – Account monitoring.</w:t>
      </w:r>
    </w:p>
    <w:p w14:paraId="4BA204DC" w14:textId="77777777" w:rsidR="001C4093" w:rsidRPr="00A20145" w:rsidRDefault="001C4093" w:rsidP="009A3B4B">
      <w:pPr>
        <w:keepNext/>
        <w:spacing w:after="0" w:line="240" w:lineRule="auto"/>
        <w:contextualSpacing/>
        <w:rPr>
          <w:rFonts w:ascii="Times New Roman" w:hAnsi="Times New Roman" w:cs="Times New Roman"/>
          <w:b/>
          <w:bCs/>
          <w:color w:val="0D0D0D" w:themeColor="text1" w:themeTint="F2"/>
          <w:sz w:val="26"/>
          <w:szCs w:val="26"/>
        </w:rPr>
      </w:pPr>
    </w:p>
    <w:p w14:paraId="427F068D" w14:textId="45F3DB16" w:rsidR="00506216" w:rsidRPr="00C80D3A" w:rsidRDefault="007474DF" w:rsidP="00315DBC">
      <w:pPr>
        <w:spacing w:after="0" w:line="360" w:lineRule="auto"/>
        <w:contextualSpacing/>
        <w:rPr>
          <w:rFonts w:ascii="Times New Roman" w:hAnsi="Times New Roman" w:cs="Times New Roman"/>
          <w:color w:val="0D0D0D" w:themeColor="text1" w:themeTint="F2"/>
          <w:sz w:val="26"/>
          <w:szCs w:val="26"/>
        </w:rPr>
      </w:pPr>
      <w:r w:rsidRPr="00C80D3A">
        <w:rPr>
          <w:rFonts w:ascii="Times New Roman" w:hAnsi="Times New Roman" w:cs="Times New Roman"/>
          <w:color w:val="0D0D0D" w:themeColor="text1" w:themeTint="F2"/>
          <w:sz w:val="26"/>
          <w:szCs w:val="26"/>
        </w:rPr>
        <w:tab/>
      </w:r>
      <w:r w:rsidR="00BF5511" w:rsidRPr="00C80D3A">
        <w:rPr>
          <w:rFonts w:ascii="Times New Roman" w:hAnsi="Times New Roman" w:cs="Times New Roman"/>
          <w:color w:val="0D0D0D" w:themeColor="text1" w:themeTint="F2"/>
          <w:sz w:val="26"/>
          <w:szCs w:val="26"/>
        </w:rPr>
        <w:t>C</w:t>
      </w:r>
      <w:r w:rsidR="00B777E8" w:rsidRPr="00C80D3A">
        <w:rPr>
          <w:rFonts w:ascii="Times New Roman" w:hAnsi="Times New Roman" w:cs="Times New Roman"/>
          <w:sz w:val="26"/>
          <w:szCs w:val="26"/>
        </w:rPr>
        <w:t xml:space="preserve">onsistent with the discussion above, this Order </w:t>
      </w:r>
      <w:r w:rsidR="005B1ACF" w:rsidRPr="00C80D3A">
        <w:rPr>
          <w:rFonts w:ascii="Times New Roman" w:hAnsi="Times New Roman" w:cs="Times New Roman"/>
          <w:sz w:val="26"/>
          <w:szCs w:val="26"/>
        </w:rPr>
        <w:t xml:space="preserve">amends </w:t>
      </w:r>
      <w:r w:rsidRPr="00C80D3A">
        <w:rPr>
          <w:rFonts w:ascii="Times New Roman" w:hAnsi="Times New Roman" w:cs="Times New Roman"/>
          <w:sz w:val="26"/>
          <w:szCs w:val="26"/>
        </w:rPr>
        <w:t xml:space="preserve">Section 69.265 of </w:t>
      </w:r>
      <w:r w:rsidR="00B777E8" w:rsidRPr="00C80D3A">
        <w:rPr>
          <w:rFonts w:ascii="Times New Roman" w:hAnsi="Times New Roman" w:cs="Times New Roman"/>
          <w:sz w:val="26"/>
          <w:szCs w:val="26"/>
        </w:rPr>
        <w:t xml:space="preserve">the CAP Policy Statement as indicated in </w:t>
      </w:r>
      <w:r w:rsidR="00987FAB" w:rsidRPr="00C80D3A">
        <w:rPr>
          <w:rFonts w:ascii="Times New Roman" w:hAnsi="Times New Roman" w:cs="Times New Roman"/>
          <w:sz w:val="26"/>
          <w:szCs w:val="26"/>
        </w:rPr>
        <w:t>Annex</w:t>
      </w:r>
      <w:r w:rsidR="00B777E8" w:rsidRPr="00C80D3A">
        <w:rPr>
          <w:rFonts w:ascii="Times New Roman" w:hAnsi="Times New Roman" w:cs="Times New Roman"/>
          <w:sz w:val="26"/>
          <w:szCs w:val="26"/>
        </w:rPr>
        <w:t xml:space="preserve"> </w:t>
      </w:r>
      <w:r w:rsidR="005B1ACF" w:rsidRPr="00C80D3A">
        <w:rPr>
          <w:rFonts w:ascii="Times New Roman" w:hAnsi="Times New Roman" w:cs="Times New Roman"/>
          <w:sz w:val="26"/>
          <w:szCs w:val="26"/>
        </w:rPr>
        <w:t>A</w:t>
      </w:r>
      <w:r w:rsidR="00B777E8" w:rsidRPr="00C80D3A">
        <w:rPr>
          <w:rFonts w:ascii="Times New Roman" w:hAnsi="Times New Roman" w:cs="Times New Roman"/>
          <w:sz w:val="26"/>
          <w:szCs w:val="26"/>
        </w:rPr>
        <w:t xml:space="preserve"> to </w:t>
      </w:r>
      <w:r w:rsidR="00170A32" w:rsidRPr="00C80D3A">
        <w:rPr>
          <w:rFonts w:ascii="Times New Roman" w:hAnsi="Times New Roman" w:cs="Times New Roman"/>
          <w:sz w:val="26"/>
          <w:szCs w:val="26"/>
        </w:rPr>
        <w:t xml:space="preserve">encourage at least quarterly review of CAP bills.  </w:t>
      </w:r>
    </w:p>
    <w:p w14:paraId="1E2B22D8" w14:textId="77777777" w:rsidR="00506216" w:rsidRPr="00C80D3A" w:rsidRDefault="00506216" w:rsidP="00A613A4">
      <w:pPr>
        <w:spacing w:after="0" w:line="360" w:lineRule="auto"/>
        <w:contextualSpacing/>
        <w:rPr>
          <w:rFonts w:ascii="Times New Roman" w:hAnsi="Times New Roman" w:cs="Times New Roman"/>
          <w:iCs/>
          <w:sz w:val="26"/>
          <w:szCs w:val="26"/>
        </w:rPr>
      </w:pPr>
    </w:p>
    <w:p w14:paraId="37E0DEEC" w14:textId="12410406" w:rsidR="00DF7383" w:rsidRPr="000A3C06" w:rsidRDefault="00CB6AD6" w:rsidP="009A3B4B">
      <w:pPr>
        <w:pStyle w:val="Heading3"/>
        <w:contextualSpacing/>
        <w:rPr>
          <w:sz w:val="26"/>
          <w:szCs w:val="26"/>
        </w:rPr>
      </w:pPr>
      <w:bookmarkStart w:id="34" w:name="_14._Proposed_Change:"/>
      <w:bookmarkStart w:id="35" w:name="_Proposed_Change:_Require"/>
      <w:bookmarkStart w:id="36" w:name="_Proposed_Change:_Require_1"/>
      <w:bookmarkStart w:id="37" w:name="_Proposed_Change:_Establish"/>
      <w:bookmarkStart w:id="38" w:name="_Proposed_Change:_Establish_1"/>
      <w:bookmarkEnd w:id="5"/>
      <w:bookmarkEnd w:id="34"/>
      <w:bookmarkEnd w:id="35"/>
      <w:bookmarkEnd w:id="36"/>
      <w:bookmarkEnd w:id="37"/>
      <w:bookmarkEnd w:id="38"/>
      <w:r w:rsidRPr="00FB46EA">
        <w:rPr>
          <w:bCs/>
          <w:sz w:val="26"/>
          <w:szCs w:val="26"/>
        </w:rPr>
        <w:t>1</w:t>
      </w:r>
      <w:r w:rsidR="00314118" w:rsidRPr="00FB46EA">
        <w:rPr>
          <w:bCs/>
          <w:sz w:val="26"/>
          <w:szCs w:val="26"/>
        </w:rPr>
        <w:t>5</w:t>
      </w:r>
      <w:r w:rsidR="005A2022" w:rsidRPr="00FB46EA">
        <w:rPr>
          <w:bCs/>
          <w:sz w:val="26"/>
          <w:szCs w:val="26"/>
        </w:rPr>
        <w:t xml:space="preserve">. </w:t>
      </w:r>
      <w:r w:rsidR="00DF3B18" w:rsidRPr="00FB46EA">
        <w:rPr>
          <w:bCs/>
          <w:sz w:val="26"/>
          <w:szCs w:val="26"/>
        </w:rPr>
        <w:t xml:space="preserve"> </w:t>
      </w:r>
      <w:bookmarkStart w:id="39" w:name="_Proposed_Change:_Recover"/>
      <w:bookmarkEnd w:id="39"/>
      <w:r w:rsidR="00DF7383" w:rsidRPr="00FB46EA">
        <w:rPr>
          <w:bCs/>
          <w:sz w:val="26"/>
          <w:szCs w:val="26"/>
        </w:rPr>
        <w:t xml:space="preserve">Utilities should work with stakeholders to develop </w:t>
      </w:r>
      <w:r w:rsidR="002D09F8">
        <w:rPr>
          <w:bCs/>
          <w:sz w:val="26"/>
          <w:szCs w:val="26"/>
        </w:rPr>
        <w:t xml:space="preserve">Consumer Education </w:t>
      </w:r>
      <w:r w:rsidR="0019480A">
        <w:rPr>
          <w:bCs/>
          <w:sz w:val="26"/>
          <w:szCs w:val="26"/>
        </w:rPr>
        <w:t xml:space="preserve">and </w:t>
      </w:r>
      <w:r w:rsidR="002D09F8">
        <w:rPr>
          <w:bCs/>
          <w:sz w:val="26"/>
          <w:szCs w:val="26"/>
        </w:rPr>
        <w:t>Outreach P</w:t>
      </w:r>
      <w:r w:rsidR="002D09F8" w:rsidRPr="00FB46EA">
        <w:rPr>
          <w:bCs/>
          <w:sz w:val="26"/>
          <w:szCs w:val="26"/>
        </w:rPr>
        <w:t>lans</w:t>
      </w:r>
      <w:r w:rsidR="00DF7383" w:rsidRPr="00FB46EA">
        <w:rPr>
          <w:bCs/>
          <w:sz w:val="26"/>
          <w:szCs w:val="26"/>
        </w:rPr>
        <w:t xml:space="preserve">. </w:t>
      </w:r>
    </w:p>
    <w:p w14:paraId="0759E37A" w14:textId="1E7883BB" w:rsidR="00544927" w:rsidRPr="00FB46EA" w:rsidRDefault="00544927" w:rsidP="009A3B4B">
      <w:pPr>
        <w:keepNext/>
        <w:spacing w:after="0" w:line="240" w:lineRule="auto"/>
        <w:contextualSpacing/>
        <w:rPr>
          <w:rFonts w:ascii="Times New Roman" w:hAnsi="Times New Roman" w:cs="Times New Roman"/>
          <w:sz w:val="26"/>
          <w:szCs w:val="26"/>
        </w:rPr>
      </w:pPr>
    </w:p>
    <w:p w14:paraId="48204E70" w14:textId="5F585E7D" w:rsidR="007161BB" w:rsidRPr="00E92D27" w:rsidRDefault="007161BB" w:rsidP="00E92D27">
      <w:pPr>
        <w:spacing w:after="0" w:line="360" w:lineRule="auto"/>
        <w:ind w:firstLine="720"/>
        <w:contextualSpacing/>
        <w:rPr>
          <w:rFonts w:ascii="Times New Roman" w:hAnsi="Times New Roman" w:cs="Times New Roman"/>
          <w:sz w:val="26"/>
          <w:szCs w:val="26"/>
        </w:rPr>
      </w:pPr>
      <w:r w:rsidRPr="00E92D27">
        <w:rPr>
          <w:rFonts w:ascii="Times New Roman" w:hAnsi="Times New Roman" w:cs="Times New Roman"/>
          <w:color w:val="000000"/>
          <w:sz w:val="26"/>
          <w:szCs w:val="26"/>
        </w:rPr>
        <w:t>The current CAP Policy Statement provides guidance on</w:t>
      </w:r>
      <w:r w:rsidRPr="00D11656">
        <w:rPr>
          <w:rFonts w:ascii="Times New Roman" w:hAnsi="Times New Roman" w:cs="Times New Roman"/>
          <w:color w:val="000000"/>
          <w:sz w:val="26"/>
          <w:szCs w:val="26"/>
        </w:rPr>
        <w:t xml:space="preserve"> </w:t>
      </w:r>
      <w:r w:rsidR="0019480A" w:rsidRPr="00D11656">
        <w:rPr>
          <w:rFonts w:ascii="Times New Roman" w:hAnsi="Times New Roman" w:cs="Times New Roman"/>
          <w:bCs/>
          <w:sz w:val="26"/>
          <w:szCs w:val="26"/>
        </w:rPr>
        <w:t>consumer education and outreach</w:t>
      </w:r>
      <w:r w:rsidR="002814E3">
        <w:rPr>
          <w:rFonts w:ascii="Times New Roman" w:hAnsi="Times New Roman" w:cs="Times New Roman"/>
          <w:color w:val="000000"/>
          <w:sz w:val="26"/>
          <w:szCs w:val="26"/>
        </w:rPr>
        <w:t>.</w:t>
      </w:r>
      <w:r w:rsidR="006C22B4" w:rsidRPr="00E92D27">
        <w:rPr>
          <w:rFonts w:ascii="Times New Roman" w:hAnsi="Times New Roman" w:cs="Times New Roman"/>
          <w:color w:val="000000"/>
          <w:sz w:val="26"/>
          <w:szCs w:val="26"/>
        </w:rPr>
        <w:t xml:space="preserve">  </w:t>
      </w:r>
      <w:r w:rsidR="00907DEC" w:rsidRPr="00907DEC">
        <w:rPr>
          <w:rFonts w:ascii="Times New Roman" w:hAnsi="Times New Roman" w:cs="Times New Roman"/>
          <w:sz w:val="26"/>
          <w:szCs w:val="26"/>
        </w:rPr>
        <w:t>Section 69.265(6)(vi) currently provides that education programs should include information on the benefits and responsibilities of CAP participation, the importance of energy conservation, and referrals to other appropriate support services.</w:t>
      </w:r>
      <w:r w:rsidR="00907DEC" w:rsidRPr="00E304F5">
        <w:t xml:space="preserve">  </w:t>
      </w:r>
      <w:r w:rsidR="00D11656" w:rsidRPr="00907DEC">
        <w:rPr>
          <w:rFonts w:ascii="Times New Roman" w:hAnsi="Times New Roman" w:cs="Times New Roman"/>
          <w:sz w:val="26"/>
          <w:szCs w:val="26"/>
        </w:rPr>
        <w:t xml:space="preserve">Section 69.265(6)(i) currently provides that outreach may be conducted by CBOs and should be targeted to low-income, payment-troubled customers and that utility should make automatic referrals to CAP when a low-income customer calls to make payment arrangements.  </w:t>
      </w:r>
    </w:p>
    <w:p w14:paraId="08571F8C" w14:textId="77777777" w:rsidR="007161BB" w:rsidRPr="00E92D27" w:rsidRDefault="007161BB" w:rsidP="00A64235">
      <w:pPr>
        <w:spacing w:after="0" w:line="360" w:lineRule="auto"/>
        <w:contextualSpacing/>
        <w:rPr>
          <w:rFonts w:ascii="Times New Roman" w:hAnsi="Times New Roman" w:cs="Times New Roman"/>
          <w:sz w:val="26"/>
          <w:szCs w:val="26"/>
        </w:rPr>
      </w:pPr>
    </w:p>
    <w:p w14:paraId="6B476660" w14:textId="49B27ABE" w:rsidR="009D7670" w:rsidRPr="00E92D27" w:rsidRDefault="009D7670" w:rsidP="00A64235">
      <w:pPr>
        <w:spacing w:after="0" w:line="360" w:lineRule="auto"/>
        <w:ind w:firstLine="720"/>
        <w:contextualSpacing/>
        <w:rPr>
          <w:rFonts w:ascii="Times New Roman" w:hAnsi="Times New Roman" w:cs="Times New Roman"/>
          <w:sz w:val="26"/>
          <w:szCs w:val="26"/>
        </w:rPr>
      </w:pPr>
      <w:r w:rsidRPr="00E92D27">
        <w:rPr>
          <w:rFonts w:ascii="Times New Roman" w:hAnsi="Times New Roman" w:cs="Times New Roman"/>
          <w:sz w:val="26"/>
          <w:szCs w:val="26"/>
        </w:rPr>
        <w:t xml:space="preserve">This issue was not addressed in the </w:t>
      </w:r>
      <w:r w:rsidRPr="00E92D27">
        <w:rPr>
          <w:rFonts w:ascii="Times New Roman" w:hAnsi="Times New Roman" w:cs="Times New Roman"/>
          <w:i/>
          <w:iCs/>
          <w:sz w:val="26"/>
          <w:szCs w:val="26"/>
        </w:rPr>
        <w:t>Review</w:t>
      </w:r>
      <w:r w:rsidRPr="00E92D27">
        <w:rPr>
          <w:rFonts w:ascii="Times New Roman" w:hAnsi="Times New Roman" w:cs="Times New Roman"/>
          <w:sz w:val="26"/>
          <w:szCs w:val="26"/>
        </w:rPr>
        <w:t xml:space="preserve"> or </w:t>
      </w:r>
      <w:r w:rsidRPr="00E92D27">
        <w:rPr>
          <w:rFonts w:ascii="Times New Roman" w:hAnsi="Times New Roman" w:cs="Times New Roman"/>
          <w:i/>
          <w:iCs/>
          <w:sz w:val="26"/>
          <w:szCs w:val="26"/>
        </w:rPr>
        <w:t>Energy Affordability</w:t>
      </w:r>
      <w:r w:rsidRPr="00E92D27">
        <w:rPr>
          <w:rFonts w:ascii="Times New Roman" w:hAnsi="Times New Roman" w:cs="Times New Roman"/>
          <w:sz w:val="26"/>
          <w:szCs w:val="26"/>
        </w:rPr>
        <w:t xml:space="preserve"> proceedings</w:t>
      </w:r>
      <w:r w:rsidR="00C32253">
        <w:rPr>
          <w:rFonts w:ascii="Times New Roman" w:hAnsi="Times New Roman" w:cs="Times New Roman"/>
          <w:sz w:val="26"/>
          <w:szCs w:val="26"/>
        </w:rPr>
        <w:t>,</w:t>
      </w:r>
      <w:r w:rsidR="00A364CD">
        <w:rPr>
          <w:rFonts w:ascii="Times New Roman" w:hAnsi="Times New Roman" w:cs="Times New Roman"/>
          <w:sz w:val="26"/>
          <w:szCs w:val="26"/>
        </w:rPr>
        <w:t xml:space="preserve"> </w:t>
      </w:r>
      <w:r w:rsidR="00A364CD" w:rsidRPr="006E63F0">
        <w:rPr>
          <w:rFonts w:ascii="Times New Roman" w:hAnsi="Times New Roman" w:cs="Times New Roman"/>
          <w:sz w:val="26"/>
          <w:szCs w:val="26"/>
        </w:rPr>
        <w:t xml:space="preserve">but issues related to </w:t>
      </w:r>
      <w:r w:rsidR="00160E36" w:rsidRPr="00D11656">
        <w:rPr>
          <w:rFonts w:ascii="Times New Roman" w:hAnsi="Times New Roman" w:cs="Times New Roman"/>
          <w:bCs/>
          <w:sz w:val="26"/>
          <w:szCs w:val="26"/>
        </w:rPr>
        <w:t>consumer education and outreach</w:t>
      </w:r>
      <w:r w:rsidR="001359F7">
        <w:rPr>
          <w:rFonts w:ascii="Times New Roman" w:hAnsi="Times New Roman" w:cs="Times New Roman"/>
          <w:sz w:val="26"/>
          <w:szCs w:val="26"/>
        </w:rPr>
        <w:t xml:space="preserve"> </w:t>
      </w:r>
      <w:r w:rsidR="00A364CD" w:rsidRPr="006E63F0">
        <w:rPr>
          <w:rFonts w:ascii="Times New Roman" w:hAnsi="Times New Roman" w:cs="Times New Roman"/>
          <w:sz w:val="26"/>
          <w:szCs w:val="26"/>
        </w:rPr>
        <w:t xml:space="preserve">efforts have </w:t>
      </w:r>
      <w:r w:rsidR="00A2408B" w:rsidRPr="001567D3">
        <w:rPr>
          <w:rFonts w:ascii="Times New Roman" w:hAnsi="Times New Roman" w:cs="Times New Roman"/>
          <w:sz w:val="26"/>
          <w:szCs w:val="26"/>
        </w:rPr>
        <w:t>been addressed</w:t>
      </w:r>
      <w:r w:rsidR="00A364CD" w:rsidRPr="001567D3">
        <w:rPr>
          <w:rFonts w:ascii="Times New Roman" w:hAnsi="Times New Roman" w:cs="Times New Roman"/>
          <w:sz w:val="26"/>
          <w:szCs w:val="26"/>
        </w:rPr>
        <w:t xml:space="preserve"> in </w:t>
      </w:r>
      <w:r w:rsidR="00B0099A">
        <w:rPr>
          <w:rFonts w:ascii="Times New Roman" w:hAnsi="Times New Roman" w:cs="Times New Roman"/>
          <w:sz w:val="26"/>
          <w:szCs w:val="26"/>
        </w:rPr>
        <w:t xml:space="preserve">several </w:t>
      </w:r>
      <w:r w:rsidR="00C32253" w:rsidRPr="006E63F0">
        <w:rPr>
          <w:rFonts w:ascii="Times New Roman" w:hAnsi="Times New Roman" w:cs="Times New Roman"/>
          <w:sz w:val="26"/>
          <w:szCs w:val="26"/>
        </w:rPr>
        <w:t>utility-specific proceedings</w:t>
      </w:r>
      <w:r w:rsidRPr="006E63F0">
        <w:rPr>
          <w:rFonts w:ascii="Times New Roman" w:hAnsi="Times New Roman" w:cs="Times New Roman"/>
          <w:sz w:val="26"/>
          <w:szCs w:val="26"/>
        </w:rPr>
        <w:t>.</w:t>
      </w:r>
      <w:r w:rsidRPr="00E92D27">
        <w:rPr>
          <w:rFonts w:ascii="Times New Roman" w:hAnsi="Times New Roman" w:cs="Times New Roman"/>
          <w:sz w:val="26"/>
          <w:szCs w:val="26"/>
        </w:rPr>
        <w:t xml:space="preserve">  </w:t>
      </w:r>
    </w:p>
    <w:p w14:paraId="2D2F737A" w14:textId="77777777" w:rsidR="009D7670" w:rsidRPr="00E92D27" w:rsidRDefault="009D7670" w:rsidP="00A64235">
      <w:pPr>
        <w:spacing w:after="0" w:line="360" w:lineRule="auto"/>
        <w:contextualSpacing/>
        <w:rPr>
          <w:rFonts w:ascii="Times New Roman" w:hAnsi="Times New Roman" w:cs="Times New Roman"/>
          <w:sz w:val="26"/>
          <w:szCs w:val="26"/>
        </w:rPr>
      </w:pPr>
    </w:p>
    <w:p w14:paraId="74BF55B1" w14:textId="687D12B8" w:rsidR="009D7670" w:rsidRPr="00E92D27" w:rsidRDefault="009D7670" w:rsidP="00A64235">
      <w:pPr>
        <w:keepNext/>
        <w:spacing w:after="0" w:line="360" w:lineRule="auto"/>
        <w:contextualSpacing/>
        <w:rPr>
          <w:rFonts w:ascii="Times New Roman" w:hAnsi="Times New Roman" w:cs="Times New Roman"/>
          <w:b/>
          <w:bCs/>
          <w:sz w:val="26"/>
          <w:szCs w:val="26"/>
        </w:rPr>
      </w:pPr>
      <w:r w:rsidRPr="00E92D27">
        <w:rPr>
          <w:rFonts w:ascii="Times New Roman" w:hAnsi="Times New Roman" w:cs="Times New Roman"/>
          <w:b/>
          <w:bCs/>
          <w:sz w:val="26"/>
          <w:szCs w:val="26"/>
        </w:rPr>
        <w:t>Discussion</w:t>
      </w:r>
    </w:p>
    <w:p w14:paraId="765B4513" w14:textId="234CECB2" w:rsidR="00B75F94" w:rsidRPr="002826DF" w:rsidRDefault="00855ACC" w:rsidP="00A64235">
      <w:pPr>
        <w:pStyle w:val="ListParagraph"/>
        <w:spacing w:line="360" w:lineRule="auto"/>
        <w:ind w:left="0" w:firstLine="720"/>
        <w:rPr>
          <w:color w:val="000000"/>
          <w:sz w:val="26"/>
          <w:szCs w:val="26"/>
        </w:rPr>
      </w:pPr>
      <w:r w:rsidRPr="00E92D27">
        <w:rPr>
          <w:color w:val="000000"/>
          <w:sz w:val="26"/>
          <w:szCs w:val="26"/>
        </w:rPr>
        <w:t xml:space="preserve">As part of </w:t>
      </w:r>
      <w:r>
        <w:rPr>
          <w:color w:val="000000"/>
          <w:sz w:val="26"/>
          <w:szCs w:val="26"/>
        </w:rPr>
        <w:t xml:space="preserve">its </w:t>
      </w:r>
      <w:r w:rsidRPr="00E92D27">
        <w:rPr>
          <w:color w:val="000000"/>
          <w:sz w:val="26"/>
          <w:szCs w:val="26"/>
        </w:rPr>
        <w:t xml:space="preserve">USECP filing requirements, </w:t>
      </w:r>
      <w:r>
        <w:rPr>
          <w:color w:val="000000"/>
          <w:sz w:val="26"/>
          <w:szCs w:val="26"/>
        </w:rPr>
        <w:t xml:space="preserve">each </w:t>
      </w:r>
      <w:r w:rsidRPr="00E92D27">
        <w:rPr>
          <w:color w:val="000000"/>
          <w:sz w:val="26"/>
          <w:szCs w:val="26"/>
        </w:rPr>
        <w:t>EDC and NGDC submit</w:t>
      </w:r>
      <w:r w:rsidR="003217A4">
        <w:rPr>
          <w:color w:val="000000"/>
          <w:sz w:val="26"/>
          <w:szCs w:val="26"/>
        </w:rPr>
        <w:t>s</w:t>
      </w:r>
      <w:r w:rsidRPr="00E92D27">
        <w:rPr>
          <w:color w:val="000000"/>
          <w:sz w:val="26"/>
          <w:szCs w:val="26"/>
        </w:rPr>
        <w:t xml:space="preserve"> a needs assessment, which uses census information and other available sources to identify the number of estimated low-income individuals in each service territory.  These data are then overlaid with the number of customers enrolled in a utility</w:t>
      </w:r>
      <w:r w:rsidR="001529C6">
        <w:rPr>
          <w:color w:val="000000"/>
          <w:sz w:val="26"/>
          <w:szCs w:val="26"/>
        </w:rPr>
        <w:t>’</w:t>
      </w:r>
      <w:r w:rsidRPr="00E92D27">
        <w:rPr>
          <w:color w:val="000000"/>
          <w:sz w:val="26"/>
          <w:szCs w:val="26"/>
        </w:rPr>
        <w:t xml:space="preserve">s CAP to identify the gap or the potential need in the service territory for low-income programming.  </w:t>
      </w:r>
      <w:r w:rsidR="003402DD" w:rsidRPr="00E92D27">
        <w:rPr>
          <w:color w:val="000000"/>
          <w:sz w:val="26"/>
          <w:szCs w:val="26"/>
        </w:rPr>
        <w:t>While there is no</w:t>
      </w:r>
      <w:r w:rsidR="008E459F" w:rsidRPr="00E92D27">
        <w:rPr>
          <w:color w:val="000000"/>
          <w:sz w:val="26"/>
          <w:szCs w:val="26"/>
        </w:rPr>
        <w:t xml:space="preserve"> </w:t>
      </w:r>
      <w:r w:rsidR="003402DD" w:rsidRPr="00E92D27">
        <w:rPr>
          <w:color w:val="000000"/>
          <w:sz w:val="26"/>
          <w:szCs w:val="26"/>
        </w:rPr>
        <w:t xml:space="preserve">specific regulatory mandate that each utility must </w:t>
      </w:r>
      <w:r w:rsidR="00286126" w:rsidRPr="00E92D27">
        <w:rPr>
          <w:color w:val="000000"/>
          <w:sz w:val="26"/>
          <w:szCs w:val="26"/>
        </w:rPr>
        <w:t xml:space="preserve">enroll a certain </w:t>
      </w:r>
      <w:r w:rsidR="003402DD" w:rsidRPr="00E92D27">
        <w:rPr>
          <w:color w:val="000000"/>
          <w:sz w:val="26"/>
          <w:szCs w:val="26"/>
        </w:rPr>
        <w:t>percentage of low-income households in CAP, the near uniform disparity between the total number of potential income</w:t>
      </w:r>
      <w:r w:rsidR="00E42AB6">
        <w:rPr>
          <w:color w:val="000000"/>
          <w:sz w:val="26"/>
          <w:szCs w:val="26"/>
        </w:rPr>
        <w:t>-</w:t>
      </w:r>
      <w:r w:rsidR="003402DD" w:rsidRPr="00E92D27">
        <w:rPr>
          <w:color w:val="000000"/>
          <w:sz w:val="26"/>
          <w:szCs w:val="26"/>
        </w:rPr>
        <w:t>qualif</w:t>
      </w:r>
      <w:r w:rsidR="00B72AF2">
        <w:rPr>
          <w:color w:val="000000"/>
          <w:sz w:val="26"/>
          <w:szCs w:val="26"/>
        </w:rPr>
        <w:t>i</w:t>
      </w:r>
      <w:r w:rsidR="00E42AB6">
        <w:rPr>
          <w:color w:val="000000"/>
          <w:sz w:val="26"/>
          <w:szCs w:val="26"/>
        </w:rPr>
        <w:t>ed</w:t>
      </w:r>
      <w:r w:rsidR="003402DD" w:rsidRPr="00E92D27">
        <w:rPr>
          <w:color w:val="000000"/>
          <w:sz w:val="26"/>
          <w:szCs w:val="26"/>
        </w:rPr>
        <w:t xml:space="preserve"> households and those actually receiving assistance calls into question the overall adequacy of </w:t>
      </w:r>
      <w:r w:rsidR="002D09F8">
        <w:rPr>
          <w:color w:val="000000"/>
          <w:sz w:val="26"/>
          <w:szCs w:val="26"/>
        </w:rPr>
        <w:t xml:space="preserve">consumer </w:t>
      </w:r>
      <w:r w:rsidR="00160E36" w:rsidRPr="00D11656">
        <w:rPr>
          <w:bCs/>
          <w:sz w:val="26"/>
          <w:szCs w:val="26"/>
        </w:rPr>
        <w:t>education and outreach</w:t>
      </w:r>
      <w:r w:rsidR="003402DD" w:rsidRPr="00E92D27">
        <w:rPr>
          <w:color w:val="000000"/>
          <w:sz w:val="26"/>
          <w:szCs w:val="26"/>
        </w:rPr>
        <w:t>.</w:t>
      </w:r>
      <w:r w:rsidR="00AA5B60">
        <w:rPr>
          <w:color w:val="000000"/>
          <w:sz w:val="26"/>
          <w:szCs w:val="26"/>
        </w:rPr>
        <w:t xml:space="preserve">  </w:t>
      </w:r>
      <w:r w:rsidR="00D167CB">
        <w:rPr>
          <w:color w:val="000000"/>
          <w:sz w:val="26"/>
          <w:szCs w:val="26"/>
        </w:rPr>
        <w:t>C</w:t>
      </w:r>
      <w:r w:rsidR="00D167CB" w:rsidRPr="00D11656">
        <w:rPr>
          <w:bCs/>
          <w:sz w:val="26"/>
          <w:szCs w:val="26"/>
        </w:rPr>
        <w:t xml:space="preserve">onsumer </w:t>
      </w:r>
      <w:r w:rsidR="002D09F8">
        <w:rPr>
          <w:bCs/>
          <w:sz w:val="26"/>
          <w:szCs w:val="26"/>
        </w:rPr>
        <w:t>E</w:t>
      </w:r>
      <w:r w:rsidR="002D09F8" w:rsidRPr="00D11656">
        <w:rPr>
          <w:bCs/>
          <w:sz w:val="26"/>
          <w:szCs w:val="26"/>
        </w:rPr>
        <w:t xml:space="preserve">ducation </w:t>
      </w:r>
      <w:r w:rsidR="00D167CB" w:rsidRPr="00D11656">
        <w:rPr>
          <w:bCs/>
          <w:sz w:val="26"/>
          <w:szCs w:val="26"/>
        </w:rPr>
        <w:t xml:space="preserve">and </w:t>
      </w:r>
      <w:r w:rsidR="002D09F8">
        <w:rPr>
          <w:bCs/>
          <w:sz w:val="26"/>
          <w:szCs w:val="26"/>
        </w:rPr>
        <w:t>O</w:t>
      </w:r>
      <w:r w:rsidR="002D09F8" w:rsidRPr="00D11656">
        <w:rPr>
          <w:bCs/>
          <w:sz w:val="26"/>
          <w:szCs w:val="26"/>
        </w:rPr>
        <w:t>utreach</w:t>
      </w:r>
      <w:r w:rsidR="002D09F8" w:rsidRPr="00E92D27">
        <w:rPr>
          <w:color w:val="000000"/>
          <w:sz w:val="26"/>
          <w:szCs w:val="26"/>
        </w:rPr>
        <w:t xml:space="preserve"> </w:t>
      </w:r>
      <w:r w:rsidR="002D09F8">
        <w:rPr>
          <w:color w:val="000000"/>
          <w:sz w:val="26"/>
          <w:szCs w:val="26"/>
        </w:rPr>
        <w:t xml:space="preserve">Plans </w:t>
      </w:r>
      <w:r w:rsidR="00B75F94" w:rsidRPr="00E92D27">
        <w:rPr>
          <w:color w:val="000000"/>
          <w:sz w:val="26"/>
          <w:szCs w:val="26"/>
        </w:rPr>
        <w:t xml:space="preserve">are paramount to </w:t>
      </w:r>
      <w:r w:rsidR="007E4852">
        <w:rPr>
          <w:color w:val="000000"/>
          <w:sz w:val="26"/>
          <w:szCs w:val="26"/>
        </w:rPr>
        <w:t>customer</w:t>
      </w:r>
      <w:r w:rsidR="00B72AF2">
        <w:rPr>
          <w:color w:val="000000"/>
          <w:sz w:val="26"/>
          <w:szCs w:val="26"/>
        </w:rPr>
        <w:t xml:space="preserve"> </w:t>
      </w:r>
      <w:r w:rsidR="00B75F94" w:rsidRPr="00E92D27">
        <w:rPr>
          <w:color w:val="000000"/>
          <w:sz w:val="26"/>
          <w:szCs w:val="26"/>
        </w:rPr>
        <w:t xml:space="preserve">awareness of, and enrollment in, </w:t>
      </w:r>
      <w:r w:rsidR="00CA4BB5" w:rsidRPr="00E92D27">
        <w:rPr>
          <w:color w:val="000000"/>
          <w:sz w:val="26"/>
          <w:szCs w:val="26"/>
        </w:rPr>
        <w:t xml:space="preserve">universal service </w:t>
      </w:r>
      <w:r w:rsidR="00B75F94" w:rsidRPr="00E92D27">
        <w:rPr>
          <w:color w:val="000000"/>
          <w:sz w:val="26"/>
          <w:szCs w:val="26"/>
        </w:rPr>
        <w:t xml:space="preserve">programs.  </w:t>
      </w:r>
      <w:r w:rsidR="00CA4BB5" w:rsidRPr="00E92D27">
        <w:rPr>
          <w:color w:val="000000"/>
          <w:sz w:val="26"/>
          <w:szCs w:val="26"/>
        </w:rPr>
        <w:t>Therefore,</w:t>
      </w:r>
      <w:r w:rsidR="00B75F94" w:rsidRPr="002826DF">
        <w:rPr>
          <w:color w:val="000000"/>
          <w:sz w:val="26"/>
          <w:szCs w:val="26"/>
        </w:rPr>
        <w:t xml:space="preserve"> we are expanding the current </w:t>
      </w:r>
      <w:r w:rsidR="00BB6072">
        <w:rPr>
          <w:color w:val="000000"/>
          <w:sz w:val="26"/>
          <w:szCs w:val="26"/>
        </w:rPr>
        <w:t>CAP P</w:t>
      </w:r>
      <w:r w:rsidR="00CA4BB5" w:rsidRPr="00E92D27">
        <w:rPr>
          <w:color w:val="000000"/>
          <w:sz w:val="26"/>
          <w:szCs w:val="26"/>
        </w:rPr>
        <w:t>olicy</w:t>
      </w:r>
      <w:r w:rsidR="00B75F94" w:rsidRPr="002826DF">
        <w:rPr>
          <w:color w:val="000000"/>
          <w:sz w:val="26"/>
          <w:szCs w:val="26"/>
        </w:rPr>
        <w:t xml:space="preserve"> </w:t>
      </w:r>
      <w:r w:rsidR="00BB6072">
        <w:rPr>
          <w:color w:val="000000"/>
          <w:sz w:val="26"/>
          <w:szCs w:val="26"/>
        </w:rPr>
        <w:t xml:space="preserve">Statement </w:t>
      </w:r>
      <w:r w:rsidR="00B75F94" w:rsidRPr="002826DF">
        <w:rPr>
          <w:color w:val="000000"/>
          <w:sz w:val="26"/>
          <w:szCs w:val="26"/>
        </w:rPr>
        <w:t>in order to provide more guidance on this central matter.</w:t>
      </w:r>
      <w:r w:rsidR="00B75F94" w:rsidRPr="002826DF">
        <w:rPr>
          <w:sz w:val="26"/>
          <w:szCs w:val="26"/>
        </w:rPr>
        <w:t xml:space="preserve"> </w:t>
      </w:r>
    </w:p>
    <w:p w14:paraId="2675F1C0" w14:textId="77777777" w:rsidR="00B75F94" w:rsidRPr="002826DF" w:rsidRDefault="00B75F94" w:rsidP="00A64235">
      <w:pPr>
        <w:spacing w:after="0" w:line="360" w:lineRule="auto"/>
        <w:ind w:firstLine="720"/>
        <w:contextualSpacing/>
        <w:rPr>
          <w:rFonts w:ascii="Times New Roman" w:hAnsi="Times New Roman" w:cs="Times New Roman"/>
          <w:i/>
          <w:iCs/>
          <w:sz w:val="26"/>
          <w:szCs w:val="26"/>
        </w:rPr>
      </w:pPr>
    </w:p>
    <w:p w14:paraId="2C4F44B4" w14:textId="59213C35" w:rsidR="00B75F94" w:rsidRPr="002826DF" w:rsidRDefault="00B75F94" w:rsidP="00A64235">
      <w:pPr>
        <w:pStyle w:val="ListParagraph"/>
        <w:spacing w:line="360" w:lineRule="auto"/>
        <w:ind w:left="0" w:firstLine="720"/>
        <w:rPr>
          <w:color w:val="000000"/>
          <w:sz w:val="26"/>
          <w:szCs w:val="26"/>
        </w:rPr>
      </w:pPr>
      <w:r w:rsidRPr="002826DF">
        <w:rPr>
          <w:color w:val="000000"/>
          <w:sz w:val="26"/>
          <w:szCs w:val="26"/>
        </w:rPr>
        <w:t>Historically, within Pennsylvania, only 30% of eligible households have been enrolled in their utility</w:t>
      </w:r>
      <w:r w:rsidR="001529C6">
        <w:rPr>
          <w:color w:val="000000"/>
          <w:sz w:val="26"/>
          <w:szCs w:val="26"/>
        </w:rPr>
        <w:t>’</w:t>
      </w:r>
      <w:r w:rsidRPr="002826DF">
        <w:rPr>
          <w:color w:val="000000"/>
          <w:sz w:val="26"/>
          <w:szCs w:val="26"/>
        </w:rPr>
        <w:t>s CAP – regardless of likely correlates such as economic performance, unseasonably hotter summers, or unemployment rates.</w:t>
      </w:r>
      <w:r w:rsidRPr="002826DF">
        <w:rPr>
          <w:rStyle w:val="FootnoteReference"/>
          <w:color w:val="000000"/>
          <w:sz w:val="26"/>
          <w:szCs w:val="26"/>
        </w:rPr>
        <w:footnoteReference w:id="123"/>
      </w:r>
      <w:r w:rsidRPr="002826DF">
        <w:rPr>
          <w:color w:val="000000"/>
          <w:sz w:val="26"/>
          <w:szCs w:val="26"/>
        </w:rPr>
        <w:t xml:space="preserve">  </w:t>
      </w:r>
      <w:r w:rsidR="003860DD">
        <w:rPr>
          <w:color w:val="000000"/>
          <w:sz w:val="26"/>
          <w:szCs w:val="26"/>
        </w:rPr>
        <w:t>T</w:t>
      </w:r>
      <w:r w:rsidRPr="002826DF">
        <w:rPr>
          <w:color w:val="000000"/>
          <w:sz w:val="26"/>
          <w:szCs w:val="26"/>
        </w:rPr>
        <w:t xml:space="preserve">his fact pattern </w:t>
      </w:r>
      <w:r w:rsidR="003860DD">
        <w:rPr>
          <w:color w:val="000000"/>
          <w:sz w:val="26"/>
          <w:szCs w:val="26"/>
        </w:rPr>
        <w:t xml:space="preserve">does not </w:t>
      </w:r>
      <w:r w:rsidR="00DF29A5">
        <w:rPr>
          <w:color w:val="000000"/>
          <w:sz w:val="26"/>
          <w:szCs w:val="26"/>
        </w:rPr>
        <w:t xml:space="preserve">convince us that </w:t>
      </w:r>
      <w:r w:rsidR="00094387">
        <w:rPr>
          <w:color w:val="000000"/>
          <w:sz w:val="26"/>
          <w:szCs w:val="26"/>
        </w:rPr>
        <w:t xml:space="preserve">needs are </w:t>
      </w:r>
      <w:r w:rsidRPr="002826DF">
        <w:rPr>
          <w:color w:val="000000"/>
          <w:sz w:val="26"/>
          <w:szCs w:val="26"/>
        </w:rPr>
        <w:t xml:space="preserve">being met, but rather it illuminates </w:t>
      </w:r>
      <w:r w:rsidR="002D09F8">
        <w:rPr>
          <w:color w:val="000000"/>
          <w:sz w:val="26"/>
          <w:szCs w:val="26"/>
        </w:rPr>
        <w:t xml:space="preserve">the </w:t>
      </w:r>
      <w:r w:rsidR="00EE5BFC">
        <w:rPr>
          <w:color w:val="000000"/>
          <w:sz w:val="26"/>
          <w:szCs w:val="26"/>
        </w:rPr>
        <w:t>nee</w:t>
      </w:r>
      <w:r w:rsidR="00CD3E38">
        <w:rPr>
          <w:color w:val="000000"/>
          <w:sz w:val="26"/>
          <w:szCs w:val="26"/>
        </w:rPr>
        <w:t>d</w:t>
      </w:r>
      <w:r w:rsidR="00EE5BFC">
        <w:rPr>
          <w:color w:val="000000"/>
          <w:sz w:val="26"/>
          <w:szCs w:val="26"/>
        </w:rPr>
        <w:t xml:space="preserve"> </w:t>
      </w:r>
      <w:r w:rsidRPr="002826DF">
        <w:rPr>
          <w:color w:val="000000"/>
          <w:sz w:val="26"/>
          <w:szCs w:val="26"/>
        </w:rPr>
        <w:t>for increased awareness.  We have noted in various USECP proceedings the necessity for utilities to develop more robust effort</w:t>
      </w:r>
      <w:r w:rsidR="00FF6E5B">
        <w:rPr>
          <w:color w:val="000000"/>
          <w:sz w:val="26"/>
          <w:szCs w:val="26"/>
        </w:rPr>
        <w:t>s</w:t>
      </w:r>
      <w:r w:rsidRPr="002826DF">
        <w:rPr>
          <w:color w:val="000000"/>
          <w:sz w:val="26"/>
          <w:szCs w:val="26"/>
        </w:rPr>
        <w:t xml:space="preserve"> to reach </w:t>
      </w:r>
      <w:r w:rsidR="007E4852">
        <w:rPr>
          <w:color w:val="000000"/>
          <w:sz w:val="26"/>
          <w:szCs w:val="26"/>
        </w:rPr>
        <w:t>customers</w:t>
      </w:r>
      <w:r w:rsidRPr="002826DF">
        <w:rPr>
          <w:color w:val="000000"/>
          <w:sz w:val="26"/>
          <w:szCs w:val="26"/>
        </w:rPr>
        <w:t>, particularly the very marginal, for enrollment in universal service programs.</w:t>
      </w:r>
      <w:r w:rsidRPr="002826DF">
        <w:rPr>
          <w:rStyle w:val="FootnoteReference"/>
          <w:color w:val="000000"/>
          <w:sz w:val="26"/>
          <w:szCs w:val="26"/>
        </w:rPr>
        <w:footnoteReference w:id="124"/>
      </w:r>
      <w:r w:rsidRPr="002826DF">
        <w:rPr>
          <w:color w:val="000000"/>
          <w:sz w:val="26"/>
          <w:szCs w:val="26"/>
        </w:rPr>
        <w:t xml:space="preserve">  </w:t>
      </w:r>
    </w:p>
    <w:p w14:paraId="780B6B94" w14:textId="77777777" w:rsidR="00B75F94" w:rsidRPr="002826DF" w:rsidRDefault="00B75F94" w:rsidP="00A64235">
      <w:pPr>
        <w:pStyle w:val="ListParagraph"/>
        <w:spacing w:line="360" w:lineRule="auto"/>
        <w:ind w:left="0"/>
        <w:rPr>
          <w:sz w:val="26"/>
          <w:szCs w:val="26"/>
        </w:rPr>
      </w:pPr>
    </w:p>
    <w:p w14:paraId="692B03D3" w14:textId="49661916" w:rsidR="00B75F94" w:rsidRPr="002826DF" w:rsidRDefault="003D25E4" w:rsidP="00A64235">
      <w:pPr>
        <w:pStyle w:val="ListParagraph"/>
        <w:spacing w:line="360" w:lineRule="auto"/>
        <w:ind w:left="0" w:firstLine="720"/>
        <w:rPr>
          <w:sz w:val="26"/>
          <w:szCs w:val="26"/>
        </w:rPr>
      </w:pPr>
      <w:r>
        <w:rPr>
          <w:sz w:val="26"/>
          <w:szCs w:val="26"/>
        </w:rPr>
        <w:t>U</w:t>
      </w:r>
      <w:r w:rsidR="00B75F94" w:rsidRPr="002826DF">
        <w:rPr>
          <w:sz w:val="26"/>
          <w:szCs w:val="26"/>
        </w:rPr>
        <w:t xml:space="preserve">tilities </w:t>
      </w:r>
      <w:r>
        <w:rPr>
          <w:sz w:val="26"/>
          <w:szCs w:val="26"/>
        </w:rPr>
        <w:t xml:space="preserve">should </w:t>
      </w:r>
      <w:r w:rsidR="00B75F94" w:rsidRPr="002826DF">
        <w:rPr>
          <w:sz w:val="26"/>
          <w:szCs w:val="26"/>
        </w:rPr>
        <w:t xml:space="preserve">develop </w:t>
      </w:r>
      <w:r>
        <w:rPr>
          <w:sz w:val="26"/>
          <w:szCs w:val="26"/>
        </w:rPr>
        <w:t xml:space="preserve">enhanced </w:t>
      </w:r>
      <w:r w:rsidR="002D09F8">
        <w:rPr>
          <w:bCs/>
          <w:sz w:val="26"/>
          <w:szCs w:val="26"/>
        </w:rPr>
        <w:t>C</w:t>
      </w:r>
      <w:r w:rsidR="002D09F8" w:rsidRPr="00D11656">
        <w:rPr>
          <w:bCs/>
          <w:sz w:val="26"/>
          <w:szCs w:val="26"/>
        </w:rPr>
        <w:t xml:space="preserve">onsumer </w:t>
      </w:r>
      <w:r w:rsidR="002D09F8">
        <w:rPr>
          <w:bCs/>
          <w:sz w:val="26"/>
          <w:szCs w:val="26"/>
        </w:rPr>
        <w:t>E</w:t>
      </w:r>
      <w:r w:rsidR="002D09F8" w:rsidRPr="00D11656">
        <w:rPr>
          <w:bCs/>
          <w:sz w:val="26"/>
          <w:szCs w:val="26"/>
        </w:rPr>
        <w:t xml:space="preserve">ducation </w:t>
      </w:r>
      <w:r w:rsidR="00123D4E" w:rsidRPr="00D11656">
        <w:rPr>
          <w:bCs/>
          <w:sz w:val="26"/>
          <w:szCs w:val="26"/>
        </w:rPr>
        <w:t xml:space="preserve">and </w:t>
      </w:r>
      <w:r w:rsidR="002D09F8">
        <w:rPr>
          <w:bCs/>
          <w:sz w:val="26"/>
          <w:szCs w:val="26"/>
        </w:rPr>
        <w:t>O</w:t>
      </w:r>
      <w:r w:rsidR="002D09F8" w:rsidRPr="00D11656">
        <w:rPr>
          <w:bCs/>
          <w:sz w:val="26"/>
          <w:szCs w:val="26"/>
        </w:rPr>
        <w:t>utreach</w:t>
      </w:r>
      <w:r w:rsidR="002D09F8">
        <w:rPr>
          <w:sz w:val="26"/>
          <w:szCs w:val="26"/>
        </w:rPr>
        <w:t xml:space="preserve"> P</w:t>
      </w:r>
      <w:r w:rsidR="002D09F8" w:rsidRPr="00E92D27">
        <w:rPr>
          <w:sz w:val="26"/>
          <w:szCs w:val="26"/>
        </w:rPr>
        <w:t>lan</w:t>
      </w:r>
      <w:r w:rsidR="002D09F8">
        <w:rPr>
          <w:sz w:val="26"/>
          <w:szCs w:val="26"/>
        </w:rPr>
        <w:t>s</w:t>
      </w:r>
      <w:r w:rsidR="002D09F8" w:rsidRPr="002826DF">
        <w:rPr>
          <w:sz w:val="26"/>
          <w:szCs w:val="26"/>
        </w:rPr>
        <w:t xml:space="preserve"> </w:t>
      </w:r>
      <w:r w:rsidR="002422C5">
        <w:rPr>
          <w:sz w:val="26"/>
          <w:szCs w:val="26"/>
        </w:rPr>
        <w:t xml:space="preserve">with input from stakeholders and submit them </w:t>
      </w:r>
      <w:r>
        <w:rPr>
          <w:sz w:val="26"/>
          <w:szCs w:val="26"/>
        </w:rPr>
        <w:t xml:space="preserve">as </w:t>
      </w:r>
      <w:r w:rsidR="00B75F94" w:rsidRPr="002826DF">
        <w:rPr>
          <w:sz w:val="26"/>
          <w:szCs w:val="26"/>
        </w:rPr>
        <w:t xml:space="preserve">part of </w:t>
      </w:r>
      <w:r w:rsidR="002422C5">
        <w:rPr>
          <w:sz w:val="26"/>
          <w:szCs w:val="26"/>
        </w:rPr>
        <w:t xml:space="preserve">their </w:t>
      </w:r>
      <w:r w:rsidR="00E10958">
        <w:rPr>
          <w:sz w:val="26"/>
          <w:szCs w:val="26"/>
        </w:rPr>
        <w:t xml:space="preserve">addendums initially and their proposed </w:t>
      </w:r>
      <w:r w:rsidR="00B75F94" w:rsidRPr="002826DF">
        <w:rPr>
          <w:sz w:val="26"/>
          <w:szCs w:val="26"/>
        </w:rPr>
        <w:t>USECP filings</w:t>
      </w:r>
      <w:r w:rsidR="00E10958">
        <w:rPr>
          <w:sz w:val="26"/>
          <w:szCs w:val="26"/>
        </w:rPr>
        <w:t xml:space="preserve"> going forward</w:t>
      </w:r>
      <w:r w:rsidR="00B75F94" w:rsidRPr="002826DF">
        <w:rPr>
          <w:sz w:val="26"/>
          <w:szCs w:val="26"/>
        </w:rPr>
        <w:t>.  While utilities have flexibility as to the contents of their plans, the</w:t>
      </w:r>
      <w:r w:rsidR="004F43E6">
        <w:rPr>
          <w:sz w:val="26"/>
          <w:szCs w:val="26"/>
        </w:rPr>
        <w:t xml:space="preserve"> plans</w:t>
      </w:r>
      <w:r w:rsidR="00B75F94" w:rsidRPr="002826DF">
        <w:rPr>
          <w:sz w:val="26"/>
          <w:szCs w:val="26"/>
        </w:rPr>
        <w:t xml:space="preserve"> should reflect focused </w:t>
      </w:r>
      <w:r w:rsidR="00123D4E" w:rsidRPr="00D11656">
        <w:rPr>
          <w:bCs/>
          <w:sz w:val="26"/>
          <w:szCs w:val="26"/>
        </w:rPr>
        <w:t>consumer education and outreach</w:t>
      </w:r>
      <w:r w:rsidR="00123D4E">
        <w:rPr>
          <w:sz w:val="26"/>
          <w:szCs w:val="26"/>
        </w:rPr>
        <w:t xml:space="preserve"> </w:t>
      </w:r>
      <w:r w:rsidR="00B75F94" w:rsidRPr="002826DF">
        <w:rPr>
          <w:sz w:val="26"/>
          <w:szCs w:val="26"/>
        </w:rPr>
        <w:t>effort</w:t>
      </w:r>
      <w:r w:rsidR="00FF6E5B">
        <w:rPr>
          <w:sz w:val="26"/>
          <w:szCs w:val="26"/>
        </w:rPr>
        <w:t>s</w:t>
      </w:r>
      <w:r w:rsidR="00B75F94" w:rsidRPr="002826DF">
        <w:rPr>
          <w:sz w:val="26"/>
          <w:szCs w:val="26"/>
        </w:rPr>
        <w:t xml:space="preserve">, </w:t>
      </w:r>
      <w:r w:rsidR="009337DE">
        <w:rPr>
          <w:sz w:val="26"/>
          <w:szCs w:val="26"/>
        </w:rPr>
        <w:t>tailored</w:t>
      </w:r>
      <w:r w:rsidR="00B75F94" w:rsidRPr="002826DF">
        <w:rPr>
          <w:sz w:val="26"/>
          <w:szCs w:val="26"/>
        </w:rPr>
        <w:t xml:space="preserve"> to the demographics of their individual service territor</w:t>
      </w:r>
      <w:r w:rsidR="004F43E6">
        <w:rPr>
          <w:sz w:val="26"/>
          <w:szCs w:val="26"/>
        </w:rPr>
        <w:t>ies</w:t>
      </w:r>
      <w:r w:rsidR="00B75F94" w:rsidRPr="002826DF">
        <w:rPr>
          <w:sz w:val="26"/>
          <w:szCs w:val="26"/>
        </w:rPr>
        <w:t xml:space="preserve">, spanning the duration of the universal service plan period.  </w:t>
      </w:r>
      <w:r w:rsidR="009337DE">
        <w:rPr>
          <w:sz w:val="26"/>
          <w:szCs w:val="26"/>
        </w:rPr>
        <w:t>In particular</w:t>
      </w:r>
      <w:r w:rsidR="00B75F94" w:rsidRPr="002826DF">
        <w:rPr>
          <w:sz w:val="26"/>
          <w:szCs w:val="26"/>
        </w:rPr>
        <w:t>, these plans should identify efforts to educate and enroll eligible and interested customers at or below 50% of</w:t>
      </w:r>
      <w:r w:rsidR="00522B87">
        <w:rPr>
          <w:sz w:val="26"/>
          <w:szCs w:val="26"/>
        </w:rPr>
        <w:t xml:space="preserve"> the</w:t>
      </w:r>
      <w:r w:rsidR="00B75F94" w:rsidRPr="002826DF">
        <w:rPr>
          <w:sz w:val="26"/>
          <w:szCs w:val="26"/>
        </w:rPr>
        <w:t xml:space="preserve"> FPIG. </w:t>
      </w:r>
      <w:r w:rsidR="00E10958">
        <w:rPr>
          <w:sz w:val="26"/>
          <w:szCs w:val="26"/>
        </w:rPr>
        <w:t xml:space="preserve"> The </w:t>
      </w:r>
      <w:r w:rsidR="002D09F8">
        <w:rPr>
          <w:bCs/>
          <w:sz w:val="26"/>
          <w:szCs w:val="26"/>
        </w:rPr>
        <w:t>C</w:t>
      </w:r>
      <w:r w:rsidR="002D09F8" w:rsidRPr="00D11656">
        <w:rPr>
          <w:bCs/>
          <w:sz w:val="26"/>
          <w:szCs w:val="26"/>
        </w:rPr>
        <w:t xml:space="preserve">onsumer </w:t>
      </w:r>
      <w:r w:rsidR="002D09F8">
        <w:rPr>
          <w:bCs/>
          <w:sz w:val="26"/>
          <w:szCs w:val="26"/>
        </w:rPr>
        <w:t>E</w:t>
      </w:r>
      <w:r w:rsidR="002D09F8" w:rsidRPr="00D11656">
        <w:rPr>
          <w:bCs/>
          <w:sz w:val="26"/>
          <w:szCs w:val="26"/>
        </w:rPr>
        <w:t xml:space="preserve">ducation </w:t>
      </w:r>
      <w:r w:rsidR="00CE29B5" w:rsidRPr="00D11656">
        <w:rPr>
          <w:bCs/>
          <w:sz w:val="26"/>
          <w:szCs w:val="26"/>
        </w:rPr>
        <w:t xml:space="preserve">and </w:t>
      </w:r>
      <w:r w:rsidR="002D09F8">
        <w:rPr>
          <w:bCs/>
          <w:sz w:val="26"/>
          <w:szCs w:val="26"/>
        </w:rPr>
        <w:t>O</w:t>
      </w:r>
      <w:r w:rsidR="002D09F8" w:rsidRPr="00D11656">
        <w:rPr>
          <w:bCs/>
          <w:sz w:val="26"/>
          <w:szCs w:val="26"/>
        </w:rPr>
        <w:t>utreach</w:t>
      </w:r>
      <w:r w:rsidR="002D09F8">
        <w:rPr>
          <w:sz w:val="26"/>
          <w:szCs w:val="26"/>
        </w:rPr>
        <w:t xml:space="preserve"> Plans </w:t>
      </w:r>
      <w:r w:rsidR="00E10958">
        <w:rPr>
          <w:sz w:val="26"/>
          <w:szCs w:val="26"/>
        </w:rPr>
        <w:t>will be reviewed by BCS and by the Commission</w:t>
      </w:r>
      <w:r w:rsidR="001529C6">
        <w:rPr>
          <w:sz w:val="26"/>
          <w:szCs w:val="26"/>
        </w:rPr>
        <w:t>’</w:t>
      </w:r>
      <w:r w:rsidR="00E10958">
        <w:rPr>
          <w:sz w:val="26"/>
          <w:szCs w:val="26"/>
        </w:rPr>
        <w:t xml:space="preserve">s </w:t>
      </w:r>
      <w:r w:rsidR="003F1467">
        <w:rPr>
          <w:sz w:val="26"/>
          <w:szCs w:val="26"/>
        </w:rPr>
        <w:t>Office</w:t>
      </w:r>
      <w:r w:rsidR="00E10958">
        <w:rPr>
          <w:sz w:val="26"/>
          <w:szCs w:val="26"/>
        </w:rPr>
        <w:t xml:space="preserve"> of Communications.</w:t>
      </w:r>
    </w:p>
    <w:p w14:paraId="323EA79F" w14:textId="77777777" w:rsidR="00B75F94" w:rsidRPr="002826DF" w:rsidRDefault="00B75F94" w:rsidP="00B75F94">
      <w:pPr>
        <w:spacing w:after="0" w:line="360" w:lineRule="auto"/>
        <w:rPr>
          <w:rFonts w:ascii="Times New Roman" w:hAnsi="Times New Roman" w:cs="Times New Roman"/>
          <w:sz w:val="26"/>
          <w:szCs w:val="26"/>
        </w:rPr>
      </w:pPr>
    </w:p>
    <w:p w14:paraId="28B13CCE" w14:textId="3ED4A001" w:rsidR="00B75F94" w:rsidRPr="002826DF" w:rsidRDefault="00B75F94" w:rsidP="00B75F94">
      <w:pPr>
        <w:spacing w:after="0" w:line="360" w:lineRule="auto"/>
        <w:ind w:firstLine="720"/>
        <w:rPr>
          <w:rFonts w:ascii="Times New Roman" w:hAnsi="Times New Roman" w:cs="Times New Roman"/>
          <w:sz w:val="26"/>
          <w:szCs w:val="26"/>
        </w:rPr>
      </w:pPr>
      <w:r w:rsidRPr="002826DF">
        <w:rPr>
          <w:rFonts w:ascii="Times New Roman" w:hAnsi="Times New Roman" w:cs="Times New Roman"/>
          <w:sz w:val="26"/>
          <w:szCs w:val="26"/>
        </w:rPr>
        <w:t xml:space="preserve">Additionally, </w:t>
      </w:r>
      <w:r w:rsidR="002D09F8">
        <w:rPr>
          <w:rFonts w:ascii="Times New Roman" w:hAnsi="Times New Roman" w:cs="Times New Roman"/>
          <w:bCs/>
          <w:sz w:val="26"/>
          <w:szCs w:val="26"/>
        </w:rPr>
        <w:t>the</w:t>
      </w:r>
      <w:r w:rsidR="002D09F8" w:rsidRPr="00D11656">
        <w:rPr>
          <w:rFonts w:ascii="Times New Roman" w:hAnsi="Times New Roman" w:cs="Times New Roman"/>
          <w:bCs/>
          <w:sz w:val="26"/>
          <w:szCs w:val="26"/>
        </w:rPr>
        <w:t xml:space="preserve"> </w:t>
      </w:r>
      <w:r w:rsidR="00CE29B5" w:rsidRPr="00D11656">
        <w:rPr>
          <w:rFonts w:ascii="Times New Roman" w:hAnsi="Times New Roman" w:cs="Times New Roman"/>
          <w:bCs/>
          <w:sz w:val="26"/>
          <w:szCs w:val="26"/>
        </w:rPr>
        <w:t>education and outreach</w:t>
      </w:r>
      <w:r w:rsidRPr="002826DF">
        <w:rPr>
          <w:rFonts w:ascii="Times New Roman" w:hAnsi="Times New Roman" w:cs="Times New Roman"/>
          <w:sz w:val="26"/>
          <w:szCs w:val="26"/>
        </w:rPr>
        <w:t xml:space="preserve"> </w:t>
      </w:r>
      <w:r w:rsidR="005C6D69" w:rsidRPr="00E92D27">
        <w:rPr>
          <w:rFonts w:ascii="Times New Roman" w:hAnsi="Times New Roman" w:cs="Times New Roman"/>
          <w:sz w:val="26"/>
          <w:szCs w:val="26"/>
        </w:rPr>
        <w:t>plans</w:t>
      </w:r>
      <w:r w:rsidRPr="002826DF">
        <w:rPr>
          <w:rFonts w:ascii="Times New Roman" w:hAnsi="Times New Roman" w:cs="Times New Roman"/>
          <w:sz w:val="26"/>
          <w:szCs w:val="26"/>
        </w:rPr>
        <w:t xml:space="preserve"> should identify resources and make available translation services and translated materials for those customers who are of Limited English Proficiency (LEP)</w:t>
      </w:r>
      <w:r w:rsidR="001832E8">
        <w:rPr>
          <w:rFonts w:ascii="Times New Roman" w:hAnsi="Times New Roman" w:cs="Times New Roman"/>
          <w:sz w:val="26"/>
          <w:szCs w:val="26"/>
        </w:rPr>
        <w:t>.  This would</w:t>
      </w:r>
      <w:r w:rsidRPr="002826DF">
        <w:rPr>
          <w:rFonts w:ascii="Times New Roman" w:hAnsi="Times New Roman" w:cs="Times New Roman"/>
          <w:sz w:val="26"/>
          <w:szCs w:val="26"/>
        </w:rPr>
        <w:t xml:space="preserve"> also appl</w:t>
      </w:r>
      <w:r w:rsidR="001832E8">
        <w:rPr>
          <w:rFonts w:ascii="Times New Roman" w:hAnsi="Times New Roman" w:cs="Times New Roman"/>
          <w:sz w:val="26"/>
          <w:szCs w:val="26"/>
        </w:rPr>
        <w:t>y</w:t>
      </w:r>
      <w:r w:rsidRPr="002826DF">
        <w:rPr>
          <w:rFonts w:ascii="Times New Roman" w:hAnsi="Times New Roman" w:cs="Times New Roman"/>
          <w:sz w:val="26"/>
          <w:szCs w:val="26"/>
        </w:rPr>
        <w:t xml:space="preserve"> to the services, materials</w:t>
      </w:r>
      <w:r w:rsidR="001832E8">
        <w:rPr>
          <w:rFonts w:ascii="Times New Roman" w:hAnsi="Times New Roman" w:cs="Times New Roman"/>
          <w:sz w:val="26"/>
          <w:szCs w:val="26"/>
        </w:rPr>
        <w:t>,</w:t>
      </w:r>
      <w:r w:rsidRPr="002826DF">
        <w:rPr>
          <w:rFonts w:ascii="Times New Roman" w:hAnsi="Times New Roman" w:cs="Times New Roman"/>
          <w:sz w:val="26"/>
          <w:szCs w:val="26"/>
        </w:rPr>
        <w:t xml:space="preserve"> and technical assistance provided by partners or </w:t>
      </w:r>
      <w:r w:rsidR="0032228F">
        <w:rPr>
          <w:rFonts w:ascii="Times New Roman" w:hAnsi="Times New Roman" w:cs="Times New Roman"/>
          <w:sz w:val="26"/>
          <w:szCs w:val="26"/>
        </w:rPr>
        <w:t>CBO</w:t>
      </w:r>
      <w:r w:rsidRPr="00E92D27">
        <w:rPr>
          <w:rFonts w:ascii="Times New Roman" w:hAnsi="Times New Roman" w:cs="Times New Roman"/>
          <w:sz w:val="26"/>
          <w:szCs w:val="26"/>
        </w:rPr>
        <w:t>s</w:t>
      </w:r>
      <w:r w:rsidRPr="002826DF">
        <w:rPr>
          <w:rFonts w:ascii="Times New Roman" w:hAnsi="Times New Roman" w:cs="Times New Roman"/>
          <w:sz w:val="26"/>
          <w:szCs w:val="26"/>
        </w:rPr>
        <w:t xml:space="preserve"> involved in the enrollment or service delivery associated with universal service programs. </w:t>
      </w:r>
    </w:p>
    <w:p w14:paraId="1FB9A769" w14:textId="7DEE2D48" w:rsidR="00544927" w:rsidRDefault="00544927" w:rsidP="00FB46EA">
      <w:pPr>
        <w:spacing w:after="0" w:line="360" w:lineRule="auto"/>
        <w:contextualSpacing/>
        <w:rPr>
          <w:rFonts w:ascii="Times New Roman" w:hAnsi="Times New Roman" w:cs="Times New Roman"/>
          <w:iCs/>
          <w:sz w:val="26"/>
          <w:szCs w:val="26"/>
        </w:rPr>
      </w:pPr>
    </w:p>
    <w:p w14:paraId="446598A3" w14:textId="48F1C151" w:rsidR="00186B60" w:rsidRDefault="00186B60" w:rsidP="0077058C">
      <w:pPr>
        <w:keepNext/>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color w:val="0D0D0D" w:themeColor="text1" w:themeTint="F2"/>
          <w:sz w:val="26"/>
          <w:szCs w:val="26"/>
        </w:rPr>
        <w:t xml:space="preserve">Resolution: Amend </w:t>
      </w:r>
      <w:r w:rsidR="00926545">
        <w:rPr>
          <w:rFonts w:ascii="Times New Roman" w:hAnsi="Times New Roman" w:cs="Times New Roman"/>
          <w:b/>
          <w:bCs/>
          <w:color w:val="0D0D0D" w:themeColor="text1" w:themeTint="F2"/>
          <w:sz w:val="26"/>
          <w:szCs w:val="26"/>
        </w:rPr>
        <w:t xml:space="preserve">Section </w:t>
      </w:r>
      <w:r w:rsidR="00A602F1">
        <w:rPr>
          <w:rFonts w:ascii="Times New Roman" w:hAnsi="Times New Roman" w:cs="Times New Roman"/>
          <w:b/>
          <w:bCs/>
          <w:color w:val="0D0D0D" w:themeColor="text1" w:themeTint="F2"/>
          <w:sz w:val="26"/>
          <w:szCs w:val="26"/>
        </w:rPr>
        <w:t>69.265</w:t>
      </w:r>
      <w:r w:rsidR="00143FBB" w:rsidRPr="00DC1D9D">
        <w:rPr>
          <w:rFonts w:ascii="Times New Roman" w:hAnsi="Times New Roman" w:cs="Times New Roman"/>
          <w:b/>
          <w:sz w:val="26"/>
          <w:szCs w:val="26"/>
        </w:rPr>
        <w:t>(</w:t>
      </w:r>
      <w:r w:rsidR="003217A4">
        <w:rPr>
          <w:rFonts w:ascii="Times New Roman" w:hAnsi="Times New Roman" w:cs="Times New Roman"/>
          <w:b/>
          <w:sz w:val="26"/>
          <w:szCs w:val="26"/>
        </w:rPr>
        <w:t>8</w:t>
      </w:r>
      <w:r w:rsidR="00143FBB" w:rsidRPr="00DC1D9D">
        <w:rPr>
          <w:rFonts w:ascii="Times New Roman" w:hAnsi="Times New Roman" w:cs="Times New Roman"/>
          <w:b/>
          <w:sz w:val="26"/>
          <w:szCs w:val="26"/>
        </w:rPr>
        <w:t>)(i) &amp; (vi)</w:t>
      </w:r>
      <w:r w:rsidR="00A602F1" w:rsidRPr="00DC1D9D">
        <w:rPr>
          <w:rFonts w:ascii="Times New Roman" w:hAnsi="Times New Roman" w:cs="Times New Roman"/>
          <w:b/>
          <w:bCs/>
          <w:color w:val="0D0D0D" w:themeColor="text1" w:themeTint="F2"/>
          <w:sz w:val="26"/>
          <w:szCs w:val="26"/>
        </w:rPr>
        <w:t xml:space="preserve"> </w:t>
      </w:r>
      <w:r w:rsidRPr="00A20145">
        <w:rPr>
          <w:rFonts w:ascii="Times New Roman" w:hAnsi="Times New Roman" w:cs="Times New Roman"/>
          <w:b/>
          <w:bCs/>
          <w:sz w:val="26"/>
          <w:szCs w:val="26"/>
        </w:rPr>
        <w:t xml:space="preserve">– </w:t>
      </w:r>
      <w:r w:rsidR="00CE29B5" w:rsidRPr="00CE29B5">
        <w:rPr>
          <w:rFonts w:ascii="Times New Roman" w:hAnsi="Times New Roman" w:cs="Times New Roman"/>
          <w:b/>
          <w:bCs/>
          <w:sz w:val="26"/>
          <w:szCs w:val="26"/>
        </w:rPr>
        <w:t>Consumer Education and Outreach</w:t>
      </w:r>
      <w:r w:rsidRPr="00A20145">
        <w:rPr>
          <w:rFonts w:ascii="Times New Roman" w:hAnsi="Times New Roman" w:cs="Times New Roman"/>
          <w:b/>
          <w:bCs/>
          <w:sz w:val="26"/>
          <w:szCs w:val="26"/>
        </w:rPr>
        <w:t>.</w:t>
      </w:r>
    </w:p>
    <w:p w14:paraId="5EE1B810" w14:textId="77777777" w:rsidR="0077058C" w:rsidRPr="00A20145" w:rsidRDefault="0077058C" w:rsidP="009A3B4B">
      <w:pPr>
        <w:keepNext/>
        <w:spacing w:after="0" w:line="240" w:lineRule="auto"/>
        <w:contextualSpacing/>
        <w:rPr>
          <w:rFonts w:ascii="Times New Roman" w:hAnsi="Times New Roman" w:cs="Times New Roman"/>
          <w:b/>
          <w:bCs/>
          <w:color w:val="0D0D0D" w:themeColor="text1" w:themeTint="F2"/>
          <w:sz w:val="26"/>
          <w:szCs w:val="26"/>
        </w:rPr>
      </w:pPr>
    </w:p>
    <w:p w14:paraId="089D6D73" w14:textId="66A7EFA9" w:rsidR="00186B60" w:rsidRPr="00C80D3A" w:rsidRDefault="00186B60" w:rsidP="00186B60">
      <w:pPr>
        <w:spacing w:after="0" w:line="360" w:lineRule="auto"/>
        <w:contextualSpacing/>
        <w:rPr>
          <w:rFonts w:ascii="Times New Roman" w:hAnsi="Times New Roman" w:cs="Times New Roman"/>
          <w:color w:val="0D0D0D" w:themeColor="text1" w:themeTint="F2"/>
          <w:sz w:val="26"/>
          <w:szCs w:val="26"/>
        </w:rPr>
      </w:pPr>
      <w:r w:rsidRPr="00E92D27">
        <w:rPr>
          <w:rFonts w:ascii="Times New Roman" w:hAnsi="Times New Roman" w:cs="Times New Roman"/>
          <w:color w:val="0D0D0D" w:themeColor="text1" w:themeTint="F2"/>
          <w:sz w:val="26"/>
          <w:szCs w:val="26"/>
        </w:rPr>
        <w:tab/>
        <w:t>C</w:t>
      </w:r>
      <w:r w:rsidRPr="00E92D27">
        <w:rPr>
          <w:rFonts w:ascii="Times New Roman" w:hAnsi="Times New Roman" w:cs="Times New Roman"/>
          <w:sz w:val="26"/>
          <w:szCs w:val="26"/>
        </w:rPr>
        <w:t xml:space="preserve">onsistent with the discussion above, this Order </w:t>
      </w:r>
      <w:r w:rsidR="00E21BEC">
        <w:rPr>
          <w:rFonts w:ascii="Times New Roman" w:hAnsi="Times New Roman" w:cs="Times New Roman"/>
          <w:sz w:val="26"/>
          <w:szCs w:val="26"/>
        </w:rPr>
        <w:t>amends Section 69.265(</w:t>
      </w:r>
      <w:r w:rsidR="003217A4">
        <w:rPr>
          <w:rFonts w:ascii="Times New Roman" w:hAnsi="Times New Roman" w:cs="Times New Roman"/>
          <w:sz w:val="26"/>
          <w:szCs w:val="26"/>
        </w:rPr>
        <w:t>8</w:t>
      </w:r>
      <w:r w:rsidR="00E21BEC">
        <w:rPr>
          <w:rFonts w:ascii="Times New Roman" w:hAnsi="Times New Roman" w:cs="Times New Roman"/>
          <w:sz w:val="26"/>
          <w:szCs w:val="26"/>
        </w:rPr>
        <w:t xml:space="preserve">)(i) &amp; (vi) to </w:t>
      </w:r>
      <w:r w:rsidR="00955103">
        <w:rPr>
          <w:rFonts w:ascii="Times New Roman" w:hAnsi="Times New Roman" w:cs="Times New Roman"/>
          <w:sz w:val="26"/>
          <w:szCs w:val="26"/>
        </w:rPr>
        <w:t xml:space="preserve">add enhanced guidance regarding </w:t>
      </w:r>
      <w:r w:rsidR="00CE29B5" w:rsidRPr="00D11656">
        <w:rPr>
          <w:rFonts w:ascii="Times New Roman" w:hAnsi="Times New Roman" w:cs="Times New Roman"/>
          <w:bCs/>
          <w:sz w:val="26"/>
          <w:szCs w:val="26"/>
        </w:rPr>
        <w:t>consumer education and outreach</w:t>
      </w:r>
      <w:r w:rsidR="00955103">
        <w:rPr>
          <w:rFonts w:ascii="Times New Roman" w:hAnsi="Times New Roman" w:cs="Times New Roman"/>
          <w:sz w:val="26"/>
          <w:szCs w:val="26"/>
        </w:rPr>
        <w:t>.</w:t>
      </w:r>
    </w:p>
    <w:p w14:paraId="1A7C8C27" w14:textId="77777777" w:rsidR="00186B60" w:rsidRDefault="00186B60" w:rsidP="00186B60">
      <w:pPr>
        <w:spacing w:after="0" w:line="360" w:lineRule="auto"/>
        <w:contextualSpacing/>
        <w:rPr>
          <w:rFonts w:ascii="Times New Roman" w:hAnsi="Times New Roman" w:cs="Times New Roman"/>
          <w:iCs/>
          <w:sz w:val="26"/>
          <w:szCs w:val="26"/>
        </w:rPr>
      </w:pPr>
    </w:p>
    <w:p w14:paraId="5DB1BF30" w14:textId="41F60E9E" w:rsidR="00DF7383" w:rsidRPr="000A3C06" w:rsidRDefault="00544927" w:rsidP="00FB46EA">
      <w:pPr>
        <w:pStyle w:val="Heading3"/>
        <w:contextualSpacing/>
        <w:rPr>
          <w:sz w:val="26"/>
          <w:szCs w:val="26"/>
        </w:rPr>
      </w:pPr>
      <w:r>
        <w:rPr>
          <w:bCs/>
          <w:sz w:val="26"/>
          <w:szCs w:val="26"/>
        </w:rPr>
        <w:t xml:space="preserve">16.  </w:t>
      </w:r>
      <w:r w:rsidR="00DF7383" w:rsidRPr="002826DF">
        <w:rPr>
          <w:bCs/>
          <w:sz w:val="26"/>
          <w:szCs w:val="26"/>
        </w:rPr>
        <w:t xml:space="preserve">Utilities should use the definition of </w:t>
      </w:r>
      <w:r w:rsidR="00DF7383">
        <w:rPr>
          <w:bCs/>
          <w:sz w:val="26"/>
          <w:szCs w:val="26"/>
        </w:rPr>
        <w:t>“h</w:t>
      </w:r>
      <w:r w:rsidR="00DF7383" w:rsidRPr="002826DF">
        <w:rPr>
          <w:bCs/>
          <w:sz w:val="26"/>
          <w:szCs w:val="26"/>
        </w:rPr>
        <w:t xml:space="preserve">ousehold </w:t>
      </w:r>
      <w:r w:rsidR="00DF7383">
        <w:rPr>
          <w:bCs/>
          <w:sz w:val="26"/>
          <w:szCs w:val="26"/>
        </w:rPr>
        <w:t>i</w:t>
      </w:r>
      <w:r w:rsidR="00DF7383" w:rsidRPr="002826DF">
        <w:rPr>
          <w:bCs/>
          <w:sz w:val="26"/>
          <w:szCs w:val="26"/>
        </w:rPr>
        <w:t>ncome</w:t>
      </w:r>
      <w:r w:rsidR="00DF7383">
        <w:rPr>
          <w:bCs/>
          <w:sz w:val="26"/>
          <w:szCs w:val="26"/>
        </w:rPr>
        <w:t>”</w:t>
      </w:r>
      <w:r w:rsidR="00DF7383" w:rsidRPr="002826DF">
        <w:rPr>
          <w:bCs/>
          <w:sz w:val="26"/>
          <w:szCs w:val="26"/>
        </w:rPr>
        <w:t xml:space="preserve"> in Chapter 14 of the Public Utility Code. </w:t>
      </w:r>
    </w:p>
    <w:p w14:paraId="07007BFE" w14:textId="77777777" w:rsidR="00DF7383" w:rsidRPr="00FB46EA" w:rsidRDefault="00DF7383" w:rsidP="009A3B4B">
      <w:pPr>
        <w:keepNext/>
        <w:spacing w:after="0" w:line="240" w:lineRule="auto"/>
        <w:contextualSpacing/>
        <w:rPr>
          <w:rFonts w:ascii="Times New Roman" w:hAnsi="Times New Roman" w:cs="Times New Roman"/>
          <w:sz w:val="26"/>
          <w:szCs w:val="26"/>
        </w:rPr>
      </w:pPr>
    </w:p>
    <w:p w14:paraId="2A0ADD2B" w14:textId="679F3AA1" w:rsidR="00C43842" w:rsidRPr="00D36D1A" w:rsidRDefault="006063B4" w:rsidP="00D36D1A">
      <w:pPr>
        <w:spacing w:after="0" w:line="360" w:lineRule="auto"/>
        <w:ind w:firstLine="720"/>
        <w:rPr>
          <w:rFonts w:ascii="Times New Roman" w:hAnsi="Times New Roman" w:cs="Times New Roman"/>
          <w:sz w:val="26"/>
          <w:szCs w:val="26"/>
        </w:rPr>
      </w:pPr>
      <w:r w:rsidRPr="002826DF">
        <w:rPr>
          <w:rFonts w:ascii="Times New Roman" w:hAnsi="Times New Roman" w:cs="Times New Roman"/>
          <w:sz w:val="26"/>
          <w:szCs w:val="26"/>
        </w:rPr>
        <w:t>Participation in a utility</w:t>
      </w:r>
      <w:r w:rsidR="001529C6">
        <w:rPr>
          <w:rFonts w:ascii="Times New Roman" w:hAnsi="Times New Roman" w:cs="Times New Roman"/>
          <w:sz w:val="26"/>
          <w:szCs w:val="26"/>
        </w:rPr>
        <w:t>’</w:t>
      </w:r>
      <w:r w:rsidRPr="002826DF">
        <w:rPr>
          <w:rFonts w:ascii="Times New Roman" w:hAnsi="Times New Roman" w:cs="Times New Roman"/>
          <w:sz w:val="26"/>
          <w:szCs w:val="26"/>
        </w:rPr>
        <w:t>s CAP is dependent on a customer</w:t>
      </w:r>
      <w:r w:rsidR="001529C6">
        <w:rPr>
          <w:rFonts w:ascii="Times New Roman" w:hAnsi="Times New Roman" w:cs="Times New Roman"/>
          <w:sz w:val="26"/>
          <w:szCs w:val="26"/>
        </w:rPr>
        <w:t>’</w:t>
      </w:r>
      <w:r w:rsidRPr="002826DF">
        <w:rPr>
          <w:rFonts w:ascii="Times New Roman" w:hAnsi="Times New Roman" w:cs="Times New Roman"/>
          <w:sz w:val="26"/>
          <w:szCs w:val="26"/>
        </w:rPr>
        <w:t xml:space="preserve">s income.  </w:t>
      </w:r>
      <w:r w:rsidR="00C43842">
        <w:rPr>
          <w:rFonts w:ascii="Times New Roman" w:eastAsia="Times New Roman" w:hAnsi="Times New Roman" w:cs="Times New Roman"/>
          <w:sz w:val="26"/>
          <w:szCs w:val="26"/>
        </w:rPr>
        <w:t>The eligibility criteria in the Commission</w:t>
      </w:r>
      <w:r w:rsidR="001529C6">
        <w:rPr>
          <w:rFonts w:ascii="Times New Roman" w:eastAsia="Times New Roman" w:hAnsi="Times New Roman" w:cs="Times New Roman"/>
          <w:sz w:val="26"/>
          <w:szCs w:val="26"/>
        </w:rPr>
        <w:t>’</w:t>
      </w:r>
      <w:r w:rsidR="00C43842">
        <w:rPr>
          <w:rFonts w:ascii="Times New Roman" w:eastAsia="Times New Roman" w:hAnsi="Times New Roman" w:cs="Times New Roman"/>
          <w:sz w:val="26"/>
          <w:szCs w:val="26"/>
        </w:rPr>
        <w:t xml:space="preserve">s CAP Policy Statement identifies that households must, </w:t>
      </w:r>
      <w:r w:rsidR="00C43842" w:rsidRPr="00960741">
        <w:rPr>
          <w:rFonts w:ascii="Times New Roman" w:eastAsia="Times New Roman" w:hAnsi="Times New Roman" w:cs="Times New Roman"/>
          <w:i/>
          <w:sz w:val="26"/>
          <w:szCs w:val="26"/>
        </w:rPr>
        <w:t>inter alia</w:t>
      </w:r>
      <w:r w:rsidR="00C43842">
        <w:rPr>
          <w:rFonts w:ascii="Times New Roman" w:eastAsia="Times New Roman" w:hAnsi="Times New Roman" w:cs="Times New Roman"/>
          <w:sz w:val="26"/>
          <w:szCs w:val="26"/>
        </w:rPr>
        <w:t>, have incomes at or below 150% of the FPIG to qualify for CAP.  Section</w:t>
      </w:r>
      <w:r w:rsidR="002F3027">
        <w:rPr>
          <w:rFonts w:ascii="Times New Roman" w:eastAsia="Times New Roman" w:hAnsi="Times New Roman" w:cs="Times New Roman"/>
          <w:sz w:val="26"/>
          <w:szCs w:val="26"/>
        </w:rPr>
        <w:t> </w:t>
      </w:r>
      <w:r w:rsidR="00C43842">
        <w:rPr>
          <w:rFonts w:ascii="Times New Roman" w:eastAsia="Times New Roman" w:hAnsi="Times New Roman" w:cs="Times New Roman"/>
          <w:sz w:val="26"/>
          <w:szCs w:val="26"/>
        </w:rPr>
        <w:t xml:space="preserve">69.265(4)(ii).  </w:t>
      </w:r>
      <w:r w:rsidR="00B13C3B" w:rsidRPr="002826DF">
        <w:rPr>
          <w:rFonts w:ascii="Times New Roman" w:hAnsi="Times New Roman" w:cs="Times New Roman"/>
          <w:sz w:val="26"/>
          <w:szCs w:val="26"/>
        </w:rPr>
        <w:t>However, the</w:t>
      </w:r>
      <w:r w:rsidR="00B13C3B">
        <w:rPr>
          <w:rFonts w:ascii="Times New Roman" w:hAnsi="Times New Roman" w:cs="Times New Roman"/>
          <w:sz w:val="26"/>
          <w:szCs w:val="26"/>
        </w:rPr>
        <w:t xml:space="preserve"> CAP Policy Statement does not</w:t>
      </w:r>
      <w:r w:rsidR="00B13C3B" w:rsidRPr="002826DF">
        <w:rPr>
          <w:rFonts w:ascii="Times New Roman" w:hAnsi="Times New Roman" w:cs="Times New Roman"/>
          <w:sz w:val="26"/>
          <w:szCs w:val="26"/>
        </w:rPr>
        <w:t xml:space="preserve"> </w:t>
      </w:r>
      <w:r w:rsidR="00B13C3B" w:rsidRPr="00D36D1A">
        <w:rPr>
          <w:rFonts w:ascii="Times New Roman" w:hAnsi="Times New Roman" w:cs="Times New Roman"/>
          <w:sz w:val="26"/>
          <w:szCs w:val="26"/>
        </w:rPr>
        <w:t>defin</w:t>
      </w:r>
      <w:r w:rsidR="00B13C3B">
        <w:rPr>
          <w:rFonts w:ascii="Times New Roman" w:hAnsi="Times New Roman" w:cs="Times New Roman"/>
          <w:sz w:val="26"/>
          <w:szCs w:val="26"/>
        </w:rPr>
        <w:t xml:space="preserve">e </w:t>
      </w:r>
      <w:r w:rsidR="00C23E01">
        <w:rPr>
          <w:rFonts w:ascii="Times New Roman" w:hAnsi="Times New Roman" w:cs="Times New Roman"/>
          <w:sz w:val="26"/>
          <w:szCs w:val="26"/>
        </w:rPr>
        <w:t>“</w:t>
      </w:r>
      <w:r w:rsidR="00B13C3B">
        <w:rPr>
          <w:rFonts w:ascii="Times New Roman" w:hAnsi="Times New Roman" w:cs="Times New Roman"/>
          <w:sz w:val="26"/>
          <w:szCs w:val="26"/>
        </w:rPr>
        <w:t>household</w:t>
      </w:r>
      <w:r w:rsidR="00B13C3B" w:rsidRPr="002826DF">
        <w:rPr>
          <w:rFonts w:ascii="Times New Roman" w:hAnsi="Times New Roman" w:cs="Times New Roman"/>
          <w:sz w:val="26"/>
          <w:szCs w:val="26"/>
        </w:rPr>
        <w:t xml:space="preserve"> income</w:t>
      </w:r>
      <w:r w:rsidR="00C23E01">
        <w:rPr>
          <w:rFonts w:ascii="Times New Roman" w:hAnsi="Times New Roman" w:cs="Times New Roman"/>
          <w:sz w:val="26"/>
          <w:szCs w:val="26"/>
        </w:rPr>
        <w:t>.”</w:t>
      </w:r>
      <w:r w:rsidR="00C43842">
        <w:rPr>
          <w:rFonts w:ascii="Times New Roman" w:eastAsia="Times New Roman" w:hAnsi="Times New Roman" w:cs="Times New Roman"/>
          <w:sz w:val="26"/>
          <w:szCs w:val="26"/>
        </w:rPr>
        <w:t xml:space="preserve">  </w:t>
      </w:r>
    </w:p>
    <w:p w14:paraId="7DD372AA" w14:textId="77777777" w:rsidR="00566D21" w:rsidRPr="00566D21" w:rsidRDefault="00566D21" w:rsidP="00566D21">
      <w:pPr>
        <w:spacing w:after="0" w:line="360" w:lineRule="auto"/>
        <w:contextualSpacing/>
        <w:rPr>
          <w:rFonts w:ascii="Times New Roman" w:eastAsia="Times New Roman" w:hAnsi="Times New Roman" w:cs="Times New Roman"/>
          <w:sz w:val="26"/>
          <w:szCs w:val="26"/>
        </w:rPr>
      </w:pPr>
    </w:p>
    <w:p w14:paraId="2A273D22" w14:textId="47F3468B" w:rsidR="006E6E22" w:rsidRDefault="004C0A38" w:rsidP="00C43842">
      <w:pPr>
        <w:spacing w:after="0" w:line="360" w:lineRule="auto"/>
        <w:contextualSpacing/>
        <w:rPr>
          <w:rFonts w:ascii="Times New Roman" w:eastAsia="Times New Roman" w:hAnsi="Times New Roman" w:cs="Times New Roman"/>
          <w:sz w:val="26"/>
          <w:szCs w:val="26"/>
        </w:rPr>
      </w:pPr>
      <w:r>
        <w:rPr>
          <w:rFonts w:ascii="Times New Roman" w:hAnsi="Times New Roman" w:cs="Times New Roman"/>
          <w:sz w:val="26"/>
          <w:szCs w:val="26"/>
        </w:rPr>
        <w:tab/>
      </w:r>
      <w:r w:rsidR="006E6E22" w:rsidRPr="00C80D3A">
        <w:rPr>
          <w:rFonts w:ascii="Times New Roman" w:hAnsi="Times New Roman" w:cs="Times New Roman"/>
          <w:sz w:val="26"/>
          <w:szCs w:val="26"/>
        </w:rPr>
        <w:t xml:space="preserve">During the </w:t>
      </w:r>
      <w:r w:rsidR="006E6E22" w:rsidRPr="00C80D3A">
        <w:rPr>
          <w:rFonts w:ascii="Times New Roman" w:hAnsi="Times New Roman" w:cs="Times New Roman"/>
          <w:i/>
          <w:iCs/>
          <w:sz w:val="26"/>
          <w:szCs w:val="26"/>
        </w:rPr>
        <w:t>Review</w:t>
      </w:r>
      <w:r w:rsidR="006E6E22" w:rsidRPr="00C80D3A">
        <w:rPr>
          <w:rFonts w:ascii="Times New Roman" w:hAnsi="Times New Roman" w:cs="Times New Roman"/>
          <w:sz w:val="26"/>
          <w:szCs w:val="26"/>
        </w:rPr>
        <w:t xml:space="preserve"> proceeding, stakeholders recommended </w:t>
      </w:r>
      <w:r w:rsidR="00520F55">
        <w:rPr>
          <w:rFonts w:ascii="Times New Roman" w:hAnsi="Times New Roman" w:cs="Times New Roman"/>
          <w:sz w:val="26"/>
          <w:szCs w:val="26"/>
        </w:rPr>
        <w:t>standar</w:t>
      </w:r>
      <w:r w:rsidR="005634D1">
        <w:rPr>
          <w:rFonts w:ascii="Times New Roman" w:hAnsi="Times New Roman" w:cs="Times New Roman"/>
          <w:sz w:val="26"/>
          <w:szCs w:val="26"/>
        </w:rPr>
        <w:t xml:space="preserve">dizing </w:t>
      </w:r>
      <w:r w:rsidR="00AE3A24">
        <w:rPr>
          <w:rFonts w:ascii="Times New Roman" w:hAnsi="Times New Roman" w:cs="Times New Roman"/>
          <w:sz w:val="26"/>
          <w:szCs w:val="26"/>
        </w:rPr>
        <w:t>how</w:t>
      </w:r>
      <w:r w:rsidR="005634D1">
        <w:rPr>
          <w:rFonts w:ascii="Times New Roman" w:hAnsi="Times New Roman" w:cs="Times New Roman"/>
          <w:sz w:val="26"/>
          <w:szCs w:val="26"/>
        </w:rPr>
        <w:t xml:space="preserve"> household </w:t>
      </w:r>
      <w:r w:rsidR="00AE3A24">
        <w:rPr>
          <w:rFonts w:ascii="Times New Roman" w:hAnsi="Times New Roman" w:cs="Times New Roman"/>
          <w:sz w:val="26"/>
          <w:szCs w:val="26"/>
        </w:rPr>
        <w:t xml:space="preserve">income </w:t>
      </w:r>
      <w:r w:rsidR="00B0713E">
        <w:rPr>
          <w:rFonts w:ascii="Times New Roman" w:hAnsi="Times New Roman" w:cs="Times New Roman"/>
          <w:sz w:val="26"/>
          <w:szCs w:val="26"/>
        </w:rPr>
        <w:t xml:space="preserve">is </w:t>
      </w:r>
      <w:r>
        <w:rPr>
          <w:rFonts w:ascii="Times New Roman" w:hAnsi="Times New Roman" w:cs="Times New Roman"/>
          <w:sz w:val="26"/>
          <w:szCs w:val="26"/>
        </w:rPr>
        <w:t xml:space="preserve">defined and </w:t>
      </w:r>
      <w:r w:rsidR="00B0713E">
        <w:rPr>
          <w:rFonts w:ascii="Times New Roman" w:hAnsi="Times New Roman" w:cs="Times New Roman"/>
          <w:sz w:val="26"/>
          <w:szCs w:val="26"/>
        </w:rPr>
        <w:t xml:space="preserve">documented </w:t>
      </w:r>
      <w:r w:rsidR="00016D4F">
        <w:rPr>
          <w:rFonts w:ascii="Times New Roman" w:hAnsi="Times New Roman" w:cs="Times New Roman"/>
          <w:sz w:val="26"/>
          <w:szCs w:val="26"/>
        </w:rPr>
        <w:t>when determining CAP eligibility</w:t>
      </w:r>
      <w:r>
        <w:rPr>
          <w:rFonts w:ascii="Times New Roman" w:hAnsi="Times New Roman" w:cs="Times New Roman"/>
          <w:sz w:val="26"/>
          <w:szCs w:val="26"/>
        </w:rPr>
        <w:t xml:space="preserve"> a</w:t>
      </w:r>
      <w:r w:rsidR="007D099C">
        <w:rPr>
          <w:rFonts w:ascii="Times New Roman" w:hAnsi="Times New Roman" w:cs="Times New Roman"/>
          <w:sz w:val="26"/>
          <w:szCs w:val="26"/>
        </w:rPr>
        <w:t>nd benefits</w:t>
      </w:r>
      <w:r w:rsidR="006E6E22" w:rsidRPr="00C80D3A">
        <w:rPr>
          <w:rFonts w:ascii="Times New Roman" w:hAnsi="Times New Roman" w:cs="Times New Roman"/>
          <w:sz w:val="26"/>
          <w:szCs w:val="26"/>
        </w:rPr>
        <w:t>.</w:t>
      </w:r>
    </w:p>
    <w:p w14:paraId="2C6BAED9" w14:textId="77777777" w:rsidR="006E6E22" w:rsidRDefault="006E6E22" w:rsidP="00C43842">
      <w:pPr>
        <w:spacing w:after="0" w:line="360" w:lineRule="auto"/>
        <w:contextualSpacing/>
        <w:rPr>
          <w:rFonts w:ascii="Times New Roman" w:eastAsia="Times New Roman" w:hAnsi="Times New Roman" w:cs="Times New Roman"/>
          <w:sz w:val="26"/>
          <w:szCs w:val="26"/>
        </w:rPr>
      </w:pPr>
    </w:p>
    <w:p w14:paraId="33E2DEDE" w14:textId="0FADA814" w:rsidR="00C43842" w:rsidRPr="008B66B6" w:rsidRDefault="00C43842" w:rsidP="009A3B4B">
      <w:pPr>
        <w:spacing w:after="0" w:line="240" w:lineRule="auto"/>
        <w:contextualSpacing/>
        <w:rPr>
          <w:rFonts w:ascii="Times New Roman" w:eastAsia="Times New Roman" w:hAnsi="Times New Roman" w:cs="Times New Roman"/>
          <w:i/>
          <w:sz w:val="26"/>
          <w:szCs w:val="26"/>
        </w:rPr>
      </w:pPr>
      <w:r w:rsidRPr="008B66B6">
        <w:rPr>
          <w:rFonts w:ascii="Times New Roman" w:eastAsia="Times New Roman" w:hAnsi="Times New Roman" w:cs="Times New Roman"/>
          <w:i/>
          <w:sz w:val="26"/>
          <w:szCs w:val="26"/>
        </w:rPr>
        <w:t>Review of Universal Service and Energy Conservation Programs</w:t>
      </w:r>
      <w:r w:rsidR="002F3027">
        <w:rPr>
          <w:rFonts w:ascii="Times New Roman" w:eastAsia="Times New Roman" w:hAnsi="Times New Roman" w:cs="Times New Roman"/>
          <w:i/>
          <w:sz w:val="26"/>
          <w:szCs w:val="26"/>
        </w:rPr>
        <w:t>,</w:t>
      </w:r>
      <w:r w:rsidRPr="008B66B6">
        <w:rPr>
          <w:rFonts w:ascii="Times New Roman" w:eastAsia="Times New Roman" w:hAnsi="Times New Roman" w:cs="Times New Roman"/>
          <w:i/>
          <w:sz w:val="26"/>
          <w:szCs w:val="26"/>
        </w:rPr>
        <w:t xml:space="preserve"> Docket No. M</w:t>
      </w:r>
      <w:r w:rsidR="002F3027">
        <w:rPr>
          <w:rFonts w:ascii="Times New Roman" w:eastAsia="Times New Roman" w:hAnsi="Times New Roman" w:cs="Times New Roman"/>
          <w:i/>
          <w:sz w:val="26"/>
          <w:szCs w:val="26"/>
        </w:rPr>
        <w:noBreakHyphen/>
      </w:r>
      <w:r w:rsidRPr="008B66B6">
        <w:rPr>
          <w:rFonts w:ascii="Times New Roman" w:eastAsia="Times New Roman" w:hAnsi="Times New Roman" w:cs="Times New Roman"/>
          <w:i/>
          <w:sz w:val="26"/>
          <w:szCs w:val="26"/>
        </w:rPr>
        <w:t>2017</w:t>
      </w:r>
      <w:r w:rsidR="002F3027">
        <w:rPr>
          <w:rFonts w:ascii="Times New Roman" w:eastAsia="Times New Roman" w:hAnsi="Times New Roman" w:cs="Times New Roman"/>
          <w:i/>
          <w:sz w:val="26"/>
          <w:szCs w:val="26"/>
        </w:rPr>
        <w:noBreakHyphen/>
      </w:r>
      <w:r w:rsidRPr="008B66B6">
        <w:rPr>
          <w:rFonts w:ascii="Times New Roman" w:eastAsia="Times New Roman" w:hAnsi="Times New Roman" w:cs="Times New Roman"/>
          <w:i/>
          <w:sz w:val="26"/>
          <w:szCs w:val="26"/>
        </w:rPr>
        <w:t>2596907</w:t>
      </w:r>
    </w:p>
    <w:p w14:paraId="218CAEE9" w14:textId="77777777" w:rsidR="00C43842" w:rsidRDefault="00C43842" w:rsidP="009A3B4B">
      <w:pPr>
        <w:spacing w:after="0" w:line="240" w:lineRule="auto"/>
        <w:contextualSpacing/>
        <w:rPr>
          <w:rFonts w:ascii="Times New Roman" w:eastAsia="Times New Roman" w:hAnsi="Times New Roman" w:cs="Times New Roman"/>
          <w:sz w:val="26"/>
          <w:szCs w:val="26"/>
        </w:rPr>
      </w:pPr>
    </w:p>
    <w:p w14:paraId="2D1EE654" w14:textId="00FA3CF1" w:rsidR="00C43842" w:rsidRDefault="00C43842" w:rsidP="00C43842">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D40DB0">
        <w:rPr>
          <w:rFonts w:ascii="Times New Roman" w:eastAsia="Times New Roman" w:hAnsi="Times New Roman" w:cs="Times New Roman"/>
          <w:sz w:val="26"/>
          <w:szCs w:val="26"/>
        </w:rPr>
        <w:t xml:space="preserve">he </w:t>
      </w:r>
      <w:r w:rsidRPr="00C35DC7">
        <w:rPr>
          <w:rFonts w:ascii="Times New Roman" w:eastAsia="Times New Roman" w:hAnsi="Times New Roman" w:cs="Times New Roman"/>
          <w:sz w:val="26"/>
          <w:szCs w:val="26"/>
        </w:rPr>
        <w:t>Low Income Advocates</w:t>
      </w:r>
      <w:r w:rsidRPr="00D40DB0">
        <w:rPr>
          <w:rFonts w:ascii="Times New Roman" w:eastAsia="Times New Roman" w:hAnsi="Times New Roman" w:cs="Times New Roman"/>
          <w:sz w:val="26"/>
          <w:szCs w:val="26"/>
        </w:rPr>
        <w:t xml:space="preserve"> </w:t>
      </w:r>
      <w:r w:rsidR="003C0CF8">
        <w:rPr>
          <w:rFonts w:ascii="Times New Roman" w:eastAsia="Times New Roman" w:hAnsi="Times New Roman" w:cs="Times New Roman"/>
          <w:sz w:val="26"/>
          <w:szCs w:val="26"/>
        </w:rPr>
        <w:t>advised</w:t>
      </w:r>
      <w:r w:rsidRPr="00D40DB0">
        <w:rPr>
          <w:rFonts w:ascii="Times New Roman" w:eastAsia="Times New Roman" w:hAnsi="Times New Roman" w:cs="Times New Roman"/>
          <w:sz w:val="26"/>
          <w:szCs w:val="26"/>
        </w:rPr>
        <w:t xml:space="preserve"> the Commission to adopt flexible and consistent income documentation standards as many utility USECPs do not disclose how the utility calculates income and/or what documentation the utility requests from CAP applicants.  The</w:t>
      </w:r>
      <w:r>
        <w:rPr>
          <w:rFonts w:ascii="Times New Roman" w:eastAsia="Times New Roman" w:hAnsi="Times New Roman" w:cs="Times New Roman"/>
          <w:sz w:val="26"/>
          <w:szCs w:val="26"/>
        </w:rPr>
        <w:t>y noted the</w:t>
      </w:r>
      <w:r w:rsidRPr="00D40DB0">
        <w:rPr>
          <w:rFonts w:ascii="Times New Roman" w:eastAsia="Times New Roman" w:hAnsi="Times New Roman" w:cs="Times New Roman"/>
          <w:sz w:val="26"/>
          <w:szCs w:val="26"/>
        </w:rPr>
        <w:t xml:space="preserve"> lack of clear guidelines for income documentation is particularly problematic for low-income </w:t>
      </w:r>
      <w:r w:rsidR="00511FCB">
        <w:rPr>
          <w:rFonts w:ascii="Times New Roman" w:eastAsia="Times New Roman" w:hAnsi="Times New Roman" w:cs="Times New Roman"/>
          <w:sz w:val="26"/>
          <w:szCs w:val="26"/>
        </w:rPr>
        <w:t>per</w:t>
      </w:r>
      <w:r w:rsidR="001E2641">
        <w:rPr>
          <w:rFonts w:ascii="Times New Roman" w:eastAsia="Times New Roman" w:hAnsi="Times New Roman" w:cs="Times New Roman"/>
          <w:sz w:val="26"/>
          <w:szCs w:val="26"/>
        </w:rPr>
        <w:t>sons who</w:t>
      </w:r>
      <w:r w:rsidRPr="00D40DB0">
        <w:rPr>
          <w:rFonts w:ascii="Times New Roman" w:eastAsia="Times New Roman" w:hAnsi="Times New Roman" w:cs="Times New Roman"/>
          <w:sz w:val="26"/>
          <w:szCs w:val="26"/>
        </w:rPr>
        <w:t xml:space="preserve"> often work “odd jobs,” receive inconsistent support from family or friends, or otherwise earn income through non-traditional employment.</w:t>
      </w:r>
      <w:r>
        <w:rPr>
          <w:rFonts w:ascii="Times New Roman" w:eastAsia="Times New Roman" w:hAnsi="Times New Roman" w:cs="Times New Roman"/>
          <w:sz w:val="26"/>
          <w:szCs w:val="26"/>
        </w:rPr>
        <w:t xml:space="preserve">  </w:t>
      </w:r>
      <w:r w:rsidRPr="00547DF7">
        <w:rPr>
          <w:rFonts w:ascii="Times New Roman" w:eastAsia="Times New Roman" w:hAnsi="Times New Roman" w:cs="Times New Roman"/>
          <w:sz w:val="26"/>
          <w:szCs w:val="26"/>
        </w:rPr>
        <w:t>Low Income Advocate Comments at 36</w:t>
      </w:r>
      <w:r w:rsidR="003217A4">
        <w:rPr>
          <w:rFonts w:ascii="Times New Roman" w:eastAsia="Times New Roman" w:hAnsi="Times New Roman" w:cs="Times New Roman"/>
          <w:sz w:val="26"/>
          <w:szCs w:val="26"/>
        </w:rPr>
        <w:t>–</w:t>
      </w:r>
      <w:r w:rsidRPr="00547DF7">
        <w:rPr>
          <w:rFonts w:ascii="Times New Roman" w:eastAsia="Times New Roman" w:hAnsi="Times New Roman" w:cs="Times New Roman"/>
          <w:sz w:val="26"/>
          <w:szCs w:val="26"/>
        </w:rPr>
        <w:t>37.</w:t>
      </w:r>
    </w:p>
    <w:p w14:paraId="1576FB83" w14:textId="77777777" w:rsidR="00C43842" w:rsidRDefault="00C43842" w:rsidP="00C43842">
      <w:pPr>
        <w:spacing w:after="0" w:line="360" w:lineRule="auto"/>
        <w:contextualSpacing/>
        <w:rPr>
          <w:rFonts w:ascii="Times New Roman" w:eastAsia="Times New Roman" w:hAnsi="Times New Roman" w:cs="Times New Roman"/>
          <w:sz w:val="26"/>
          <w:szCs w:val="26"/>
        </w:rPr>
      </w:pPr>
    </w:p>
    <w:p w14:paraId="109B7FA6" w14:textId="6A01B6F4" w:rsidR="00C43842" w:rsidRDefault="00C43842" w:rsidP="00C43842">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OCA recommended </w:t>
      </w:r>
      <w:r w:rsidRPr="00414D0E">
        <w:rPr>
          <w:rFonts w:ascii="Times New Roman" w:eastAsia="Times New Roman" w:hAnsi="Times New Roman" w:cs="Times New Roman"/>
          <w:sz w:val="26"/>
          <w:szCs w:val="26"/>
        </w:rPr>
        <w:t>the Commission look to the income documentation requirements imposed by Pennsylvania</w:t>
      </w:r>
      <w:r w:rsidR="001529C6">
        <w:rPr>
          <w:rFonts w:ascii="Times New Roman" w:eastAsia="Times New Roman" w:hAnsi="Times New Roman" w:cs="Times New Roman"/>
          <w:sz w:val="26"/>
          <w:szCs w:val="26"/>
        </w:rPr>
        <w:t>’</w:t>
      </w:r>
      <w:r w:rsidRPr="00414D0E">
        <w:rPr>
          <w:rFonts w:ascii="Times New Roman" w:eastAsia="Times New Roman" w:hAnsi="Times New Roman" w:cs="Times New Roman"/>
          <w:sz w:val="26"/>
          <w:szCs w:val="26"/>
        </w:rPr>
        <w:t xml:space="preserve">s LIHEAP for guidance.  If the income documentation is sufficient to establish income eligibility to receive LIHEAP assistance, OCA </w:t>
      </w:r>
      <w:r>
        <w:rPr>
          <w:rFonts w:ascii="Times New Roman" w:eastAsia="Times New Roman" w:hAnsi="Times New Roman" w:cs="Times New Roman"/>
          <w:sz w:val="26"/>
          <w:szCs w:val="26"/>
        </w:rPr>
        <w:t>opined</w:t>
      </w:r>
      <w:r w:rsidRPr="00414D0E">
        <w:rPr>
          <w:rFonts w:ascii="Times New Roman" w:eastAsia="Times New Roman" w:hAnsi="Times New Roman" w:cs="Times New Roman"/>
          <w:sz w:val="26"/>
          <w:szCs w:val="26"/>
        </w:rPr>
        <w:t xml:space="preserve"> that the same documentation should be sufficient to establish income eligibility for CAP assistance.</w:t>
      </w:r>
      <w:r>
        <w:rPr>
          <w:rFonts w:ascii="Times New Roman" w:eastAsia="Times New Roman" w:hAnsi="Times New Roman" w:cs="Times New Roman"/>
          <w:sz w:val="26"/>
          <w:szCs w:val="26"/>
        </w:rPr>
        <w:t xml:space="preserve">  </w:t>
      </w:r>
      <w:r w:rsidRPr="00E22605">
        <w:rPr>
          <w:rFonts w:ascii="Times New Roman" w:eastAsia="Times New Roman" w:hAnsi="Times New Roman" w:cs="Times New Roman"/>
          <w:sz w:val="26"/>
          <w:szCs w:val="26"/>
        </w:rPr>
        <w:t>OCA Reply Comments at 10.</w:t>
      </w:r>
    </w:p>
    <w:p w14:paraId="387CB97B" w14:textId="77777777" w:rsidR="00C43842" w:rsidRDefault="00C43842" w:rsidP="00C43842">
      <w:pPr>
        <w:spacing w:after="0" w:line="360" w:lineRule="auto"/>
        <w:contextualSpacing/>
        <w:rPr>
          <w:rFonts w:ascii="Times New Roman" w:eastAsia="Times New Roman" w:hAnsi="Times New Roman" w:cs="Times New Roman"/>
          <w:sz w:val="26"/>
          <w:szCs w:val="26"/>
        </w:rPr>
      </w:pPr>
    </w:p>
    <w:p w14:paraId="23E463AD" w14:textId="1B67BE24" w:rsidR="00C43842" w:rsidRPr="00DA3950" w:rsidRDefault="00C43842" w:rsidP="00C43842">
      <w:pPr>
        <w:spacing w:after="0" w:line="360" w:lineRule="auto"/>
        <w:ind w:firstLine="720"/>
        <w:contextualSpacing/>
        <w:rPr>
          <w:rFonts w:ascii="Times New Roman" w:eastAsia="Times New Roman" w:hAnsi="Times New Roman" w:cs="Times New Roman"/>
          <w:sz w:val="26"/>
          <w:szCs w:val="26"/>
        </w:rPr>
      </w:pPr>
      <w:r w:rsidRPr="00DA3950">
        <w:rPr>
          <w:rFonts w:ascii="Times New Roman" w:eastAsia="Times New Roman" w:hAnsi="Times New Roman" w:cs="Times New Roman"/>
          <w:sz w:val="26"/>
          <w:szCs w:val="26"/>
        </w:rPr>
        <w:t>Both the Low</w:t>
      </w:r>
      <w:r>
        <w:rPr>
          <w:rFonts w:ascii="Times New Roman" w:eastAsia="Times New Roman" w:hAnsi="Times New Roman" w:cs="Times New Roman"/>
          <w:sz w:val="26"/>
          <w:szCs w:val="26"/>
        </w:rPr>
        <w:t xml:space="preserve"> </w:t>
      </w:r>
      <w:r w:rsidRPr="00DA3950">
        <w:rPr>
          <w:rFonts w:ascii="Times New Roman" w:eastAsia="Times New Roman" w:hAnsi="Times New Roman" w:cs="Times New Roman"/>
          <w:sz w:val="26"/>
          <w:szCs w:val="26"/>
        </w:rPr>
        <w:t>Income Advocates and OCA supported referring income documentation issues to a working group consisting of Commission staff and interested stakeholders, which could explore the issue more thoroughly and develop recommendations to the Commission in furtherance of a consistent and fair policy for the Commission</w:t>
      </w:r>
      <w:r w:rsidR="001529C6">
        <w:rPr>
          <w:rFonts w:ascii="Times New Roman" w:eastAsia="Times New Roman" w:hAnsi="Times New Roman" w:cs="Times New Roman"/>
          <w:sz w:val="26"/>
          <w:szCs w:val="26"/>
        </w:rPr>
        <w:t>’</w:t>
      </w:r>
      <w:r w:rsidRPr="00DA3950">
        <w:rPr>
          <w:rFonts w:ascii="Times New Roman" w:eastAsia="Times New Roman" w:hAnsi="Times New Roman" w:cs="Times New Roman"/>
          <w:sz w:val="26"/>
          <w:szCs w:val="26"/>
        </w:rPr>
        <w:t>s adoption.  Low Income Advocate Comments at 37</w:t>
      </w:r>
      <w:r>
        <w:rPr>
          <w:rFonts w:ascii="Times New Roman" w:eastAsia="Times New Roman" w:hAnsi="Times New Roman" w:cs="Times New Roman"/>
          <w:sz w:val="26"/>
          <w:szCs w:val="26"/>
        </w:rPr>
        <w:t xml:space="preserve"> and OCA Reply Comments at 10</w:t>
      </w:r>
      <w:r w:rsidRPr="00DA3950">
        <w:rPr>
          <w:rFonts w:ascii="Times New Roman" w:eastAsia="Times New Roman" w:hAnsi="Times New Roman" w:cs="Times New Roman"/>
          <w:sz w:val="26"/>
          <w:szCs w:val="26"/>
        </w:rPr>
        <w:t>.</w:t>
      </w:r>
    </w:p>
    <w:p w14:paraId="40BF0826" w14:textId="77777777" w:rsidR="00A92900" w:rsidRDefault="00A92900" w:rsidP="006063B4">
      <w:pPr>
        <w:spacing w:after="0" w:line="360" w:lineRule="auto"/>
        <w:ind w:firstLine="720"/>
        <w:rPr>
          <w:rFonts w:ascii="Times New Roman" w:hAnsi="Times New Roman" w:cs="Times New Roman"/>
          <w:sz w:val="26"/>
          <w:szCs w:val="26"/>
        </w:rPr>
      </w:pPr>
    </w:p>
    <w:p w14:paraId="076C5DFF" w14:textId="2CB7CDE1" w:rsidR="00A92900" w:rsidRPr="00A03DF1" w:rsidRDefault="00A03DF1" w:rsidP="00A03DF1">
      <w:pPr>
        <w:spacing w:after="0" w:line="360" w:lineRule="auto"/>
        <w:rPr>
          <w:rFonts w:ascii="Times New Roman" w:hAnsi="Times New Roman" w:cs="Times New Roman"/>
          <w:b/>
          <w:bCs/>
          <w:sz w:val="26"/>
          <w:szCs w:val="26"/>
        </w:rPr>
      </w:pPr>
      <w:r w:rsidRPr="00A03DF1">
        <w:rPr>
          <w:rFonts w:ascii="Times New Roman" w:hAnsi="Times New Roman" w:cs="Times New Roman"/>
          <w:b/>
          <w:bCs/>
          <w:sz w:val="26"/>
          <w:szCs w:val="26"/>
        </w:rPr>
        <w:t>Discussion</w:t>
      </w:r>
    </w:p>
    <w:p w14:paraId="04CCF3E8" w14:textId="2ADD93A3" w:rsidR="006063B4" w:rsidRPr="002826DF" w:rsidRDefault="006063B4" w:rsidP="006063B4">
      <w:pPr>
        <w:spacing w:after="0" w:line="360" w:lineRule="auto"/>
        <w:ind w:firstLine="720"/>
        <w:rPr>
          <w:rFonts w:ascii="Times New Roman" w:hAnsi="Times New Roman" w:cs="Times New Roman"/>
          <w:sz w:val="26"/>
          <w:szCs w:val="26"/>
        </w:rPr>
      </w:pPr>
      <w:r w:rsidRPr="002826DF">
        <w:rPr>
          <w:rFonts w:ascii="Times New Roman" w:hAnsi="Times New Roman" w:cs="Times New Roman"/>
          <w:sz w:val="26"/>
          <w:szCs w:val="26"/>
        </w:rPr>
        <w:t xml:space="preserve">To standardize </w:t>
      </w:r>
      <w:r w:rsidR="008A30E7">
        <w:rPr>
          <w:rFonts w:ascii="Times New Roman" w:hAnsi="Times New Roman" w:cs="Times New Roman"/>
          <w:sz w:val="26"/>
          <w:szCs w:val="26"/>
        </w:rPr>
        <w:t xml:space="preserve">the </w:t>
      </w:r>
      <w:r w:rsidR="00210A1E">
        <w:rPr>
          <w:rFonts w:ascii="Times New Roman" w:hAnsi="Times New Roman" w:cs="Times New Roman"/>
          <w:sz w:val="26"/>
          <w:szCs w:val="26"/>
        </w:rPr>
        <w:t>definition and documentation of household income</w:t>
      </w:r>
      <w:r w:rsidRPr="002826DF">
        <w:rPr>
          <w:rFonts w:ascii="Times New Roman" w:hAnsi="Times New Roman" w:cs="Times New Roman"/>
          <w:sz w:val="26"/>
          <w:szCs w:val="26"/>
        </w:rPr>
        <w:t xml:space="preserve">, we </w:t>
      </w:r>
      <w:r w:rsidR="00021306">
        <w:rPr>
          <w:rFonts w:ascii="Times New Roman" w:hAnsi="Times New Roman" w:cs="Times New Roman"/>
          <w:sz w:val="26"/>
          <w:szCs w:val="26"/>
        </w:rPr>
        <w:t xml:space="preserve">are </w:t>
      </w:r>
      <w:r w:rsidRPr="002826DF">
        <w:rPr>
          <w:rFonts w:ascii="Times New Roman" w:hAnsi="Times New Roman" w:cs="Times New Roman"/>
          <w:sz w:val="26"/>
          <w:szCs w:val="26"/>
        </w:rPr>
        <w:t>adopt</w:t>
      </w:r>
      <w:r w:rsidR="00021306">
        <w:rPr>
          <w:rFonts w:ascii="Times New Roman" w:hAnsi="Times New Roman" w:cs="Times New Roman"/>
          <w:sz w:val="26"/>
          <w:szCs w:val="26"/>
        </w:rPr>
        <w:t>ing</w:t>
      </w:r>
      <w:r w:rsidRPr="002826DF">
        <w:rPr>
          <w:rFonts w:ascii="Times New Roman" w:hAnsi="Times New Roman" w:cs="Times New Roman"/>
          <w:sz w:val="26"/>
          <w:szCs w:val="26"/>
        </w:rPr>
        <w:t xml:space="preserve"> the definition of income as prescribed in Chapter 14 of the Public Utility Code.</w:t>
      </w:r>
      <w:r w:rsidRPr="002826DF">
        <w:rPr>
          <w:rStyle w:val="FootnoteReference"/>
          <w:rFonts w:ascii="Times New Roman" w:hAnsi="Times New Roman" w:cs="Times New Roman"/>
          <w:sz w:val="26"/>
          <w:szCs w:val="26"/>
        </w:rPr>
        <w:footnoteReference w:id="125"/>
      </w:r>
      <w:r w:rsidR="00021306">
        <w:rPr>
          <w:rFonts w:ascii="Times New Roman" w:hAnsi="Times New Roman" w:cs="Times New Roman"/>
          <w:sz w:val="26"/>
          <w:szCs w:val="26"/>
        </w:rPr>
        <w:t xml:space="preserve">  </w:t>
      </w:r>
      <w:r w:rsidRPr="002826DF">
        <w:rPr>
          <w:rFonts w:ascii="Times New Roman" w:hAnsi="Times New Roman" w:cs="Times New Roman"/>
          <w:sz w:val="26"/>
          <w:szCs w:val="26"/>
        </w:rPr>
        <w:t xml:space="preserve">Chapter 14 defines </w:t>
      </w:r>
      <w:r w:rsidR="00B47E14">
        <w:rPr>
          <w:rFonts w:ascii="Times New Roman" w:hAnsi="Times New Roman" w:cs="Times New Roman"/>
          <w:sz w:val="26"/>
          <w:szCs w:val="26"/>
        </w:rPr>
        <w:t xml:space="preserve">“household income” </w:t>
      </w:r>
      <w:r w:rsidRPr="002826DF">
        <w:rPr>
          <w:rFonts w:ascii="Times New Roman" w:hAnsi="Times New Roman" w:cs="Times New Roman"/>
          <w:sz w:val="26"/>
          <w:szCs w:val="26"/>
        </w:rPr>
        <w:t xml:space="preserve">as “[t]he combined gross income of all adults in a residential household who benefit from the public utility service.”  </w:t>
      </w:r>
      <w:r w:rsidR="003433DF">
        <w:rPr>
          <w:rFonts w:ascii="Times New Roman" w:hAnsi="Times New Roman" w:cs="Times New Roman"/>
          <w:sz w:val="26"/>
          <w:szCs w:val="26"/>
        </w:rPr>
        <w:t>T</w:t>
      </w:r>
      <w:r w:rsidR="003433DF" w:rsidRPr="002826DF">
        <w:rPr>
          <w:rFonts w:ascii="Times New Roman" w:hAnsi="Times New Roman" w:cs="Times New Roman"/>
          <w:sz w:val="26"/>
          <w:szCs w:val="26"/>
        </w:rPr>
        <w:t xml:space="preserve">he Chapter 14 definition of </w:t>
      </w:r>
      <w:r w:rsidR="003433DF">
        <w:rPr>
          <w:rFonts w:ascii="Times New Roman" w:hAnsi="Times New Roman" w:cs="Times New Roman"/>
          <w:sz w:val="26"/>
          <w:szCs w:val="26"/>
        </w:rPr>
        <w:t>h</w:t>
      </w:r>
      <w:r w:rsidR="003433DF" w:rsidRPr="002826DF">
        <w:rPr>
          <w:rFonts w:ascii="Times New Roman" w:hAnsi="Times New Roman" w:cs="Times New Roman"/>
          <w:sz w:val="26"/>
          <w:szCs w:val="26"/>
        </w:rPr>
        <w:t xml:space="preserve">ousehold </w:t>
      </w:r>
      <w:r w:rsidR="003433DF">
        <w:rPr>
          <w:rFonts w:ascii="Times New Roman" w:hAnsi="Times New Roman" w:cs="Times New Roman"/>
          <w:sz w:val="26"/>
          <w:szCs w:val="26"/>
        </w:rPr>
        <w:t>i</w:t>
      </w:r>
      <w:r w:rsidR="003433DF" w:rsidRPr="002826DF">
        <w:rPr>
          <w:rFonts w:ascii="Times New Roman" w:hAnsi="Times New Roman" w:cs="Times New Roman"/>
          <w:sz w:val="26"/>
          <w:szCs w:val="26"/>
        </w:rPr>
        <w:t xml:space="preserve">ncome excludes earned and unearned income of minors.  </w:t>
      </w:r>
      <w:r w:rsidRPr="002826DF">
        <w:rPr>
          <w:rFonts w:ascii="Times New Roman" w:hAnsi="Times New Roman" w:cs="Times New Roman"/>
          <w:sz w:val="26"/>
          <w:szCs w:val="26"/>
        </w:rPr>
        <w:t>This is the definition that guides the Commission on how household income is calculated for the purposes of payment arrangement requests</w:t>
      </w:r>
      <w:r w:rsidR="002B2893">
        <w:rPr>
          <w:rFonts w:ascii="Times New Roman" w:hAnsi="Times New Roman" w:cs="Times New Roman"/>
          <w:sz w:val="26"/>
          <w:szCs w:val="26"/>
        </w:rPr>
        <w:t>,</w:t>
      </w:r>
      <w:r w:rsidRPr="002826DF">
        <w:rPr>
          <w:rFonts w:ascii="Times New Roman" w:hAnsi="Times New Roman" w:cs="Times New Roman"/>
          <w:sz w:val="26"/>
          <w:szCs w:val="26"/>
        </w:rPr>
        <w:t xml:space="preserve"> and arguably this should inform the utility calculation of household income as well.</w:t>
      </w:r>
    </w:p>
    <w:p w14:paraId="45B5C8CC" w14:textId="77777777" w:rsidR="006063B4" w:rsidRPr="002826DF" w:rsidRDefault="006063B4" w:rsidP="006063B4">
      <w:pPr>
        <w:spacing w:after="0" w:line="360" w:lineRule="auto"/>
        <w:ind w:firstLine="720"/>
        <w:rPr>
          <w:rFonts w:ascii="Times New Roman" w:hAnsi="Times New Roman" w:cs="Times New Roman"/>
          <w:sz w:val="26"/>
          <w:szCs w:val="26"/>
        </w:rPr>
      </w:pPr>
    </w:p>
    <w:p w14:paraId="69E518D1" w14:textId="269916C2" w:rsidR="006063B4" w:rsidRPr="002826DF" w:rsidRDefault="006063B4" w:rsidP="006063B4">
      <w:pPr>
        <w:spacing w:after="0" w:line="360" w:lineRule="auto"/>
        <w:ind w:firstLine="720"/>
        <w:rPr>
          <w:rFonts w:ascii="Times New Roman" w:hAnsi="Times New Roman" w:cs="Times New Roman"/>
          <w:sz w:val="26"/>
          <w:szCs w:val="26"/>
        </w:rPr>
      </w:pPr>
      <w:r w:rsidRPr="002826DF">
        <w:rPr>
          <w:rFonts w:ascii="Times New Roman" w:hAnsi="Times New Roman" w:cs="Times New Roman"/>
          <w:sz w:val="26"/>
          <w:szCs w:val="26"/>
        </w:rPr>
        <w:t>Adopting the Chapter 14 definition</w:t>
      </w:r>
      <w:r w:rsidR="00E319FF">
        <w:rPr>
          <w:rFonts w:ascii="Times New Roman" w:hAnsi="Times New Roman" w:cs="Times New Roman"/>
          <w:sz w:val="26"/>
          <w:szCs w:val="26"/>
        </w:rPr>
        <w:t xml:space="preserve"> will </w:t>
      </w:r>
      <w:r w:rsidR="00E319FF" w:rsidRPr="002826DF">
        <w:rPr>
          <w:rFonts w:ascii="Times New Roman" w:hAnsi="Times New Roman" w:cs="Times New Roman"/>
          <w:sz w:val="26"/>
          <w:szCs w:val="26"/>
        </w:rPr>
        <w:t>provide a singl</w:t>
      </w:r>
      <w:r w:rsidR="00F35880">
        <w:rPr>
          <w:rFonts w:ascii="Times New Roman" w:hAnsi="Times New Roman" w:cs="Times New Roman"/>
          <w:sz w:val="26"/>
          <w:szCs w:val="26"/>
        </w:rPr>
        <w:t>e</w:t>
      </w:r>
      <w:r w:rsidR="00E319FF" w:rsidRPr="002826DF">
        <w:rPr>
          <w:rFonts w:ascii="Times New Roman" w:hAnsi="Times New Roman" w:cs="Times New Roman"/>
          <w:sz w:val="26"/>
          <w:szCs w:val="26"/>
        </w:rPr>
        <w:t xml:space="preserve"> definition to be used by both the Commission and </w:t>
      </w:r>
      <w:r w:rsidR="00C76C2C">
        <w:rPr>
          <w:rFonts w:ascii="Times New Roman" w:hAnsi="Times New Roman" w:cs="Times New Roman"/>
          <w:sz w:val="26"/>
          <w:szCs w:val="26"/>
        </w:rPr>
        <w:t xml:space="preserve">the </w:t>
      </w:r>
      <w:r w:rsidR="00016773">
        <w:rPr>
          <w:rFonts w:ascii="Times New Roman" w:hAnsi="Times New Roman" w:cs="Times New Roman"/>
          <w:sz w:val="26"/>
          <w:szCs w:val="26"/>
        </w:rPr>
        <w:t xml:space="preserve">energy </w:t>
      </w:r>
      <w:r w:rsidR="00C76C2C">
        <w:rPr>
          <w:rFonts w:ascii="Times New Roman" w:hAnsi="Times New Roman" w:cs="Times New Roman"/>
          <w:sz w:val="26"/>
          <w:szCs w:val="26"/>
        </w:rPr>
        <w:t>utilities</w:t>
      </w:r>
      <w:r w:rsidR="00EC255E">
        <w:rPr>
          <w:rFonts w:ascii="Times New Roman" w:hAnsi="Times New Roman" w:cs="Times New Roman"/>
          <w:sz w:val="26"/>
          <w:szCs w:val="26"/>
        </w:rPr>
        <w:t xml:space="preserve"> and</w:t>
      </w:r>
      <w:r w:rsidRPr="002826DF">
        <w:rPr>
          <w:rFonts w:ascii="Times New Roman" w:hAnsi="Times New Roman" w:cs="Times New Roman"/>
          <w:sz w:val="26"/>
          <w:szCs w:val="26"/>
        </w:rPr>
        <w:t xml:space="preserve"> </w:t>
      </w:r>
      <w:r w:rsidR="006536C4">
        <w:rPr>
          <w:rFonts w:ascii="Times New Roman" w:hAnsi="Times New Roman" w:cs="Times New Roman"/>
          <w:sz w:val="26"/>
          <w:szCs w:val="26"/>
        </w:rPr>
        <w:t>should</w:t>
      </w:r>
      <w:r w:rsidRPr="002826DF">
        <w:rPr>
          <w:rFonts w:ascii="Times New Roman" w:hAnsi="Times New Roman" w:cs="Times New Roman"/>
          <w:sz w:val="26"/>
          <w:szCs w:val="26"/>
        </w:rPr>
        <w:t xml:space="preserve"> </w:t>
      </w:r>
      <w:r w:rsidR="009D101A">
        <w:rPr>
          <w:rFonts w:ascii="Times New Roman" w:hAnsi="Times New Roman" w:cs="Times New Roman"/>
          <w:sz w:val="26"/>
          <w:szCs w:val="26"/>
        </w:rPr>
        <w:t>facilitate</w:t>
      </w:r>
      <w:r w:rsidRPr="002826DF">
        <w:rPr>
          <w:rFonts w:ascii="Times New Roman" w:hAnsi="Times New Roman" w:cs="Times New Roman"/>
          <w:sz w:val="26"/>
          <w:szCs w:val="26"/>
        </w:rPr>
        <w:t xml:space="preserve"> </w:t>
      </w:r>
      <w:r w:rsidR="006536C4">
        <w:rPr>
          <w:rFonts w:ascii="Times New Roman" w:hAnsi="Times New Roman" w:cs="Times New Roman"/>
          <w:sz w:val="26"/>
          <w:szCs w:val="26"/>
        </w:rPr>
        <w:t xml:space="preserve">greater </w:t>
      </w:r>
      <w:r w:rsidRPr="002826DF">
        <w:rPr>
          <w:rFonts w:ascii="Times New Roman" w:hAnsi="Times New Roman" w:cs="Times New Roman"/>
          <w:sz w:val="26"/>
          <w:szCs w:val="26"/>
        </w:rPr>
        <w:t xml:space="preserve">consistency among utilities </w:t>
      </w:r>
      <w:r w:rsidR="003A4650">
        <w:rPr>
          <w:rFonts w:ascii="Times New Roman" w:hAnsi="Times New Roman" w:cs="Times New Roman"/>
          <w:sz w:val="26"/>
          <w:szCs w:val="26"/>
        </w:rPr>
        <w:t xml:space="preserve">in determining and documenting household income.  </w:t>
      </w:r>
      <w:r w:rsidR="00021306">
        <w:rPr>
          <w:rFonts w:ascii="Times New Roman" w:hAnsi="Times New Roman" w:cs="Times New Roman"/>
          <w:sz w:val="26"/>
          <w:szCs w:val="26"/>
        </w:rPr>
        <w:t xml:space="preserve">This should work towards </w:t>
      </w:r>
      <w:r w:rsidR="00873D71">
        <w:rPr>
          <w:rFonts w:ascii="Times New Roman" w:hAnsi="Times New Roman" w:cs="Times New Roman"/>
          <w:sz w:val="26"/>
          <w:szCs w:val="26"/>
        </w:rPr>
        <w:t xml:space="preserve">eliminating </w:t>
      </w:r>
      <w:r w:rsidR="00021306" w:rsidRPr="002826DF">
        <w:rPr>
          <w:rFonts w:ascii="Times New Roman" w:hAnsi="Times New Roman" w:cs="Times New Roman"/>
          <w:sz w:val="26"/>
          <w:szCs w:val="26"/>
        </w:rPr>
        <w:t>disparate p</w:t>
      </w:r>
      <w:r w:rsidR="003A7D9E">
        <w:rPr>
          <w:rFonts w:ascii="Times New Roman" w:hAnsi="Times New Roman" w:cs="Times New Roman"/>
          <w:sz w:val="26"/>
          <w:szCs w:val="26"/>
        </w:rPr>
        <w:t>arameters of CAP qualifications</w:t>
      </w:r>
      <w:r w:rsidR="00021306" w:rsidRPr="002826DF">
        <w:rPr>
          <w:rFonts w:ascii="Times New Roman" w:hAnsi="Times New Roman" w:cs="Times New Roman"/>
          <w:sz w:val="26"/>
          <w:szCs w:val="26"/>
        </w:rPr>
        <w:t xml:space="preserve"> </w:t>
      </w:r>
      <w:r w:rsidR="00873D71">
        <w:rPr>
          <w:rFonts w:ascii="Times New Roman" w:hAnsi="Times New Roman" w:cs="Times New Roman"/>
          <w:sz w:val="26"/>
          <w:szCs w:val="26"/>
        </w:rPr>
        <w:t xml:space="preserve">among the EDCs and NGDCs </w:t>
      </w:r>
      <w:r w:rsidR="0013579A">
        <w:rPr>
          <w:rFonts w:ascii="Times New Roman" w:hAnsi="Times New Roman" w:cs="Times New Roman"/>
          <w:sz w:val="26"/>
          <w:szCs w:val="26"/>
        </w:rPr>
        <w:t xml:space="preserve">with the goal of </w:t>
      </w:r>
      <w:r w:rsidR="00511899">
        <w:rPr>
          <w:rFonts w:ascii="Times New Roman" w:hAnsi="Times New Roman" w:cs="Times New Roman"/>
          <w:sz w:val="26"/>
          <w:szCs w:val="26"/>
        </w:rPr>
        <w:t xml:space="preserve">fostering </w:t>
      </w:r>
      <w:r w:rsidR="0013579A">
        <w:rPr>
          <w:rFonts w:ascii="Times New Roman" w:hAnsi="Times New Roman" w:cs="Times New Roman"/>
          <w:sz w:val="26"/>
          <w:szCs w:val="26"/>
        </w:rPr>
        <w:t xml:space="preserve">more </w:t>
      </w:r>
      <w:r w:rsidR="00021306" w:rsidRPr="002826DF">
        <w:rPr>
          <w:rFonts w:ascii="Times New Roman" w:hAnsi="Times New Roman" w:cs="Times New Roman"/>
          <w:sz w:val="26"/>
          <w:szCs w:val="26"/>
        </w:rPr>
        <w:t xml:space="preserve">uniformity in program implementation.  </w:t>
      </w:r>
    </w:p>
    <w:p w14:paraId="1A651A5B" w14:textId="77777777" w:rsidR="008E0F27" w:rsidRDefault="008E0F27" w:rsidP="008E0F27">
      <w:pPr>
        <w:spacing w:after="0" w:line="360" w:lineRule="auto"/>
        <w:contextualSpacing/>
        <w:rPr>
          <w:rFonts w:ascii="Times New Roman" w:hAnsi="Times New Roman" w:cs="Times New Roman"/>
          <w:b/>
          <w:bCs/>
          <w:color w:val="0D0D0D" w:themeColor="text1" w:themeTint="F2"/>
          <w:sz w:val="26"/>
          <w:szCs w:val="26"/>
        </w:rPr>
      </w:pPr>
    </w:p>
    <w:p w14:paraId="51886E2D" w14:textId="38E23561" w:rsidR="008E0F27" w:rsidRDefault="008E0F27" w:rsidP="0077058C">
      <w:pPr>
        <w:keepNext/>
        <w:spacing w:after="0" w:line="240" w:lineRule="auto"/>
        <w:contextualSpacing/>
        <w:rPr>
          <w:rFonts w:ascii="Times New Roman" w:hAnsi="Times New Roman" w:cs="Times New Roman"/>
          <w:b/>
          <w:bCs/>
          <w:sz w:val="26"/>
          <w:szCs w:val="26"/>
        </w:rPr>
      </w:pPr>
      <w:r w:rsidRPr="00A20145">
        <w:rPr>
          <w:rFonts w:ascii="Times New Roman" w:hAnsi="Times New Roman" w:cs="Times New Roman"/>
          <w:b/>
          <w:bCs/>
          <w:color w:val="0D0D0D" w:themeColor="text1" w:themeTint="F2"/>
          <w:sz w:val="26"/>
          <w:szCs w:val="26"/>
        </w:rPr>
        <w:t>Resolution</w:t>
      </w:r>
      <w:r w:rsidRPr="0068555B">
        <w:rPr>
          <w:rFonts w:ascii="Times New Roman" w:hAnsi="Times New Roman" w:cs="Times New Roman"/>
          <w:b/>
          <w:bCs/>
          <w:color w:val="0D0D0D" w:themeColor="text1" w:themeTint="F2"/>
          <w:sz w:val="26"/>
          <w:szCs w:val="26"/>
        </w:rPr>
        <w:t xml:space="preserve">: Amend </w:t>
      </w:r>
      <w:r w:rsidR="009A28D9" w:rsidRPr="0068555B">
        <w:rPr>
          <w:rFonts w:ascii="Times New Roman" w:hAnsi="Times New Roman" w:cs="Times New Roman"/>
          <w:b/>
          <w:sz w:val="26"/>
          <w:szCs w:val="26"/>
        </w:rPr>
        <w:t xml:space="preserve">Section 69.262 </w:t>
      </w:r>
      <w:r w:rsidRPr="0068555B">
        <w:rPr>
          <w:rFonts w:ascii="Times New Roman" w:hAnsi="Times New Roman" w:cs="Times New Roman"/>
          <w:b/>
          <w:bCs/>
          <w:sz w:val="26"/>
          <w:szCs w:val="26"/>
        </w:rPr>
        <w:t xml:space="preserve">– </w:t>
      </w:r>
      <w:r w:rsidR="00E31CAE" w:rsidRPr="0068555B">
        <w:rPr>
          <w:rFonts w:ascii="Times New Roman" w:hAnsi="Times New Roman" w:cs="Times New Roman"/>
          <w:b/>
          <w:bCs/>
          <w:sz w:val="26"/>
          <w:szCs w:val="26"/>
        </w:rPr>
        <w:t>Definitions</w:t>
      </w:r>
      <w:r w:rsidRPr="00A20145">
        <w:rPr>
          <w:rFonts w:ascii="Times New Roman" w:hAnsi="Times New Roman" w:cs="Times New Roman"/>
          <w:b/>
          <w:bCs/>
          <w:sz w:val="26"/>
          <w:szCs w:val="26"/>
        </w:rPr>
        <w:t>.</w:t>
      </w:r>
    </w:p>
    <w:p w14:paraId="5926ABDE" w14:textId="77777777" w:rsidR="0077058C" w:rsidRPr="00A20145" w:rsidRDefault="0077058C" w:rsidP="009A3B4B">
      <w:pPr>
        <w:keepNext/>
        <w:spacing w:after="0" w:line="240" w:lineRule="auto"/>
        <w:contextualSpacing/>
        <w:rPr>
          <w:rFonts w:ascii="Times New Roman" w:hAnsi="Times New Roman" w:cs="Times New Roman"/>
          <w:b/>
          <w:bCs/>
          <w:color w:val="0D0D0D" w:themeColor="text1" w:themeTint="F2"/>
          <w:sz w:val="26"/>
          <w:szCs w:val="26"/>
        </w:rPr>
      </w:pPr>
    </w:p>
    <w:p w14:paraId="1D0B31F6" w14:textId="1F829C0F" w:rsidR="008E0F27" w:rsidRDefault="008E0F27" w:rsidP="006063B4">
      <w:pPr>
        <w:spacing w:after="0" w:line="360" w:lineRule="auto"/>
        <w:rPr>
          <w:rFonts w:ascii="Times New Roman" w:hAnsi="Times New Roman" w:cs="Times New Roman"/>
          <w:sz w:val="26"/>
          <w:szCs w:val="26"/>
        </w:rPr>
      </w:pPr>
      <w:r w:rsidRPr="00C80D3A">
        <w:rPr>
          <w:rFonts w:ascii="Times New Roman" w:hAnsi="Times New Roman" w:cs="Times New Roman"/>
          <w:color w:val="0D0D0D" w:themeColor="text1" w:themeTint="F2"/>
          <w:sz w:val="26"/>
          <w:szCs w:val="26"/>
        </w:rPr>
        <w:tab/>
        <w:t>C</w:t>
      </w:r>
      <w:r w:rsidRPr="00C80D3A">
        <w:rPr>
          <w:rFonts w:ascii="Times New Roman" w:hAnsi="Times New Roman" w:cs="Times New Roman"/>
          <w:sz w:val="26"/>
          <w:szCs w:val="26"/>
        </w:rPr>
        <w:t xml:space="preserve">onsistent with the discussion above, this Order </w:t>
      </w:r>
      <w:r w:rsidR="0006143C">
        <w:rPr>
          <w:rFonts w:ascii="Times New Roman" w:hAnsi="Times New Roman" w:cs="Times New Roman"/>
          <w:sz w:val="26"/>
          <w:szCs w:val="26"/>
        </w:rPr>
        <w:t>amend</w:t>
      </w:r>
      <w:r w:rsidR="00361675">
        <w:rPr>
          <w:rFonts w:ascii="Times New Roman" w:hAnsi="Times New Roman" w:cs="Times New Roman"/>
          <w:sz w:val="26"/>
          <w:szCs w:val="26"/>
        </w:rPr>
        <w:t>s</w:t>
      </w:r>
      <w:r w:rsidR="0006143C">
        <w:rPr>
          <w:rFonts w:ascii="Times New Roman" w:hAnsi="Times New Roman" w:cs="Times New Roman"/>
          <w:sz w:val="26"/>
          <w:szCs w:val="26"/>
        </w:rPr>
        <w:t xml:space="preserve"> Section 69</w:t>
      </w:r>
      <w:r w:rsidR="00E31CAE">
        <w:rPr>
          <w:rFonts w:ascii="Times New Roman" w:hAnsi="Times New Roman" w:cs="Times New Roman"/>
          <w:sz w:val="26"/>
          <w:szCs w:val="26"/>
        </w:rPr>
        <w:t>.</w:t>
      </w:r>
      <w:r w:rsidR="0006143C">
        <w:rPr>
          <w:rFonts w:ascii="Times New Roman" w:hAnsi="Times New Roman" w:cs="Times New Roman"/>
          <w:sz w:val="26"/>
          <w:szCs w:val="26"/>
        </w:rPr>
        <w:t xml:space="preserve">262 to add </w:t>
      </w:r>
      <w:r w:rsidR="003318D6">
        <w:rPr>
          <w:rFonts w:ascii="Times New Roman" w:hAnsi="Times New Roman" w:cs="Times New Roman"/>
          <w:sz w:val="26"/>
          <w:szCs w:val="26"/>
        </w:rPr>
        <w:t xml:space="preserve">the Chapter 14 </w:t>
      </w:r>
      <w:r w:rsidR="00E31CAE">
        <w:rPr>
          <w:rFonts w:ascii="Times New Roman" w:hAnsi="Times New Roman" w:cs="Times New Roman"/>
          <w:sz w:val="26"/>
          <w:szCs w:val="26"/>
        </w:rPr>
        <w:t>definition of “household income.”</w:t>
      </w:r>
    </w:p>
    <w:p w14:paraId="4F6C5612" w14:textId="77777777" w:rsidR="009A28D9" w:rsidRPr="002826DF" w:rsidRDefault="009A28D9" w:rsidP="006063B4">
      <w:pPr>
        <w:spacing w:after="0" w:line="360" w:lineRule="auto"/>
        <w:rPr>
          <w:rFonts w:ascii="Times New Roman" w:hAnsi="Times New Roman" w:cs="Times New Roman"/>
          <w:i/>
          <w:iCs/>
          <w:sz w:val="26"/>
          <w:szCs w:val="26"/>
        </w:rPr>
      </w:pPr>
    </w:p>
    <w:p w14:paraId="5B9829A0" w14:textId="0061C68C" w:rsidR="00506216" w:rsidRPr="00C80D3A" w:rsidRDefault="00DF7383" w:rsidP="001E1580">
      <w:pPr>
        <w:pStyle w:val="Heading3"/>
        <w:contextualSpacing/>
        <w:rPr>
          <w:sz w:val="26"/>
          <w:szCs w:val="26"/>
        </w:rPr>
      </w:pPr>
      <w:r>
        <w:rPr>
          <w:sz w:val="26"/>
          <w:szCs w:val="26"/>
        </w:rPr>
        <w:t xml:space="preserve">17.  </w:t>
      </w:r>
      <w:r w:rsidR="007C3CB7" w:rsidRPr="00C80D3A">
        <w:rPr>
          <w:sz w:val="26"/>
          <w:szCs w:val="26"/>
        </w:rPr>
        <w:t>Utilities should be prepared to address recovery of CAP cost</w:t>
      </w:r>
      <w:r w:rsidR="007C3CB7" w:rsidRPr="00C80D3A" w:rsidDel="00356968">
        <w:rPr>
          <w:sz w:val="26"/>
          <w:szCs w:val="26"/>
        </w:rPr>
        <w:t xml:space="preserve">s </w:t>
      </w:r>
      <w:r w:rsidR="007C3CB7" w:rsidRPr="00C80D3A">
        <w:rPr>
          <w:sz w:val="26"/>
          <w:szCs w:val="26"/>
        </w:rPr>
        <w:t>(</w:t>
      </w:r>
      <w:r w:rsidR="007C3CB7" w:rsidRPr="00C80D3A" w:rsidDel="00356968">
        <w:rPr>
          <w:sz w:val="26"/>
          <w:szCs w:val="26"/>
        </w:rPr>
        <w:t>and other universal service costs</w:t>
      </w:r>
      <w:r w:rsidR="007C3CB7" w:rsidRPr="00C80D3A">
        <w:rPr>
          <w:sz w:val="26"/>
          <w:szCs w:val="26"/>
        </w:rPr>
        <w:t>) from any ratepayer classes in their individual rate case filing</w:t>
      </w:r>
      <w:r w:rsidR="00506216" w:rsidRPr="00C80D3A">
        <w:rPr>
          <w:sz w:val="26"/>
          <w:szCs w:val="26"/>
        </w:rPr>
        <w:t>.</w:t>
      </w:r>
      <w:r w:rsidR="007C3CB7" w:rsidRPr="00C80D3A">
        <w:rPr>
          <w:rStyle w:val="FootnoteReference"/>
          <w:bCs/>
          <w:sz w:val="26"/>
          <w:szCs w:val="26"/>
        </w:rPr>
        <w:footnoteReference w:id="126"/>
      </w:r>
    </w:p>
    <w:p w14:paraId="7781C3C0" w14:textId="77777777" w:rsidR="00506216" w:rsidRPr="00C80D3A" w:rsidRDefault="00506216" w:rsidP="009A3B4B">
      <w:pPr>
        <w:keepNext/>
        <w:spacing w:after="0" w:line="240" w:lineRule="auto"/>
        <w:contextualSpacing/>
        <w:rPr>
          <w:rFonts w:ascii="Times New Roman" w:hAnsi="Times New Roman" w:cs="Times New Roman"/>
          <w:sz w:val="26"/>
          <w:szCs w:val="26"/>
        </w:rPr>
      </w:pPr>
    </w:p>
    <w:p w14:paraId="3E56AB74" w14:textId="3DF88CF7" w:rsidR="008121CF" w:rsidRPr="00C80D3A" w:rsidRDefault="008558C5"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color w:val="000000"/>
          <w:sz w:val="26"/>
          <w:szCs w:val="26"/>
        </w:rPr>
        <w:t>T</w:t>
      </w:r>
      <w:r w:rsidR="00506216" w:rsidRPr="00C80D3A">
        <w:rPr>
          <w:rFonts w:ascii="Times New Roman" w:hAnsi="Times New Roman" w:cs="Times New Roman"/>
          <w:color w:val="000000"/>
          <w:sz w:val="26"/>
          <w:szCs w:val="26"/>
        </w:rPr>
        <w:t xml:space="preserve">he </w:t>
      </w:r>
      <w:r w:rsidR="00506216" w:rsidRPr="00C80D3A">
        <w:rPr>
          <w:rFonts w:ascii="Times New Roman" w:hAnsi="Times New Roman" w:cs="Times New Roman"/>
          <w:sz w:val="26"/>
          <w:szCs w:val="26"/>
        </w:rPr>
        <w:t>Competition Acts,</w:t>
      </w:r>
      <w:r w:rsidR="00506216" w:rsidRPr="00C80D3A">
        <w:rPr>
          <w:rFonts w:ascii="Times New Roman" w:hAnsi="Times New Roman" w:cs="Times New Roman"/>
          <w:sz w:val="26"/>
          <w:szCs w:val="26"/>
          <w:vertAlign w:val="superscript"/>
        </w:rPr>
        <w:footnoteReference w:id="127"/>
      </w:r>
      <w:r w:rsidR="00506216" w:rsidRPr="00C80D3A">
        <w:rPr>
          <w:rFonts w:ascii="Times New Roman" w:hAnsi="Times New Roman" w:cs="Times New Roman"/>
          <w:sz w:val="26"/>
          <w:szCs w:val="26"/>
        </w:rPr>
        <w:t xml:space="preserve"> Commission regulations (</w:t>
      </w:r>
      <w:r w:rsidR="00506216" w:rsidRPr="00C80D3A">
        <w:rPr>
          <w:rFonts w:ascii="Times New Roman" w:hAnsi="Times New Roman" w:cs="Times New Roman"/>
          <w:i/>
          <w:sz w:val="26"/>
          <w:szCs w:val="26"/>
        </w:rPr>
        <w:t>i.e.</w:t>
      </w:r>
      <w:r w:rsidR="00506216" w:rsidRPr="00C80D3A">
        <w:rPr>
          <w:rFonts w:ascii="Times New Roman" w:hAnsi="Times New Roman" w:cs="Times New Roman"/>
          <w:sz w:val="26"/>
          <w:szCs w:val="26"/>
        </w:rPr>
        <w:t>, Chapters 54, 58,</w:t>
      </w:r>
      <w:r w:rsidR="005E7292" w:rsidRPr="00C80D3A">
        <w:rPr>
          <w:rFonts w:ascii="Times New Roman" w:hAnsi="Times New Roman" w:cs="Times New Roman"/>
          <w:sz w:val="26"/>
          <w:szCs w:val="26"/>
          <w:vertAlign w:val="superscript"/>
        </w:rPr>
        <w:footnoteReference w:id="128"/>
      </w:r>
      <w:r w:rsidR="00506216" w:rsidRPr="00C80D3A">
        <w:rPr>
          <w:rFonts w:ascii="Times New Roman" w:hAnsi="Times New Roman" w:cs="Times New Roman"/>
          <w:sz w:val="26"/>
          <w:szCs w:val="26"/>
        </w:rPr>
        <w:t xml:space="preserve"> and</w:t>
      </w:r>
      <w:r w:rsidR="00964FB5" w:rsidRPr="00C80D3A">
        <w:rPr>
          <w:rFonts w:ascii="Times New Roman" w:hAnsi="Times New Roman" w:cs="Times New Roman"/>
          <w:sz w:val="26"/>
          <w:szCs w:val="26"/>
        </w:rPr>
        <w:t> </w:t>
      </w:r>
      <w:r w:rsidR="00506216" w:rsidRPr="00C80D3A">
        <w:rPr>
          <w:rFonts w:ascii="Times New Roman" w:hAnsi="Times New Roman" w:cs="Times New Roman"/>
          <w:sz w:val="26"/>
          <w:szCs w:val="26"/>
        </w:rPr>
        <w:t>62), and the CAP Policy Statement</w:t>
      </w:r>
      <w:r w:rsidR="00506216" w:rsidRPr="00C80D3A">
        <w:rPr>
          <w:rFonts w:ascii="Times New Roman" w:hAnsi="Times New Roman" w:cs="Times New Roman"/>
          <w:sz w:val="26"/>
          <w:szCs w:val="26"/>
          <w:vertAlign w:val="superscript"/>
        </w:rPr>
        <w:footnoteReference w:id="129"/>
      </w:r>
      <w:r w:rsidR="00506216" w:rsidRPr="00C80D3A">
        <w:rPr>
          <w:rFonts w:ascii="Times New Roman" w:hAnsi="Times New Roman" w:cs="Times New Roman"/>
          <w:sz w:val="26"/>
          <w:szCs w:val="26"/>
        </w:rPr>
        <w:t xml:space="preserve"> do not expressly restrict the recovery of CAP </w:t>
      </w:r>
      <w:r w:rsidR="00EA1B3B" w:rsidRPr="00C80D3A">
        <w:rPr>
          <w:rFonts w:ascii="Times New Roman" w:hAnsi="Times New Roman" w:cs="Times New Roman"/>
          <w:sz w:val="26"/>
          <w:szCs w:val="26"/>
        </w:rPr>
        <w:t>costs (</w:t>
      </w:r>
      <w:r w:rsidR="00506216" w:rsidRPr="00C80D3A">
        <w:rPr>
          <w:rFonts w:ascii="Times New Roman" w:hAnsi="Times New Roman" w:cs="Times New Roman"/>
          <w:sz w:val="26"/>
          <w:szCs w:val="26"/>
        </w:rPr>
        <w:t>or other universal service costs</w:t>
      </w:r>
      <w:r w:rsidR="00EA1B3B" w:rsidRPr="00C80D3A">
        <w:rPr>
          <w:rFonts w:ascii="Times New Roman" w:hAnsi="Times New Roman" w:cs="Times New Roman"/>
          <w:sz w:val="26"/>
          <w:szCs w:val="26"/>
        </w:rPr>
        <w:t>)</w:t>
      </w:r>
      <w:r w:rsidR="00506216" w:rsidRPr="00C80D3A">
        <w:rPr>
          <w:rFonts w:ascii="Times New Roman" w:hAnsi="Times New Roman" w:cs="Times New Roman"/>
          <w:sz w:val="26"/>
          <w:szCs w:val="26"/>
        </w:rPr>
        <w:t xml:space="preserve"> </w:t>
      </w:r>
      <w:r w:rsidR="0036521B" w:rsidRPr="00C80D3A">
        <w:rPr>
          <w:rFonts w:ascii="Times New Roman" w:hAnsi="Times New Roman" w:cs="Times New Roman"/>
          <w:sz w:val="26"/>
          <w:szCs w:val="26"/>
        </w:rPr>
        <w:t xml:space="preserve">to </w:t>
      </w:r>
      <w:r w:rsidR="00506216" w:rsidRPr="00C80D3A">
        <w:rPr>
          <w:rFonts w:ascii="Times New Roman" w:hAnsi="Times New Roman" w:cs="Times New Roman"/>
          <w:sz w:val="26"/>
          <w:szCs w:val="26"/>
        </w:rPr>
        <w:t xml:space="preserve">residential ratepayers.  </w:t>
      </w:r>
      <w:r w:rsidR="004A6BE2" w:rsidRPr="00C80D3A">
        <w:rPr>
          <w:rFonts w:ascii="Times New Roman" w:hAnsi="Times New Roman" w:cs="Times New Roman"/>
          <w:sz w:val="26"/>
          <w:szCs w:val="26"/>
        </w:rPr>
        <w:t xml:space="preserve">The CAP Policy Statement was amended in 1999 </w:t>
      </w:r>
      <w:r w:rsidR="004F58B7" w:rsidRPr="00C80D3A">
        <w:rPr>
          <w:rFonts w:ascii="Times New Roman" w:hAnsi="Times New Roman" w:cs="Times New Roman"/>
          <w:sz w:val="26"/>
          <w:szCs w:val="26"/>
        </w:rPr>
        <w:t xml:space="preserve">to include a universal service funding mechanism </w:t>
      </w:r>
      <w:r w:rsidR="004A6BE2" w:rsidRPr="00C80D3A">
        <w:rPr>
          <w:rFonts w:ascii="Times New Roman" w:hAnsi="Times New Roman" w:cs="Times New Roman"/>
          <w:sz w:val="26"/>
          <w:szCs w:val="26"/>
        </w:rPr>
        <w:t xml:space="preserve">based on the </w:t>
      </w:r>
      <w:r w:rsidR="00A4768C" w:rsidRPr="00C80D3A">
        <w:rPr>
          <w:rFonts w:ascii="Times New Roman" w:hAnsi="Times New Roman" w:cs="Times New Roman"/>
          <w:sz w:val="26"/>
          <w:szCs w:val="26"/>
        </w:rPr>
        <w:t xml:space="preserve">following </w:t>
      </w:r>
      <w:r w:rsidR="008121CF" w:rsidRPr="00C80D3A">
        <w:rPr>
          <w:rFonts w:ascii="Times New Roman" w:hAnsi="Times New Roman" w:cs="Times New Roman"/>
          <w:sz w:val="26"/>
          <w:szCs w:val="26"/>
        </w:rPr>
        <w:t>discussion</w:t>
      </w:r>
      <w:r w:rsidR="00332ABC" w:rsidRPr="00C80D3A">
        <w:rPr>
          <w:rStyle w:val="FootnoteReference"/>
          <w:rFonts w:ascii="Times New Roman" w:hAnsi="Times New Roman" w:cs="Times New Roman"/>
          <w:sz w:val="26"/>
          <w:szCs w:val="26"/>
        </w:rPr>
        <w:footnoteReference w:id="130"/>
      </w:r>
      <w:r w:rsidR="008121CF" w:rsidRPr="00C80D3A">
        <w:rPr>
          <w:rFonts w:ascii="Times New Roman" w:hAnsi="Times New Roman" w:cs="Times New Roman"/>
          <w:sz w:val="26"/>
          <w:szCs w:val="26"/>
        </w:rPr>
        <w:t xml:space="preserve">:  </w:t>
      </w:r>
    </w:p>
    <w:p w14:paraId="73863483" w14:textId="77777777" w:rsidR="008121CF" w:rsidRPr="00C80D3A" w:rsidRDefault="008121CF" w:rsidP="00E35B85">
      <w:pPr>
        <w:spacing w:after="0" w:line="240" w:lineRule="auto"/>
        <w:ind w:firstLine="720"/>
        <w:contextualSpacing/>
        <w:rPr>
          <w:rFonts w:ascii="Times New Roman" w:hAnsi="Times New Roman" w:cs="Times New Roman"/>
          <w:sz w:val="26"/>
          <w:szCs w:val="26"/>
        </w:rPr>
      </w:pPr>
    </w:p>
    <w:p w14:paraId="483F9AC7" w14:textId="00E1BE06" w:rsidR="00506216" w:rsidRPr="00C80D3A" w:rsidRDefault="008121CF" w:rsidP="0050455A">
      <w:pPr>
        <w:spacing w:after="0" w:line="240" w:lineRule="auto"/>
        <w:ind w:left="720" w:right="990"/>
        <w:contextualSpacing/>
        <w:rPr>
          <w:rFonts w:ascii="Times New Roman" w:hAnsi="Times New Roman" w:cs="Times New Roman"/>
          <w:sz w:val="26"/>
          <w:szCs w:val="26"/>
        </w:rPr>
      </w:pPr>
      <w:r w:rsidRPr="00C80D3A">
        <w:rPr>
          <w:rFonts w:ascii="Times New Roman" w:hAnsi="Times New Roman" w:cs="Times New Roman"/>
          <w:i/>
          <w:iCs/>
          <w:sz w:val="26"/>
          <w:szCs w:val="26"/>
        </w:rPr>
        <w:t>CAP program funding.</w:t>
      </w:r>
      <w:r w:rsidRPr="00C80D3A">
        <w:rPr>
          <w:rFonts w:ascii="Times New Roman" w:hAnsi="Times New Roman" w:cs="Times New Roman"/>
          <w:sz w:val="26"/>
          <w:szCs w:val="26"/>
        </w:rPr>
        <w:t xml:space="preserve"> </w:t>
      </w:r>
      <w:r w:rsidR="0050455A"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The Commission is amending program funding to include a universal service funding mechanism for EDCs. </w:t>
      </w:r>
      <w:r w:rsidR="0050455A"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This revision is consistent with section 2804(8) of the </w:t>
      </w:r>
      <w:r w:rsidR="00520F0D" w:rsidRPr="00C80D3A">
        <w:rPr>
          <w:rFonts w:ascii="Times New Roman" w:hAnsi="Times New Roman" w:cs="Times New Roman"/>
          <w:sz w:val="26"/>
          <w:szCs w:val="26"/>
        </w:rPr>
        <w:t>[</w:t>
      </w:r>
      <w:r w:rsidR="0050455A" w:rsidRPr="00C80D3A">
        <w:rPr>
          <w:rFonts w:ascii="Times New Roman" w:hAnsi="Times New Roman" w:cs="Times New Roman"/>
          <w:sz w:val="26"/>
          <w:szCs w:val="26"/>
        </w:rPr>
        <w:t>E</w:t>
      </w:r>
      <w:r w:rsidR="00520F0D" w:rsidRPr="00C80D3A">
        <w:rPr>
          <w:rFonts w:ascii="Times New Roman" w:hAnsi="Times New Roman" w:cs="Times New Roman"/>
          <w:sz w:val="26"/>
          <w:szCs w:val="26"/>
        </w:rPr>
        <w:t xml:space="preserve">lectric Competition] </w:t>
      </w:r>
      <w:r w:rsidRPr="00C80D3A">
        <w:rPr>
          <w:rFonts w:ascii="Times New Roman" w:hAnsi="Times New Roman" w:cs="Times New Roman"/>
          <w:sz w:val="26"/>
          <w:szCs w:val="26"/>
        </w:rPr>
        <w:t>act that requires the Commission establish for each electric utility an appropriate cost recovery mechanism which is designed to fully recover the EDC</w:t>
      </w:r>
      <w:r w:rsidR="001529C6">
        <w:rPr>
          <w:rFonts w:ascii="Times New Roman" w:hAnsi="Times New Roman" w:cs="Times New Roman"/>
          <w:sz w:val="26"/>
          <w:szCs w:val="26"/>
        </w:rPr>
        <w:t>’</w:t>
      </w:r>
      <w:r w:rsidRPr="00C80D3A">
        <w:rPr>
          <w:rFonts w:ascii="Times New Roman" w:hAnsi="Times New Roman" w:cs="Times New Roman"/>
          <w:sz w:val="26"/>
          <w:szCs w:val="26"/>
        </w:rPr>
        <w:t>s universal service and energy conservation costs over the life of these programs.</w:t>
      </w:r>
      <w:r w:rsidR="004A6BE2" w:rsidRPr="00C80D3A">
        <w:rPr>
          <w:rFonts w:ascii="Times New Roman" w:hAnsi="Times New Roman" w:cs="Times New Roman"/>
          <w:sz w:val="26"/>
          <w:szCs w:val="26"/>
        </w:rPr>
        <w:t xml:space="preserve">  </w:t>
      </w:r>
    </w:p>
    <w:p w14:paraId="4B21B236"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66BEAD5D" w14:textId="63F106E5" w:rsidR="00506216" w:rsidRPr="00C80D3A" w:rsidRDefault="0053306C"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color w:val="000000"/>
          <w:sz w:val="26"/>
          <w:szCs w:val="26"/>
        </w:rPr>
        <w:t>Currently, CAP costs are allocated to the residential class, with a few exceptions.</w:t>
      </w:r>
      <w:r w:rsidRPr="00C80D3A">
        <w:rPr>
          <w:rFonts w:ascii="Times New Roman" w:hAnsi="Times New Roman" w:cs="Times New Roman"/>
          <w:color w:val="000000"/>
          <w:sz w:val="26"/>
          <w:szCs w:val="26"/>
          <w:vertAlign w:val="superscript"/>
        </w:rPr>
        <w:footnoteReference w:id="131"/>
      </w:r>
      <w:r w:rsidRPr="00C80D3A">
        <w:rPr>
          <w:rFonts w:ascii="Times New Roman" w:hAnsi="Times New Roman" w:cs="Times New Roman"/>
          <w:color w:val="000000"/>
          <w:sz w:val="26"/>
          <w:szCs w:val="26"/>
          <w:vertAlign w:val="superscript"/>
        </w:rPr>
        <w:t xml:space="preserve">, </w:t>
      </w:r>
      <w:r w:rsidRPr="00C80D3A">
        <w:rPr>
          <w:rFonts w:ascii="Times New Roman" w:hAnsi="Times New Roman" w:cs="Times New Roman"/>
          <w:color w:val="000000"/>
          <w:sz w:val="26"/>
          <w:szCs w:val="26"/>
          <w:vertAlign w:val="superscript"/>
        </w:rPr>
        <w:footnoteReference w:id="132"/>
      </w:r>
      <w:r w:rsidRPr="00C80D3A">
        <w:rPr>
          <w:rFonts w:ascii="Times New Roman" w:hAnsi="Times New Roman" w:cs="Times New Roman"/>
          <w:color w:val="000000"/>
          <w:sz w:val="26"/>
          <w:szCs w:val="26"/>
        </w:rPr>
        <w:t xml:space="preserve">  </w:t>
      </w:r>
      <w:r w:rsidR="00506216" w:rsidRPr="00C80D3A">
        <w:rPr>
          <w:rFonts w:ascii="Times New Roman" w:hAnsi="Times New Roman" w:cs="Times New Roman"/>
          <w:sz w:val="26"/>
          <w:szCs w:val="26"/>
        </w:rPr>
        <w:t xml:space="preserve">The Commission received numerous comments from stakeholders in both the </w:t>
      </w:r>
      <w:r w:rsidR="00506216" w:rsidRPr="00C80D3A">
        <w:rPr>
          <w:rFonts w:ascii="Times New Roman" w:hAnsi="Times New Roman" w:cs="Times New Roman"/>
          <w:i/>
          <w:iCs/>
          <w:sz w:val="26"/>
          <w:szCs w:val="26"/>
        </w:rPr>
        <w:t>Review</w:t>
      </w:r>
      <w:r w:rsidR="00506216" w:rsidRPr="00C80D3A">
        <w:rPr>
          <w:rFonts w:ascii="Times New Roman" w:hAnsi="Times New Roman" w:cs="Times New Roman"/>
          <w:sz w:val="26"/>
          <w:szCs w:val="26"/>
        </w:rPr>
        <w:t xml:space="preserve"> and the </w:t>
      </w:r>
      <w:r w:rsidR="00506216" w:rsidRPr="00C80D3A">
        <w:rPr>
          <w:rFonts w:ascii="Times New Roman" w:hAnsi="Times New Roman" w:cs="Times New Roman"/>
          <w:i/>
          <w:iCs/>
          <w:sz w:val="26"/>
          <w:szCs w:val="26"/>
        </w:rPr>
        <w:t>Energy Affordability</w:t>
      </w:r>
      <w:r w:rsidR="00506216" w:rsidRPr="00C80D3A">
        <w:rPr>
          <w:rFonts w:ascii="Times New Roman" w:hAnsi="Times New Roman" w:cs="Times New Roman"/>
          <w:sz w:val="26"/>
          <w:szCs w:val="26"/>
        </w:rPr>
        <w:t xml:space="preserve"> proceedings regarding whether EDCs and NGDCs should recover universal service costs from all ratepayer classes. </w:t>
      </w:r>
      <w:r w:rsidR="0018596B" w:rsidRPr="00C80D3A">
        <w:rPr>
          <w:rFonts w:ascii="Times New Roman" w:hAnsi="Times New Roman" w:cs="Times New Roman"/>
          <w:sz w:val="26"/>
          <w:szCs w:val="26"/>
        </w:rPr>
        <w:t xml:space="preserve"> In this Order, we shall </w:t>
      </w:r>
      <w:r w:rsidR="007C3CB7" w:rsidRPr="00C80D3A">
        <w:rPr>
          <w:rFonts w:ascii="Times New Roman" w:hAnsi="Times New Roman" w:cs="Times New Roman"/>
          <w:sz w:val="26"/>
          <w:szCs w:val="26"/>
        </w:rPr>
        <w:t xml:space="preserve">discuss policy related to the </w:t>
      </w:r>
      <w:r w:rsidR="00710271" w:rsidRPr="00C80D3A">
        <w:rPr>
          <w:rFonts w:ascii="Times New Roman" w:hAnsi="Times New Roman" w:cs="Times New Roman"/>
          <w:sz w:val="26"/>
          <w:szCs w:val="26"/>
        </w:rPr>
        <w:t>recovery of CAP costs</w:t>
      </w:r>
      <w:r w:rsidR="001701F9" w:rsidRPr="00C80D3A">
        <w:rPr>
          <w:rFonts w:ascii="Times New Roman" w:hAnsi="Times New Roman" w:cs="Times New Roman"/>
          <w:sz w:val="26"/>
          <w:szCs w:val="26"/>
        </w:rPr>
        <w:t xml:space="preserve"> </w:t>
      </w:r>
      <w:r w:rsidR="00A4768C" w:rsidRPr="00C80D3A">
        <w:rPr>
          <w:rFonts w:ascii="Times New Roman" w:hAnsi="Times New Roman" w:cs="Times New Roman"/>
          <w:sz w:val="26"/>
          <w:szCs w:val="26"/>
        </w:rPr>
        <w:t>in</w:t>
      </w:r>
      <w:r w:rsidR="007C3CB7" w:rsidRPr="00C80D3A">
        <w:rPr>
          <w:rFonts w:ascii="Times New Roman" w:hAnsi="Times New Roman" w:cs="Times New Roman"/>
          <w:sz w:val="26"/>
          <w:szCs w:val="26"/>
        </w:rPr>
        <w:t xml:space="preserve"> </w:t>
      </w:r>
      <w:r w:rsidR="00A4768C" w:rsidRPr="00C80D3A">
        <w:rPr>
          <w:rFonts w:ascii="Times New Roman" w:hAnsi="Times New Roman" w:cs="Times New Roman"/>
          <w:sz w:val="26"/>
          <w:szCs w:val="26"/>
        </w:rPr>
        <w:t xml:space="preserve">particular and </w:t>
      </w:r>
      <w:r w:rsidR="007F5603" w:rsidRPr="00C80D3A">
        <w:rPr>
          <w:rFonts w:ascii="Times New Roman" w:hAnsi="Times New Roman" w:cs="Times New Roman"/>
          <w:sz w:val="26"/>
          <w:szCs w:val="26"/>
        </w:rPr>
        <w:t xml:space="preserve">as a </w:t>
      </w:r>
      <w:r w:rsidR="001701F9" w:rsidRPr="00C80D3A">
        <w:rPr>
          <w:rFonts w:ascii="Times New Roman" w:hAnsi="Times New Roman" w:cs="Times New Roman"/>
          <w:sz w:val="26"/>
          <w:szCs w:val="26"/>
        </w:rPr>
        <w:t xml:space="preserve">large </w:t>
      </w:r>
      <w:r w:rsidR="007F5603" w:rsidRPr="00C80D3A">
        <w:rPr>
          <w:rFonts w:ascii="Times New Roman" w:hAnsi="Times New Roman" w:cs="Times New Roman"/>
          <w:sz w:val="26"/>
          <w:szCs w:val="26"/>
        </w:rPr>
        <w:t xml:space="preserve">subset </w:t>
      </w:r>
      <w:r w:rsidR="001701F9" w:rsidRPr="00C80D3A">
        <w:rPr>
          <w:rFonts w:ascii="Times New Roman" w:hAnsi="Times New Roman" w:cs="Times New Roman"/>
          <w:sz w:val="26"/>
          <w:szCs w:val="26"/>
        </w:rPr>
        <w:t>of overall universal service costs.</w:t>
      </w:r>
    </w:p>
    <w:p w14:paraId="3C0DAA44" w14:textId="77777777" w:rsidR="00506216" w:rsidRPr="00C80D3A" w:rsidRDefault="00506216" w:rsidP="00315DBC">
      <w:pPr>
        <w:spacing w:after="0" w:line="360" w:lineRule="auto"/>
        <w:contextualSpacing/>
        <w:rPr>
          <w:rFonts w:ascii="Times New Roman" w:hAnsi="Times New Roman" w:cs="Times New Roman"/>
          <w:sz w:val="26"/>
          <w:szCs w:val="26"/>
        </w:rPr>
      </w:pPr>
    </w:p>
    <w:p w14:paraId="7349D89A" w14:textId="2959AD07" w:rsidR="00506216" w:rsidRPr="00C80D3A" w:rsidRDefault="00506216" w:rsidP="001E1580">
      <w:pPr>
        <w:keepNext/>
        <w:spacing w:after="0" w:line="240" w:lineRule="auto"/>
        <w:contextualSpacing/>
        <w:rPr>
          <w:rFonts w:ascii="Times New Roman" w:hAnsi="Times New Roman" w:cs="Times New Roman"/>
          <w:color w:val="000000"/>
          <w:sz w:val="26"/>
          <w:szCs w:val="26"/>
        </w:rPr>
      </w:pPr>
      <w:r w:rsidRPr="00C80D3A">
        <w:rPr>
          <w:rFonts w:ascii="Times New Roman" w:hAnsi="Times New Roman" w:cs="Times New Roman"/>
          <w:i/>
          <w:sz w:val="26"/>
          <w:szCs w:val="26"/>
        </w:rPr>
        <w:t>Review of Universal Service and Energy Conservation Programs, Docket No. M</w:t>
      </w:r>
      <w:r w:rsidR="001E1580" w:rsidRPr="00C80D3A">
        <w:rPr>
          <w:rFonts w:ascii="Times New Roman" w:hAnsi="Times New Roman" w:cs="Times New Roman"/>
          <w:i/>
          <w:sz w:val="26"/>
          <w:szCs w:val="26"/>
        </w:rPr>
        <w:t>­</w:t>
      </w:r>
      <w:r w:rsidRPr="00C80D3A">
        <w:rPr>
          <w:rFonts w:ascii="Times New Roman" w:hAnsi="Times New Roman" w:cs="Times New Roman"/>
          <w:i/>
          <w:sz w:val="26"/>
          <w:szCs w:val="26"/>
        </w:rPr>
        <w:t>2017</w:t>
      </w:r>
      <w:r w:rsidR="001E1580" w:rsidRPr="00C80D3A">
        <w:rPr>
          <w:rFonts w:ascii="Times New Roman" w:hAnsi="Times New Roman" w:cs="Times New Roman"/>
          <w:i/>
          <w:sz w:val="26"/>
          <w:szCs w:val="26"/>
        </w:rPr>
        <w:t>­</w:t>
      </w:r>
      <w:r w:rsidRPr="00C80D3A">
        <w:rPr>
          <w:rFonts w:ascii="Times New Roman" w:hAnsi="Times New Roman" w:cs="Times New Roman"/>
          <w:i/>
          <w:sz w:val="26"/>
          <w:szCs w:val="26"/>
        </w:rPr>
        <w:t>2596907</w:t>
      </w:r>
    </w:p>
    <w:p w14:paraId="73078D58" w14:textId="77777777" w:rsidR="00506216" w:rsidRPr="00C80D3A" w:rsidRDefault="00506216" w:rsidP="001E1580">
      <w:pPr>
        <w:keepNext/>
        <w:spacing w:after="0" w:line="240" w:lineRule="auto"/>
        <w:contextualSpacing/>
        <w:rPr>
          <w:rFonts w:ascii="Times New Roman" w:hAnsi="Times New Roman" w:cs="Times New Roman"/>
          <w:sz w:val="26"/>
          <w:szCs w:val="26"/>
        </w:rPr>
      </w:pPr>
    </w:p>
    <w:p w14:paraId="03C65D7C" w14:textId="77777777" w:rsidR="00506216" w:rsidRPr="00C80D3A" w:rsidRDefault="00506216" w:rsidP="001E1580">
      <w:pPr>
        <w:keepNext/>
        <w:spacing w:after="0" w:line="360" w:lineRule="auto"/>
        <w:contextualSpacing/>
        <w:rPr>
          <w:rFonts w:ascii="Times New Roman" w:hAnsi="Times New Roman" w:cs="Times New Roman"/>
          <w:b/>
          <w:bCs/>
          <w:sz w:val="26"/>
          <w:szCs w:val="26"/>
        </w:rPr>
      </w:pPr>
      <w:r w:rsidRPr="00C80D3A">
        <w:rPr>
          <w:rFonts w:ascii="Times New Roman" w:hAnsi="Times New Roman" w:cs="Times New Roman"/>
          <w:b/>
          <w:bCs/>
          <w:sz w:val="26"/>
          <w:szCs w:val="26"/>
        </w:rPr>
        <w:t>Comments from Parties</w:t>
      </w:r>
    </w:p>
    <w:p w14:paraId="6930F559"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Industrial Customers support the current policy of recovering universal service costs from the only rate class that benefit from these programs – residential ratepayers.  Large commercial and industrial organizations neither benefit from nor are they eligible for these programs.  Principles of cost causation dictate that costs should be attributed to the customers causing costs to be incurred.  Joint Comments of Industrial Customers at 2.</w:t>
      </w:r>
    </w:p>
    <w:p w14:paraId="164133DF"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5E6FB200"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Pennsylvania Departments of Aging, Department of Community and Economic Development (DCED), Department of Environmental Protection (DEP), Department of Health (DOH), and DHS jointly recommend that the Commission expand recovery of universal service costs to other rate classes to allow for increased efficacy of the programs while avoiding the need for rate increases within a single rate class.  Other states authorize cross-class cost recovery, including Ohio, New Jersey, Maryland, and New York.  Universal Service programs legally establish an obligation on public utilities.  All utility customers should owe support, and non-residential classes do benefit as a whole.  Joint Comments of PA Departments of Aging, DCED, DEP, DOH, and DHS at 3.</w:t>
      </w:r>
    </w:p>
    <w:p w14:paraId="7E0C887B" w14:textId="77777777" w:rsidR="00506216" w:rsidRPr="00C80D3A" w:rsidRDefault="00506216" w:rsidP="00315DBC">
      <w:pPr>
        <w:spacing w:after="0" w:line="360" w:lineRule="auto"/>
        <w:contextualSpacing/>
        <w:rPr>
          <w:rFonts w:ascii="Times New Roman" w:hAnsi="Times New Roman" w:cs="Times New Roman"/>
          <w:sz w:val="26"/>
          <w:szCs w:val="26"/>
        </w:rPr>
      </w:pPr>
    </w:p>
    <w:p w14:paraId="41DCD8C2" w14:textId="026934B8"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OCA asserts that universal service programs are a public good in Pennsylvania that should be funded by all classes of ratepayers.  The literal interpretation of the cost causation argument (</w:t>
      </w:r>
      <w:r w:rsidRPr="00C80D3A">
        <w:rPr>
          <w:rFonts w:ascii="Times New Roman" w:hAnsi="Times New Roman" w:cs="Times New Roman"/>
          <w:i/>
          <w:iCs/>
          <w:sz w:val="26"/>
          <w:szCs w:val="26"/>
        </w:rPr>
        <w:t>i.e.</w:t>
      </w:r>
      <w:r w:rsidRPr="00C80D3A">
        <w:rPr>
          <w:rFonts w:ascii="Times New Roman" w:hAnsi="Times New Roman" w:cs="Times New Roman"/>
          <w:sz w:val="26"/>
          <w:szCs w:val="26"/>
        </w:rPr>
        <w:t>, only ratepayers that benefit should pay for the program) would have only low-income customers support the cost of these universal service programs since they are the only customers that can participate.  OCA maintains societal poverty causes the cost, not all or only residential customers.  Other states fund low income energy programs through a system benefits charge that is passed to all ratepayers.  The whole community benefits from universal service programs because providing affordable home energy addresses public health and safety costs that are borne by all taxpayers (</w:t>
      </w:r>
      <w:r w:rsidRPr="00C80D3A">
        <w:rPr>
          <w:rFonts w:ascii="Times New Roman" w:hAnsi="Times New Roman" w:cs="Times New Roman"/>
          <w:i/>
          <w:iCs/>
          <w:sz w:val="26"/>
          <w:szCs w:val="26"/>
        </w:rPr>
        <w:t>e.g.</w:t>
      </w:r>
      <w:r w:rsidRPr="00C80D3A">
        <w:rPr>
          <w:rFonts w:ascii="Times New Roman" w:hAnsi="Times New Roman" w:cs="Times New Roman"/>
          <w:sz w:val="26"/>
          <w:szCs w:val="26"/>
        </w:rPr>
        <w:t>, homelessness).  Businesses benefit from these programs because the programs provide help to low-wage employees and low-income customers.  Small businesses require low-wage employees to survive, but low wages also create a situation where the employees may need help to afford utility service.  OCA Comments at 36</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40, Appendix A at 11</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 xml:space="preserve">20.  </w:t>
      </w:r>
    </w:p>
    <w:p w14:paraId="507470E7" w14:textId="77777777" w:rsidR="00506216" w:rsidRPr="00C80D3A" w:rsidRDefault="00506216" w:rsidP="00315DBC">
      <w:pPr>
        <w:spacing w:after="0" w:line="360" w:lineRule="auto"/>
        <w:contextualSpacing/>
        <w:rPr>
          <w:rFonts w:ascii="Times New Roman" w:hAnsi="Times New Roman" w:cs="Times New Roman"/>
          <w:sz w:val="26"/>
          <w:szCs w:val="26"/>
        </w:rPr>
      </w:pPr>
    </w:p>
    <w:p w14:paraId="1E1C3360" w14:textId="4EC9013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The Industrial Customers assert that utility service is not a “public good.”  They maintain that social policy ratemaking is a faulty approach that will erode time-tested, objective methods of utility ratemaking.  A total assistance burden of $360 million is an enormous one to add to the non-residential classes who are ineligible to participate in CAPs in Pennsylvania.  Joint Reply Comments of Industrial Customers at 14, 16, 17</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18.</w:t>
      </w:r>
    </w:p>
    <w:p w14:paraId="3AEB9B1B" w14:textId="77777777" w:rsidR="00506216" w:rsidRPr="00C80D3A" w:rsidRDefault="00506216" w:rsidP="00315DBC">
      <w:pPr>
        <w:spacing w:after="0" w:line="360" w:lineRule="auto"/>
        <w:contextualSpacing/>
        <w:rPr>
          <w:rFonts w:ascii="Times New Roman" w:hAnsi="Times New Roman" w:cs="Times New Roman"/>
          <w:sz w:val="26"/>
          <w:szCs w:val="26"/>
        </w:rPr>
      </w:pPr>
    </w:p>
    <w:p w14:paraId="7BAA1B3E" w14:textId="444E7CA1"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Low Income Advocates state that, to their knowledge, Pennsylvania is the only state to establish a policy generally limiting cost recovery of universal service programs to the residential class.  They note the Commission</w:t>
      </w:r>
      <w:r w:rsidRPr="00C80D3A" w:rsidDel="00501329">
        <w:rPr>
          <w:rFonts w:ascii="Times New Roman" w:hAnsi="Times New Roman" w:cs="Times New Roman"/>
          <w:sz w:val="26"/>
          <w:szCs w:val="26"/>
        </w:rPr>
        <w:t xml:space="preserve"> </w:t>
      </w:r>
      <w:r w:rsidRPr="00C80D3A">
        <w:rPr>
          <w:rFonts w:ascii="Times New Roman" w:hAnsi="Times New Roman" w:cs="Times New Roman"/>
          <w:sz w:val="26"/>
          <w:szCs w:val="26"/>
        </w:rPr>
        <w:t>has ample authority to approve cross-class recovery in its specific mandate to ensure that universal service programs are appropriately funded.  Noting the public purpose goals of the Competition Acts, the toll of poverty, and the consequences of unaffordable utility service, the Low Income Advocates state the safety of the community at large is improved by affordable utility service.  They maintain that these programs are the responsibility of all individuals and entities which benefit – either directly or indirectly – from the provision of universal service.  Low Income Advocate</w:t>
      </w:r>
      <w:r w:rsidR="0066507A" w:rsidRPr="00C80D3A">
        <w:rPr>
          <w:rFonts w:ascii="Times New Roman" w:hAnsi="Times New Roman" w:cs="Times New Roman"/>
          <w:sz w:val="26"/>
          <w:szCs w:val="26"/>
        </w:rPr>
        <w:t>s</w:t>
      </w:r>
      <w:r w:rsidRPr="00C80D3A">
        <w:rPr>
          <w:rFonts w:ascii="Times New Roman" w:hAnsi="Times New Roman" w:cs="Times New Roman"/>
          <w:sz w:val="26"/>
          <w:szCs w:val="26"/>
        </w:rPr>
        <w:t xml:space="preserve"> Comments at 52, 55, 59.</w:t>
      </w:r>
    </w:p>
    <w:p w14:paraId="47E421D1" w14:textId="77777777" w:rsidR="00506216" w:rsidRPr="00C80D3A" w:rsidRDefault="00506216" w:rsidP="00315DBC">
      <w:pPr>
        <w:spacing w:after="0" w:line="360" w:lineRule="auto"/>
        <w:contextualSpacing/>
        <w:rPr>
          <w:rFonts w:ascii="Times New Roman" w:hAnsi="Times New Roman" w:cs="Times New Roman"/>
          <w:sz w:val="26"/>
          <w:szCs w:val="26"/>
        </w:rPr>
      </w:pPr>
    </w:p>
    <w:p w14:paraId="15F2385A" w14:textId="1284285C"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Low Income Advocates further note the Competition Acts mandate that full and nonbypassable cost recovery be required to ensure universal service programs are appropriately funded and cost-effective across the Commonwealth.  </w:t>
      </w:r>
      <w:r w:rsidR="00B3778D" w:rsidRPr="00C80D3A">
        <w:rPr>
          <w:rFonts w:ascii="Times New Roman" w:hAnsi="Times New Roman" w:cs="Times New Roman"/>
          <w:sz w:val="26"/>
          <w:szCs w:val="26"/>
        </w:rPr>
        <w:t>66</w:t>
      </w:r>
      <w:r w:rsidR="00B3778D">
        <w:rPr>
          <w:rFonts w:ascii="Times New Roman" w:hAnsi="Times New Roman" w:cs="Times New Roman"/>
          <w:sz w:val="26"/>
          <w:szCs w:val="26"/>
        </w:rPr>
        <w:t> </w:t>
      </w:r>
      <w:r w:rsidRPr="00C80D3A">
        <w:rPr>
          <w:rFonts w:ascii="Times New Roman" w:hAnsi="Times New Roman" w:cs="Times New Roman"/>
          <w:sz w:val="26"/>
          <w:szCs w:val="26"/>
        </w:rPr>
        <w:t>Pa</w:t>
      </w:r>
      <w:r w:rsidR="00B3778D" w:rsidRPr="00C80D3A">
        <w:rPr>
          <w:rFonts w:ascii="Times New Roman" w:hAnsi="Times New Roman" w:cs="Times New Roman"/>
          <w:sz w:val="26"/>
          <w:szCs w:val="26"/>
        </w:rPr>
        <w:t>.</w:t>
      </w:r>
      <w:r w:rsidR="00B3778D">
        <w:rPr>
          <w:rFonts w:ascii="Times New Roman" w:hAnsi="Times New Roman" w:cs="Times New Roman"/>
          <w:sz w:val="26"/>
          <w:szCs w:val="26"/>
        </w:rPr>
        <w:t> </w:t>
      </w:r>
      <w:r w:rsidRPr="00C80D3A">
        <w:rPr>
          <w:rFonts w:ascii="Times New Roman" w:hAnsi="Times New Roman" w:cs="Times New Roman"/>
          <w:sz w:val="26"/>
          <w:szCs w:val="26"/>
        </w:rPr>
        <w:t>C.S.</w:t>
      </w:r>
      <w:r w:rsidR="00B3778D">
        <w:rPr>
          <w:rFonts w:ascii="Times New Roman" w:hAnsi="Times New Roman" w:cs="Times New Roman"/>
          <w:sz w:val="26"/>
          <w:szCs w:val="26"/>
        </w:rPr>
        <w:t> </w:t>
      </w:r>
      <w:r w:rsidRPr="00C80D3A">
        <w:rPr>
          <w:rFonts w:ascii="Times New Roman" w:hAnsi="Times New Roman" w:cs="Times New Roman"/>
          <w:sz w:val="26"/>
          <w:szCs w:val="26"/>
        </w:rPr>
        <w:t>§§ 2203(6), 2802(17), 2804(9).  Given the statutory authority of the Commission over public utilities, the Low Income Advocates maintain there is no merit to the suggestion that the Commission</w:t>
      </w:r>
      <w:r w:rsidR="001529C6">
        <w:rPr>
          <w:rFonts w:ascii="Times New Roman" w:hAnsi="Times New Roman" w:cs="Times New Roman"/>
          <w:sz w:val="26"/>
          <w:szCs w:val="26"/>
        </w:rPr>
        <w:t>’</w:t>
      </w:r>
      <w:r w:rsidRPr="00C80D3A">
        <w:rPr>
          <w:rFonts w:ascii="Times New Roman" w:hAnsi="Times New Roman" w:cs="Times New Roman"/>
          <w:sz w:val="26"/>
          <w:szCs w:val="26"/>
        </w:rPr>
        <w:t>s obligations concerning utility affordability may be referred to another governmental body, left to the General Assembly or Federal Government, or suspended in the hopes that charities will step in to assist in effectuating the statutory promise of universal service.  The Low Income Advocates assert the Commission is fully and completely capable of requiring public utilities to implement new programs, establish lower energy burdens, and coordinate practices more effectively to ensure that low-income customers can maintain essential utility service.  Low Income Advocates Reply Comments at 11</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12.</w:t>
      </w:r>
    </w:p>
    <w:p w14:paraId="08689DFB" w14:textId="77777777" w:rsidR="00506216" w:rsidRPr="00C80D3A" w:rsidRDefault="00506216" w:rsidP="00315DBC">
      <w:pPr>
        <w:spacing w:after="0" w:line="360" w:lineRule="auto"/>
        <w:contextualSpacing/>
        <w:rPr>
          <w:rFonts w:ascii="Times New Roman" w:hAnsi="Times New Roman" w:cs="Times New Roman"/>
          <w:sz w:val="26"/>
          <w:szCs w:val="26"/>
        </w:rPr>
      </w:pPr>
    </w:p>
    <w:p w14:paraId="30814C06" w14:textId="2E79F4E2"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Industrial Customers assert that underlying facts have not changed to justify a reversal of the 25-year Commission precedent of allocating universal service program costs solely to the residential class.  They </w:t>
      </w:r>
      <w:r w:rsidR="004B3880" w:rsidRPr="00C80D3A">
        <w:rPr>
          <w:rFonts w:ascii="Times New Roman" w:hAnsi="Times New Roman" w:cs="Times New Roman"/>
          <w:sz w:val="26"/>
          <w:szCs w:val="26"/>
        </w:rPr>
        <w:t xml:space="preserve">further </w:t>
      </w:r>
      <w:r w:rsidRPr="00C80D3A">
        <w:rPr>
          <w:rFonts w:ascii="Times New Roman" w:hAnsi="Times New Roman" w:cs="Times New Roman"/>
          <w:sz w:val="26"/>
          <w:szCs w:val="26"/>
        </w:rPr>
        <w:t>note that in 2004, the Commission concluded that universal service costs should be allocated to only residential customers</w:t>
      </w:r>
      <w:r w:rsidR="00113460" w:rsidRPr="00C80D3A">
        <w:rPr>
          <w:rStyle w:val="FootnoteReference"/>
          <w:rFonts w:ascii="Times New Roman" w:hAnsi="Times New Roman" w:cs="Times New Roman"/>
          <w:sz w:val="26"/>
          <w:szCs w:val="26"/>
        </w:rPr>
        <w:footnoteReference w:id="133"/>
      </w:r>
      <w:r w:rsidRPr="00C80D3A">
        <w:rPr>
          <w:rFonts w:ascii="Times New Roman" w:hAnsi="Times New Roman" w:cs="Times New Roman"/>
          <w:sz w:val="26"/>
          <w:szCs w:val="26"/>
        </w:rPr>
        <w:t xml:space="preserve"> and that in 2006, the Commission</w:t>
      </w:r>
      <w:r w:rsidRPr="00C80D3A" w:rsidDel="00C618DF">
        <w:rPr>
          <w:rFonts w:ascii="Times New Roman" w:hAnsi="Times New Roman" w:cs="Times New Roman"/>
          <w:sz w:val="26"/>
          <w:szCs w:val="26"/>
        </w:rPr>
        <w:t xml:space="preserve"> </w:t>
      </w:r>
      <w:r w:rsidRPr="00C80D3A">
        <w:rPr>
          <w:rFonts w:ascii="Times New Roman" w:hAnsi="Times New Roman" w:cs="Times New Roman"/>
          <w:sz w:val="26"/>
          <w:szCs w:val="26"/>
        </w:rPr>
        <w:t xml:space="preserve">reaffirmed that position in the </w:t>
      </w:r>
      <w:r w:rsidRPr="00C80D3A">
        <w:rPr>
          <w:rFonts w:ascii="Times New Roman" w:hAnsi="Times New Roman" w:cs="Times New Roman"/>
          <w:i/>
          <w:iCs/>
          <w:sz w:val="26"/>
          <w:szCs w:val="26"/>
        </w:rPr>
        <w:t>Final CAP Investigatory Order</w:t>
      </w:r>
      <w:r w:rsidRPr="00C80D3A">
        <w:rPr>
          <w:rFonts w:ascii="Times New Roman" w:hAnsi="Times New Roman" w:cs="Times New Roman"/>
          <w:sz w:val="26"/>
          <w:szCs w:val="26"/>
        </w:rPr>
        <w:t>.  If the Commission makes this policy change, it should identify its reasons for doing so, including what facts or laws have changed to require a departure from established precedent.  Joint Reply Comments of Industrial Customers at 4</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5, 11.</w:t>
      </w:r>
    </w:p>
    <w:p w14:paraId="433760CE" w14:textId="77777777" w:rsidR="001F63A3" w:rsidRPr="00C80D3A" w:rsidRDefault="001F63A3" w:rsidP="00315DBC">
      <w:pPr>
        <w:spacing w:after="0" w:line="360" w:lineRule="auto"/>
        <w:ind w:firstLine="720"/>
        <w:contextualSpacing/>
        <w:rPr>
          <w:rFonts w:ascii="Times New Roman" w:hAnsi="Times New Roman" w:cs="Times New Roman"/>
          <w:sz w:val="26"/>
          <w:szCs w:val="26"/>
        </w:rPr>
      </w:pPr>
    </w:p>
    <w:p w14:paraId="369D6F77"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UGI contends that universal service program funding should remain with the class that directly benefits.  It cautions against cross-class subsidization as customer choice is not limited to residential customers.  UGI asserts that if universal service costs are passed on to</w:t>
      </w:r>
      <w:r w:rsidRPr="00C80D3A" w:rsidDel="007D5237">
        <w:rPr>
          <w:rFonts w:ascii="Times New Roman" w:hAnsi="Times New Roman" w:cs="Times New Roman"/>
          <w:sz w:val="26"/>
          <w:szCs w:val="26"/>
        </w:rPr>
        <w:t xml:space="preserve"> </w:t>
      </w:r>
      <w:r w:rsidRPr="00C80D3A">
        <w:rPr>
          <w:rFonts w:ascii="Times New Roman" w:hAnsi="Times New Roman" w:cs="Times New Roman"/>
          <w:sz w:val="26"/>
          <w:szCs w:val="26"/>
        </w:rPr>
        <w:t>commercial and industrial ratepayers, they can choose to procure energy services elsewhere.  UGI Reply Comments at 7.</w:t>
      </w:r>
    </w:p>
    <w:p w14:paraId="50C9FF12" w14:textId="77777777" w:rsidR="00506216" w:rsidRPr="00C80D3A" w:rsidRDefault="00506216" w:rsidP="00315DBC">
      <w:pPr>
        <w:spacing w:after="0" w:line="360" w:lineRule="auto"/>
        <w:contextualSpacing/>
        <w:rPr>
          <w:rFonts w:ascii="Times New Roman" w:hAnsi="Times New Roman" w:cs="Times New Roman"/>
          <w:sz w:val="26"/>
          <w:szCs w:val="26"/>
        </w:rPr>
      </w:pPr>
    </w:p>
    <w:p w14:paraId="704B4362" w14:textId="56DAADB5"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Low Income Advocates maintain that there is insufficient information or data to support UGI</w:t>
      </w:r>
      <w:r w:rsidR="001529C6">
        <w:rPr>
          <w:rFonts w:ascii="Times New Roman" w:hAnsi="Times New Roman" w:cs="Times New Roman"/>
          <w:sz w:val="26"/>
          <w:szCs w:val="26"/>
        </w:rPr>
        <w:t>’</w:t>
      </w:r>
      <w:r w:rsidRPr="00C80D3A">
        <w:rPr>
          <w:rFonts w:ascii="Times New Roman" w:hAnsi="Times New Roman" w:cs="Times New Roman"/>
          <w:sz w:val="26"/>
          <w:szCs w:val="26"/>
        </w:rPr>
        <w:t>s claim that universal service costs would be a driving factor in the choice of energy service providers.  The Low Income Advocates assert universal service costs have not caused residential customers to switch away from natural gas.  Low Income Advocates Reply Comments at 10</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11.</w:t>
      </w:r>
    </w:p>
    <w:p w14:paraId="1264EB62" w14:textId="77777777" w:rsidR="00506216" w:rsidRPr="00C80D3A" w:rsidRDefault="00506216" w:rsidP="00315DBC">
      <w:pPr>
        <w:spacing w:after="0" w:line="360" w:lineRule="auto"/>
        <w:contextualSpacing/>
        <w:rPr>
          <w:rFonts w:ascii="Times New Roman" w:hAnsi="Times New Roman" w:cs="Times New Roman"/>
          <w:sz w:val="26"/>
          <w:szCs w:val="26"/>
        </w:rPr>
      </w:pPr>
    </w:p>
    <w:p w14:paraId="44A6CDEA" w14:textId="1E9F5C2B"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P</w:t>
      </w:r>
      <w:r w:rsidR="00671685" w:rsidRPr="00C80D3A">
        <w:rPr>
          <w:rFonts w:ascii="Times New Roman" w:hAnsi="Times New Roman" w:cs="Times New Roman"/>
          <w:sz w:val="26"/>
          <w:szCs w:val="26"/>
        </w:rPr>
        <w:t xml:space="preserve">ennsylvania </w:t>
      </w:r>
      <w:r w:rsidRPr="00C80D3A">
        <w:rPr>
          <w:rFonts w:ascii="Times New Roman" w:hAnsi="Times New Roman" w:cs="Times New Roman"/>
          <w:sz w:val="26"/>
          <w:szCs w:val="26"/>
        </w:rPr>
        <w:t>Chamber of Business and Industry (Chamber) asserts that the increase in natural gas production volume is commensurate with decreasing PJM</w:t>
      </w:r>
      <w:r w:rsidRPr="00C80D3A">
        <w:rPr>
          <w:rStyle w:val="FootnoteReference"/>
          <w:rFonts w:ascii="Times New Roman" w:hAnsi="Times New Roman" w:cs="Times New Roman"/>
          <w:sz w:val="26"/>
          <w:szCs w:val="26"/>
        </w:rPr>
        <w:footnoteReference w:id="134"/>
      </w:r>
      <w:r w:rsidRPr="00C80D3A">
        <w:rPr>
          <w:rFonts w:ascii="Times New Roman" w:hAnsi="Times New Roman" w:cs="Times New Roman"/>
          <w:sz w:val="26"/>
          <w:szCs w:val="26"/>
        </w:rPr>
        <w:t xml:space="preserve"> prices.  Prolific natural gas production has resulted in significant prices decreases for natural gas utility customers.  The Chamber contests the notion that low-income ratepayer assistance programs are in need of expanded investment financed by other rate classes.  It strongly opposes proposals to expand cost recovery</w:t>
      </w:r>
      <w:r w:rsidRPr="00C80D3A" w:rsidDel="00DE2088">
        <w:rPr>
          <w:rFonts w:ascii="Times New Roman" w:hAnsi="Times New Roman" w:cs="Times New Roman"/>
          <w:sz w:val="26"/>
          <w:szCs w:val="26"/>
        </w:rPr>
        <w:t xml:space="preserve"> </w:t>
      </w:r>
      <w:r w:rsidRPr="00C80D3A">
        <w:rPr>
          <w:rFonts w:ascii="Times New Roman" w:hAnsi="Times New Roman" w:cs="Times New Roman"/>
          <w:sz w:val="26"/>
          <w:szCs w:val="26"/>
        </w:rPr>
        <w:t>for these programs to all rate classes, as it would disadvantage the commercial and industrial sector.  The Chambers</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 membership is more than 8,500 businesses of all sizes and industrial and commercial sectors.  Its members require affordable, reliable, and competitively priced energy to sustain ongoing operations in the state.  The Chamber contends a rider on industrial user bills to finance universal service programs would diminish Pennsylvania</w:t>
      </w:r>
      <w:r w:rsidR="001529C6">
        <w:rPr>
          <w:rFonts w:ascii="Times New Roman" w:hAnsi="Times New Roman" w:cs="Times New Roman"/>
          <w:sz w:val="26"/>
          <w:szCs w:val="26"/>
        </w:rPr>
        <w:t>’</w:t>
      </w:r>
      <w:r w:rsidRPr="00C80D3A">
        <w:rPr>
          <w:rFonts w:ascii="Times New Roman" w:hAnsi="Times New Roman" w:cs="Times New Roman"/>
          <w:sz w:val="26"/>
          <w:szCs w:val="26"/>
        </w:rPr>
        <w:t>s competitiveness to attract new investment in this sector, which would clearly run contrary to the Governor Wolf</w:t>
      </w:r>
      <w:r w:rsidR="001529C6">
        <w:rPr>
          <w:rFonts w:ascii="Times New Roman" w:hAnsi="Times New Roman" w:cs="Times New Roman"/>
          <w:sz w:val="26"/>
          <w:szCs w:val="26"/>
        </w:rPr>
        <w:t>’</w:t>
      </w:r>
      <w:r w:rsidRPr="00C80D3A">
        <w:rPr>
          <w:rFonts w:ascii="Times New Roman" w:hAnsi="Times New Roman" w:cs="Times New Roman"/>
          <w:sz w:val="26"/>
          <w:szCs w:val="26"/>
        </w:rPr>
        <w:t>s “plain desire” to attract and promote new investment in manufacturing in Pennsylvania.  The Chamber contends more economic growth and continued support for competitive energy markets will expand economic opportunity and continue to drive down energy costs.  Chamber</w:t>
      </w:r>
      <w:r w:rsidRPr="00C80D3A" w:rsidDel="008C48CC">
        <w:rPr>
          <w:rFonts w:ascii="Times New Roman" w:hAnsi="Times New Roman" w:cs="Times New Roman"/>
          <w:sz w:val="26"/>
          <w:szCs w:val="26"/>
        </w:rPr>
        <w:t xml:space="preserve"> </w:t>
      </w:r>
      <w:r w:rsidRPr="00C80D3A">
        <w:rPr>
          <w:rFonts w:ascii="Times New Roman" w:hAnsi="Times New Roman" w:cs="Times New Roman"/>
          <w:sz w:val="26"/>
          <w:szCs w:val="26"/>
        </w:rPr>
        <w:t>Reply Comments at 1</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3.</w:t>
      </w:r>
    </w:p>
    <w:p w14:paraId="4E367681" w14:textId="77777777" w:rsidR="00506216" w:rsidRPr="00C80D3A" w:rsidRDefault="00506216" w:rsidP="00315DBC">
      <w:pPr>
        <w:spacing w:after="0" w:line="360" w:lineRule="auto"/>
        <w:contextualSpacing/>
        <w:rPr>
          <w:rFonts w:ascii="Times New Roman" w:hAnsi="Times New Roman" w:cs="Times New Roman"/>
          <w:sz w:val="26"/>
          <w:szCs w:val="26"/>
        </w:rPr>
      </w:pPr>
    </w:p>
    <w:p w14:paraId="1A6D0D4E" w14:textId="6340BAFF"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Low Income Advocates recommend the Commission institute a uniform system benefit charge across utilities and customer classes.  The system benefit charge could provide the greatest flexibility in terms of contracting for services and delivering benefits across utility service territories.  It would also provide a consistent and understandable mechanism to recover program costs.  Alternately, if the Commission continues to allow recovery through universal service riders, the Low Income Advocates urge the Commission to set forth guidance regarding an appropriate allocation of costs among rate classes.  Low Income Advocate</w:t>
      </w:r>
      <w:r w:rsidR="0066507A" w:rsidRPr="00C80D3A">
        <w:rPr>
          <w:rFonts w:ascii="Times New Roman" w:hAnsi="Times New Roman" w:cs="Times New Roman"/>
          <w:sz w:val="26"/>
          <w:szCs w:val="26"/>
        </w:rPr>
        <w:t>s</w:t>
      </w:r>
      <w:r w:rsidRPr="00C80D3A">
        <w:rPr>
          <w:rFonts w:ascii="Times New Roman" w:hAnsi="Times New Roman" w:cs="Times New Roman"/>
          <w:sz w:val="26"/>
          <w:szCs w:val="26"/>
        </w:rPr>
        <w:t xml:space="preserve"> Comments at 51</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52</w:t>
      </w:r>
      <w:r w:rsidR="00F431C8" w:rsidRPr="00C80D3A">
        <w:rPr>
          <w:rFonts w:ascii="Times New Roman" w:hAnsi="Times New Roman" w:cs="Times New Roman"/>
          <w:sz w:val="26"/>
          <w:szCs w:val="26"/>
        </w:rPr>
        <w:t>, 60</w:t>
      </w:r>
      <w:r w:rsidR="006A1381" w:rsidRPr="00C80D3A">
        <w:rPr>
          <w:rFonts w:ascii="Times New Roman" w:hAnsi="Times New Roman" w:cs="Times New Roman"/>
          <w:sz w:val="26"/>
          <w:szCs w:val="26"/>
        </w:rPr>
        <w:t>–</w:t>
      </w:r>
      <w:r w:rsidR="00F431C8" w:rsidRPr="00C80D3A">
        <w:rPr>
          <w:rFonts w:ascii="Times New Roman" w:hAnsi="Times New Roman" w:cs="Times New Roman"/>
          <w:sz w:val="26"/>
          <w:szCs w:val="26"/>
        </w:rPr>
        <w:t>61</w:t>
      </w:r>
      <w:r w:rsidRPr="00C80D3A">
        <w:rPr>
          <w:rFonts w:ascii="Times New Roman" w:hAnsi="Times New Roman" w:cs="Times New Roman"/>
          <w:sz w:val="26"/>
          <w:szCs w:val="26"/>
        </w:rPr>
        <w:t>.</w:t>
      </w:r>
    </w:p>
    <w:p w14:paraId="64A42607" w14:textId="77777777" w:rsidR="00506216" w:rsidRPr="00C80D3A" w:rsidRDefault="00506216" w:rsidP="00315DBC">
      <w:pPr>
        <w:spacing w:after="0" w:line="360" w:lineRule="auto"/>
        <w:contextualSpacing/>
        <w:rPr>
          <w:rFonts w:ascii="Times New Roman" w:hAnsi="Times New Roman" w:cs="Times New Roman"/>
          <w:sz w:val="26"/>
          <w:szCs w:val="26"/>
        </w:rPr>
      </w:pPr>
    </w:p>
    <w:p w14:paraId="0853B955"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Industrial Customers state that if the Commission does reverse precedent, the only conceivable allocation that could be used is a customer or meter allocation and recovery mechanism as opposed to a per-kWh or per-Mcf basis.  Joint Reply Comments of Industrial Customers at 20, FN 41.</w:t>
      </w:r>
    </w:p>
    <w:p w14:paraId="0EF99CBE" w14:textId="77777777" w:rsidR="00506216" w:rsidRPr="00C80D3A" w:rsidRDefault="00506216" w:rsidP="00315DBC">
      <w:pPr>
        <w:spacing w:after="0" w:line="360" w:lineRule="auto"/>
        <w:contextualSpacing/>
        <w:rPr>
          <w:rFonts w:ascii="Times New Roman" w:hAnsi="Times New Roman" w:cs="Times New Roman"/>
          <w:sz w:val="26"/>
          <w:szCs w:val="26"/>
        </w:rPr>
      </w:pPr>
    </w:p>
    <w:p w14:paraId="18FED49B" w14:textId="77777777" w:rsidR="00506216" w:rsidRPr="00C80D3A" w:rsidRDefault="00506216" w:rsidP="00077463">
      <w:pPr>
        <w:keepNext/>
        <w:spacing w:after="0" w:line="240" w:lineRule="auto"/>
        <w:contextualSpacing/>
        <w:rPr>
          <w:rFonts w:ascii="Times New Roman" w:hAnsi="Times New Roman" w:cs="Times New Roman"/>
          <w:i/>
          <w:sz w:val="26"/>
          <w:szCs w:val="26"/>
        </w:rPr>
      </w:pPr>
      <w:r w:rsidRPr="00C80D3A">
        <w:rPr>
          <w:rFonts w:ascii="Times New Roman" w:hAnsi="Times New Roman" w:cs="Times New Roman"/>
          <w:i/>
          <w:sz w:val="26"/>
          <w:szCs w:val="26"/>
        </w:rPr>
        <w:t>Energy Affordability for Low-Income Customers, Docket No. M-2017-2587711</w:t>
      </w:r>
    </w:p>
    <w:p w14:paraId="032EFEE7" w14:textId="77777777" w:rsidR="00506216" w:rsidRPr="00C80D3A" w:rsidRDefault="00506216" w:rsidP="00077463">
      <w:pPr>
        <w:keepNext/>
        <w:spacing w:after="0" w:line="240" w:lineRule="auto"/>
        <w:contextualSpacing/>
        <w:rPr>
          <w:rFonts w:ascii="Times New Roman" w:hAnsi="Times New Roman" w:cs="Times New Roman"/>
          <w:i/>
          <w:sz w:val="26"/>
          <w:szCs w:val="26"/>
        </w:rPr>
      </w:pPr>
    </w:p>
    <w:p w14:paraId="3CF5870F" w14:textId="77777777" w:rsidR="00506216" w:rsidRPr="00C80D3A" w:rsidRDefault="00506216" w:rsidP="00077463">
      <w:pPr>
        <w:keepNext/>
        <w:spacing w:after="0" w:line="360" w:lineRule="auto"/>
        <w:contextualSpacing/>
        <w:rPr>
          <w:rFonts w:ascii="Times New Roman" w:hAnsi="Times New Roman" w:cs="Times New Roman"/>
          <w:b/>
          <w:bCs/>
          <w:iCs/>
          <w:sz w:val="26"/>
          <w:szCs w:val="26"/>
        </w:rPr>
      </w:pPr>
      <w:r w:rsidRPr="00C80D3A">
        <w:rPr>
          <w:rFonts w:ascii="Times New Roman" w:hAnsi="Times New Roman" w:cs="Times New Roman"/>
          <w:b/>
          <w:bCs/>
          <w:iCs/>
          <w:sz w:val="26"/>
          <w:szCs w:val="26"/>
        </w:rPr>
        <w:t>Comments from Parties</w:t>
      </w:r>
    </w:p>
    <w:p w14:paraId="08D2E704" w14:textId="0E807060"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Penn State University (PSU), PPL, Columbia, OSBA, and the Industrial Customers oppose recovering universal service costs from non-residential ratepayers; maintaining that only the customer class that benefits from these programs should pay for them (</w:t>
      </w:r>
      <w:r w:rsidRPr="00C80D3A">
        <w:rPr>
          <w:rFonts w:ascii="Times New Roman" w:hAnsi="Times New Roman" w:cs="Times New Roman"/>
          <w:i/>
          <w:sz w:val="26"/>
          <w:szCs w:val="26"/>
        </w:rPr>
        <w:t>i.e.</w:t>
      </w:r>
      <w:r w:rsidRPr="00C80D3A">
        <w:rPr>
          <w:rFonts w:ascii="Times New Roman" w:hAnsi="Times New Roman" w:cs="Times New Roman"/>
          <w:sz w:val="26"/>
          <w:szCs w:val="26"/>
        </w:rPr>
        <w:t>, the residential class).  PSU Comments at 1, PPL Comments at 11, Columbia Comments at 9, OSBA Comments at 8, Joint Reply Comments of Industrial Customers at 10</w:t>
      </w:r>
      <w:r w:rsidR="006A1381" w:rsidRPr="00C80D3A">
        <w:rPr>
          <w:rFonts w:ascii="Times New Roman" w:hAnsi="Times New Roman" w:cs="Times New Roman"/>
          <w:sz w:val="26"/>
          <w:szCs w:val="26"/>
        </w:rPr>
        <w:t>–</w:t>
      </w:r>
      <w:r w:rsidRPr="00C80D3A">
        <w:rPr>
          <w:rFonts w:ascii="Times New Roman" w:hAnsi="Times New Roman" w:cs="Times New Roman"/>
          <w:sz w:val="26"/>
          <w:szCs w:val="26"/>
        </w:rPr>
        <w:t>11.</w:t>
      </w:r>
    </w:p>
    <w:p w14:paraId="1DF544AB"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65582125" w14:textId="417DC73C"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Low Income Advocates and OCA support recovering universal service costs from all ratepayers.  Low Income Advocate</w:t>
      </w:r>
      <w:r w:rsidR="0066507A" w:rsidRPr="00C80D3A">
        <w:rPr>
          <w:rFonts w:ascii="Times New Roman" w:hAnsi="Times New Roman" w:cs="Times New Roman"/>
          <w:sz w:val="26"/>
          <w:szCs w:val="26"/>
        </w:rPr>
        <w:t>s</w:t>
      </w:r>
      <w:r w:rsidRPr="00C80D3A">
        <w:rPr>
          <w:rFonts w:ascii="Times New Roman" w:hAnsi="Times New Roman" w:cs="Times New Roman"/>
          <w:sz w:val="26"/>
          <w:szCs w:val="26"/>
        </w:rPr>
        <w:t xml:space="preserve"> Comments at 17 and OCA Comments at 14.  The Low Income Advocates contend </w:t>
      </w:r>
      <w:r w:rsidR="00F31C4F" w:rsidRPr="00C80D3A">
        <w:rPr>
          <w:rFonts w:ascii="Times New Roman" w:hAnsi="Times New Roman" w:cs="Times New Roman"/>
          <w:sz w:val="26"/>
          <w:szCs w:val="26"/>
        </w:rPr>
        <w:t xml:space="preserve">that </w:t>
      </w:r>
      <w:r w:rsidR="00A12C4C" w:rsidRPr="00C80D3A">
        <w:rPr>
          <w:rFonts w:ascii="Times New Roman" w:hAnsi="Times New Roman" w:cs="Times New Roman"/>
          <w:sz w:val="26"/>
          <w:szCs w:val="26"/>
        </w:rPr>
        <w:t xml:space="preserve">Commission </w:t>
      </w:r>
      <w:r w:rsidRPr="00C80D3A">
        <w:rPr>
          <w:rFonts w:ascii="Times New Roman" w:hAnsi="Times New Roman" w:cs="Times New Roman"/>
          <w:sz w:val="26"/>
          <w:szCs w:val="26"/>
        </w:rPr>
        <w:t>regulations and the Commonwealth Court support the Commission</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s authority to do so.  They note that low-income programs are identified as “public purpose” costs in the Gas Competition Act.  Low Income Advocates Reply Comments at 14, </w:t>
      </w:r>
      <w:r w:rsidRPr="002F4B79">
        <w:rPr>
          <w:rFonts w:ascii="Times New Roman" w:hAnsi="Times New Roman" w:cs="Times New Roman"/>
          <w:sz w:val="26"/>
          <w:szCs w:val="26"/>
        </w:rPr>
        <w:t>citing</w:t>
      </w:r>
      <w:r w:rsidRPr="00C80D3A">
        <w:rPr>
          <w:rFonts w:ascii="Times New Roman" w:hAnsi="Times New Roman" w:cs="Times New Roman"/>
          <w:sz w:val="26"/>
          <w:szCs w:val="26"/>
        </w:rPr>
        <w:t xml:space="preserve"> Section 2802(17).  The Low Income Advocates also cite the Commonwealth Court decision in </w:t>
      </w:r>
      <w:r w:rsidRPr="00C80D3A">
        <w:rPr>
          <w:rFonts w:ascii="Times New Roman" w:hAnsi="Times New Roman" w:cs="Times New Roman"/>
          <w:i/>
          <w:iCs/>
          <w:sz w:val="26"/>
          <w:szCs w:val="26"/>
        </w:rPr>
        <w:t xml:space="preserve">Met-Ed Industrial Users Group </w:t>
      </w:r>
      <w:r w:rsidRPr="00C80D3A">
        <w:rPr>
          <w:rFonts w:ascii="Times New Roman" w:hAnsi="Times New Roman" w:cs="Times New Roman"/>
          <w:sz w:val="26"/>
          <w:szCs w:val="26"/>
        </w:rPr>
        <w:t>(MEIUG)</w:t>
      </w:r>
      <w:r w:rsidRPr="00C80D3A">
        <w:rPr>
          <w:rFonts w:ascii="Times New Roman" w:hAnsi="Times New Roman" w:cs="Times New Roman"/>
          <w:i/>
          <w:iCs/>
          <w:sz w:val="26"/>
          <w:szCs w:val="26"/>
        </w:rPr>
        <w:t xml:space="preserve"> v. PA PUC</w:t>
      </w:r>
      <w:r w:rsidRPr="00C80D3A">
        <w:rPr>
          <w:rFonts w:ascii="Times New Roman" w:hAnsi="Times New Roman" w:cs="Times New Roman"/>
          <w:sz w:val="26"/>
          <w:szCs w:val="26"/>
        </w:rPr>
        <w:t xml:space="preserve">, in which the court found that funding from special programs is not limited to those who benefit.  Low Income Advocates Reply Comments at 14, citing </w:t>
      </w:r>
      <w:r w:rsidRPr="00C80D3A">
        <w:rPr>
          <w:rFonts w:ascii="Times New Roman" w:hAnsi="Times New Roman" w:cs="Times New Roman"/>
          <w:i/>
          <w:iCs/>
          <w:sz w:val="26"/>
          <w:szCs w:val="26"/>
        </w:rPr>
        <w:t>MEIUG</w:t>
      </w:r>
      <w:r w:rsidRPr="00C80D3A" w:rsidDel="00C65782">
        <w:rPr>
          <w:rFonts w:ascii="Times New Roman" w:hAnsi="Times New Roman" w:cs="Times New Roman"/>
          <w:i/>
          <w:sz w:val="26"/>
          <w:szCs w:val="26"/>
        </w:rPr>
        <w:t xml:space="preserve"> </w:t>
      </w:r>
      <w:r w:rsidRPr="00C80D3A">
        <w:rPr>
          <w:rFonts w:ascii="Times New Roman" w:hAnsi="Times New Roman" w:cs="Times New Roman"/>
          <w:i/>
          <w:sz w:val="26"/>
          <w:szCs w:val="26"/>
        </w:rPr>
        <w:t>v. Pa. PUC</w:t>
      </w:r>
      <w:r w:rsidRPr="00C80D3A">
        <w:rPr>
          <w:rFonts w:ascii="Times New Roman" w:hAnsi="Times New Roman" w:cs="Times New Roman"/>
          <w:sz w:val="26"/>
          <w:szCs w:val="26"/>
        </w:rPr>
        <w:t>, 960 A.2d 189, 201 (Pa. Cmwlth. 2008).</w:t>
      </w:r>
    </w:p>
    <w:p w14:paraId="7C899C32" w14:textId="72B0019B" w:rsidR="000A2068"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OSBA, PSU, and the Industrial Customers separately </w:t>
      </w:r>
      <w:r w:rsidR="00845DBE" w:rsidRPr="00C80D3A">
        <w:rPr>
          <w:rFonts w:ascii="Times New Roman" w:hAnsi="Times New Roman" w:cs="Times New Roman"/>
          <w:sz w:val="26"/>
          <w:szCs w:val="26"/>
        </w:rPr>
        <w:t>assert that</w:t>
      </w:r>
      <w:r w:rsidRPr="00C80D3A">
        <w:rPr>
          <w:rFonts w:ascii="Times New Roman" w:hAnsi="Times New Roman" w:cs="Times New Roman"/>
          <w:sz w:val="26"/>
          <w:szCs w:val="26"/>
        </w:rPr>
        <w:t xml:space="preserve"> the Commonwealth Court has rejected the argument that the Competition Acts</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 designation of universal service costs as “nonbypassable” means that recovery should come from all customer classes.  The</w:t>
      </w:r>
      <w:r w:rsidR="007719DF" w:rsidRPr="00C80D3A">
        <w:rPr>
          <w:rFonts w:ascii="Times New Roman" w:hAnsi="Times New Roman" w:cs="Times New Roman"/>
          <w:sz w:val="26"/>
          <w:szCs w:val="26"/>
        </w:rPr>
        <w:t>y claim that the</w:t>
      </w:r>
      <w:r w:rsidRPr="00C80D3A">
        <w:rPr>
          <w:rFonts w:ascii="Times New Roman" w:hAnsi="Times New Roman" w:cs="Times New Roman"/>
          <w:sz w:val="26"/>
          <w:szCs w:val="26"/>
        </w:rPr>
        <w:t xml:space="preserve"> Commonwealth Court held that the nonbypassable provision referred to maintaining universal service recovery after a residential customer shops for a generation supplier.  OSBA Comments at 10, </w:t>
      </w:r>
      <w:r w:rsidRPr="00C80D3A">
        <w:rPr>
          <w:rFonts w:ascii="Times New Roman" w:hAnsi="Times New Roman" w:cs="Times New Roman"/>
          <w:iCs/>
          <w:sz w:val="26"/>
          <w:szCs w:val="26"/>
        </w:rPr>
        <w:t>citing</w:t>
      </w:r>
      <w:r w:rsidRPr="00C80D3A">
        <w:rPr>
          <w:rFonts w:ascii="Times New Roman" w:hAnsi="Times New Roman" w:cs="Times New Roman"/>
          <w:sz w:val="26"/>
          <w:szCs w:val="26"/>
        </w:rPr>
        <w:t xml:space="preserve"> </w:t>
      </w:r>
      <w:r w:rsidRPr="00C80D3A">
        <w:rPr>
          <w:rFonts w:ascii="Times New Roman" w:hAnsi="Times New Roman" w:cs="Times New Roman"/>
          <w:i/>
          <w:sz w:val="26"/>
          <w:szCs w:val="26"/>
        </w:rPr>
        <w:t>MEIUG v. Pa. PUC</w:t>
      </w:r>
      <w:r w:rsidRPr="00C80D3A">
        <w:rPr>
          <w:rFonts w:ascii="Times New Roman" w:hAnsi="Times New Roman" w:cs="Times New Roman"/>
          <w:sz w:val="26"/>
          <w:szCs w:val="26"/>
        </w:rPr>
        <w:t>, 960</w:t>
      </w:r>
      <w:r w:rsidR="00FB5F3D" w:rsidRPr="00C80D3A">
        <w:rPr>
          <w:rFonts w:ascii="Times New Roman" w:hAnsi="Times New Roman" w:cs="Times New Roman"/>
          <w:sz w:val="26"/>
          <w:szCs w:val="26"/>
        </w:rPr>
        <w:t> </w:t>
      </w:r>
      <w:r w:rsidRPr="00C80D3A">
        <w:rPr>
          <w:rFonts w:ascii="Times New Roman" w:hAnsi="Times New Roman" w:cs="Times New Roman"/>
          <w:sz w:val="26"/>
          <w:szCs w:val="26"/>
        </w:rPr>
        <w:t>A.2d 189 (Pa. Cmwlth. 2008); PSU Reply Comments at 3</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 xml:space="preserve">4 and Joint Reply Comments of Industrial Customers at 7, </w:t>
      </w:r>
      <w:r w:rsidRPr="00C80D3A">
        <w:rPr>
          <w:rFonts w:ascii="Times New Roman" w:hAnsi="Times New Roman" w:cs="Times New Roman"/>
          <w:iCs/>
          <w:sz w:val="26"/>
          <w:szCs w:val="26"/>
        </w:rPr>
        <w:t>citing</w:t>
      </w:r>
      <w:r w:rsidRPr="00C80D3A">
        <w:rPr>
          <w:rFonts w:ascii="Times New Roman" w:hAnsi="Times New Roman" w:cs="Times New Roman"/>
          <w:sz w:val="26"/>
          <w:szCs w:val="26"/>
        </w:rPr>
        <w:t xml:space="preserve"> </w:t>
      </w:r>
      <w:r w:rsidRPr="00C80D3A">
        <w:rPr>
          <w:rFonts w:ascii="Times New Roman" w:hAnsi="Times New Roman" w:cs="Times New Roman"/>
          <w:i/>
          <w:sz w:val="26"/>
          <w:szCs w:val="26"/>
        </w:rPr>
        <w:t>MEIUG v. PA PUC</w:t>
      </w:r>
      <w:r w:rsidRPr="00C80D3A">
        <w:rPr>
          <w:rFonts w:ascii="Times New Roman" w:hAnsi="Times New Roman" w:cs="Times New Roman"/>
          <w:sz w:val="26"/>
          <w:szCs w:val="26"/>
        </w:rPr>
        <w:t xml:space="preserve">.  </w:t>
      </w:r>
    </w:p>
    <w:p w14:paraId="18E4ED86" w14:textId="77777777" w:rsidR="001A29A4" w:rsidRPr="00C80D3A" w:rsidRDefault="001A29A4" w:rsidP="00315DBC">
      <w:pPr>
        <w:spacing w:after="0" w:line="360" w:lineRule="auto"/>
        <w:ind w:firstLine="720"/>
        <w:contextualSpacing/>
        <w:rPr>
          <w:rFonts w:ascii="Times New Roman" w:hAnsi="Times New Roman" w:cs="Times New Roman"/>
          <w:sz w:val="26"/>
          <w:szCs w:val="26"/>
        </w:rPr>
      </w:pPr>
    </w:p>
    <w:p w14:paraId="718085B7" w14:textId="49C09B3D"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OSBA maintains the Competition Acts mandate continuing the universal service programs and policies in place, which includes recovering universal service costs solely from residential customers.  OSBA Comments at 8</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 xml:space="preserve">9, </w:t>
      </w:r>
      <w:r w:rsidRPr="00C80D3A">
        <w:rPr>
          <w:rFonts w:ascii="Times New Roman" w:hAnsi="Times New Roman" w:cs="Times New Roman"/>
          <w:iCs/>
          <w:sz w:val="26"/>
          <w:szCs w:val="26"/>
        </w:rPr>
        <w:t>citing</w:t>
      </w:r>
      <w:r w:rsidRPr="00C80D3A">
        <w:rPr>
          <w:rFonts w:ascii="Times New Roman" w:hAnsi="Times New Roman" w:cs="Times New Roman"/>
          <w:sz w:val="26"/>
          <w:szCs w:val="26"/>
        </w:rPr>
        <w:t xml:space="preserve"> Sections 2802(17) and</w:t>
      </w:r>
      <w:r w:rsidR="00C74F36">
        <w:rPr>
          <w:rFonts w:ascii="Times New Roman" w:hAnsi="Times New Roman" w:cs="Times New Roman"/>
          <w:sz w:val="26"/>
          <w:szCs w:val="26"/>
        </w:rPr>
        <w:t> </w:t>
      </w:r>
      <w:r w:rsidRPr="00C80D3A">
        <w:rPr>
          <w:rFonts w:ascii="Times New Roman" w:hAnsi="Times New Roman" w:cs="Times New Roman"/>
          <w:sz w:val="26"/>
          <w:szCs w:val="26"/>
        </w:rPr>
        <w:t>2203(7).</w:t>
      </w:r>
    </w:p>
    <w:p w14:paraId="6A96BEBB"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341FFE0D" w14:textId="3EE02EF5"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PSU further argues that the Competition Acts make clear that the General Assembly intended to limit universal service benefits and costs to the residential class.  </w:t>
      </w:r>
      <w:r w:rsidR="00A52428" w:rsidRPr="00C80D3A">
        <w:rPr>
          <w:rFonts w:ascii="Times New Roman" w:hAnsi="Times New Roman" w:cs="Times New Roman"/>
          <w:sz w:val="26"/>
          <w:szCs w:val="26"/>
        </w:rPr>
        <w:t>PSU</w:t>
      </w:r>
      <w:r w:rsidRPr="00C80D3A">
        <w:rPr>
          <w:rFonts w:ascii="Times New Roman" w:hAnsi="Times New Roman" w:cs="Times New Roman"/>
          <w:sz w:val="26"/>
          <w:szCs w:val="26"/>
        </w:rPr>
        <w:t xml:space="preserve"> </w:t>
      </w:r>
      <w:r w:rsidR="00F2190A" w:rsidRPr="00C80D3A">
        <w:rPr>
          <w:rFonts w:ascii="Times New Roman" w:hAnsi="Times New Roman" w:cs="Times New Roman"/>
          <w:sz w:val="26"/>
          <w:szCs w:val="26"/>
        </w:rPr>
        <w:t>asserts</w:t>
      </w:r>
      <w:r w:rsidRPr="00C80D3A" w:rsidDel="00F2190A">
        <w:rPr>
          <w:rFonts w:ascii="Times New Roman" w:hAnsi="Times New Roman" w:cs="Times New Roman"/>
          <w:sz w:val="26"/>
          <w:szCs w:val="26"/>
        </w:rPr>
        <w:t xml:space="preserve"> </w:t>
      </w:r>
      <w:r w:rsidRPr="00C80D3A">
        <w:rPr>
          <w:rFonts w:ascii="Times New Roman" w:hAnsi="Times New Roman" w:cs="Times New Roman"/>
          <w:sz w:val="26"/>
          <w:szCs w:val="26"/>
        </w:rPr>
        <w:t xml:space="preserve">that Sections 2804(7) (electric) and 2203(5) (natural gas) prohibit discriminating “against one customer class to the benefit of the other.”  </w:t>
      </w:r>
      <w:r w:rsidR="00A33500" w:rsidRPr="00C80D3A">
        <w:rPr>
          <w:rFonts w:ascii="Times New Roman" w:hAnsi="Times New Roman" w:cs="Times New Roman"/>
          <w:sz w:val="26"/>
          <w:szCs w:val="26"/>
        </w:rPr>
        <w:t xml:space="preserve">PSU relies on </w:t>
      </w:r>
      <w:r w:rsidRPr="00C80D3A">
        <w:rPr>
          <w:rFonts w:ascii="Times New Roman" w:hAnsi="Times New Roman" w:cs="Times New Roman"/>
          <w:sz w:val="26"/>
          <w:szCs w:val="26"/>
        </w:rPr>
        <w:t xml:space="preserve">Section 2202 </w:t>
      </w:r>
      <w:r w:rsidR="00A33500" w:rsidRPr="00C80D3A">
        <w:rPr>
          <w:rFonts w:ascii="Times New Roman" w:hAnsi="Times New Roman" w:cs="Times New Roman"/>
          <w:sz w:val="26"/>
          <w:szCs w:val="26"/>
        </w:rPr>
        <w:t xml:space="preserve">which </w:t>
      </w:r>
      <w:r w:rsidRPr="00C80D3A">
        <w:rPr>
          <w:rFonts w:ascii="Times New Roman" w:hAnsi="Times New Roman" w:cs="Times New Roman"/>
          <w:sz w:val="26"/>
          <w:szCs w:val="26"/>
        </w:rPr>
        <w:t>defines universal service and energy conservation plans as policies and practices meant to help low-income residential customers.  PSU maintains it is the General Assembly</w:t>
      </w:r>
      <w:r w:rsidR="001529C6">
        <w:rPr>
          <w:rFonts w:ascii="Times New Roman" w:hAnsi="Times New Roman" w:cs="Times New Roman"/>
          <w:sz w:val="26"/>
          <w:szCs w:val="26"/>
        </w:rPr>
        <w:t>’</w:t>
      </w:r>
      <w:r w:rsidRPr="00C80D3A">
        <w:rPr>
          <w:rFonts w:ascii="Times New Roman" w:hAnsi="Times New Roman" w:cs="Times New Roman"/>
          <w:sz w:val="26"/>
          <w:szCs w:val="26"/>
        </w:rPr>
        <w:t>s role, not the Commission</w:t>
      </w:r>
      <w:r w:rsidR="001529C6">
        <w:rPr>
          <w:rFonts w:ascii="Times New Roman" w:hAnsi="Times New Roman" w:cs="Times New Roman"/>
          <w:sz w:val="26"/>
          <w:szCs w:val="26"/>
        </w:rPr>
        <w:t>’</w:t>
      </w:r>
      <w:r w:rsidRPr="00C80D3A">
        <w:rPr>
          <w:rFonts w:ascii="Times New Roman" w:hAnsi="Times New Roman" w:cs="Times New Roman"/>
          <w:sz w:val="26"/>
          <w:szCs w:val="26"/>
        </w:rPr>
        <w:t>s, to determine the source of funding for CAPs.  PSU Comments at 6</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8.</w:t>
      </w:r>
    </w:p>
    <w:p w14:paraId="4A6204B3" w14:textId="77777777" w:rsidR="00506216" w:rsidRPr="00C80D3A" w:rsidRDefault="00506216" w:rsidP="00315DBC">
      <w:pPr>
        <w:spacing w:after="0" w:line="360" w:lineRule="auto"/>
        <w:contextualSpacing/>
        <w:rPr>
          <w:rFonts w:ascii="Times New Roman" w:hAnsi="Times New Roman" w:cs="Times New Roman"/>
          <w:sz w:val="26"/>
          <w:szCs w:val="26"/>
        </w:rPr>
      </w:pPr>
    </w:p>
    <w:p w14:paraId="2D5B27E9" w14:textId="09719F2E"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PSU, PPL, and the Industrial Customers </w:t>
      </w:r>
      <w:r w:rsidR="00FC2CA2" w:rsidRPr="00C80D3A">
        <w:rPr>
          <w:rFonts w:ascii="Times New Roman" w:hAnsi="Times New Roman" w:cs="Times New Roman"/>
          <w:sz w:val="26"/>
          <w:szCs w:val="26"/>
        </w:rPr>
        <w:t xml:space="preserve">separately </w:t>
      </w:r>
      <w:r w:rsidRPr="00C80D3A">
        <w:rPr>
          <w:rFonts w:ascii="Times New Roman" w:hAnsi="Times New Roman" w:cs="Times New Roman"/>
          <w:sz w:val="26"/>
          <w:szCs w:val="26"/>
        </w:rPr>
        <w:t xml:space="preserve">maintain that recovering universal service costs from commercial and industrial customers is not consistent with the cost-causation principles established in </w:t>
      </w:r>
      <w:r w:rsidRPr="00C80D3A">
        <w:rPr>
          <w:rFonts w:ascii="Times New Roman" w:hAnsi="Times New Roman" w:cs="Times New Roman"/>
          <w:i/>
          <w:sz w:val="26"/>
          <w:szCs w:val="26"/>
        </w:rPr>
        <w:t>Lloyd v. Pa. PUC</w:t>
      </w:r>
      <w:r w:rsidRPr="00C80D3A">
        <w:rPr>
          <w:rFonts w:ascii="Times New Roman" w:hAnsi="Times New Roman" w:cs="Times New Roman"/>
          <w:sz w:val="26"/>
          <w:szCs w:val="26"/>
        </w:rPr>
        <w:t>, 904 A.2d 1010, 1019</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 xml:space="preserve">21 (Pa. Cmwlth. 2006).  </w:t>
      </w:r>
      <w:r w:rsidR="00A33500" w:rsidRPr="00C80D3A">
        <w:rPr>
          <w:rFonts w:ascii="Times New Roman" w:hAnsi="Times New Roman" w:cs="Times New Roman"/>
          <w:sz w:val="26"/>
          <w:szCs w:val="26"/>
        </w:rPr>
        <w:t>These p</w:t>
      </w:r>
      <w:r w:rsidRPr="00C80D3A">
        <w:rPr>
          <w:rFonts w:ascii="Times New Roman" w:hAnsi="Times New Roman" w:cs="Times New Roman"/>
          <w:sz w:val="26"/>
          <w:szCs w:val="26"/>
        </w:rPr>
        <w:t>arties argue that residential customers are the “cost causers” of universal service programs because they are the only class who may benefit from these programs.  PSU Comments at 5</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6, PPL Comments at 11</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12, and Joint Reply Comments of Industrial Customers at 11.  PSU contends there is no support for OCA</w:t>
      </w:r>
      <w:r w:rsidR="001529C6">
        <w:rPr>
          <w:rFonts w:ascii="Times New Roman" w:hAnsi="Times New Roman" w:cs="Times New Roman"/>
          <w:sz w:val="26"/>
          <w:szCs w:val="26"/>
        </w:rPr>
        <w:t>’</w:t>
      </w:r>
      <w:r w:rsidRPr="00C80D3A">
        <w:rPr>
          <w:rFonts w:ascii="Times New Roman" w:hAnsi="Times New Roman" w:cs="Times New Roman"/>
          <w:sz w:val="26"/>
          <w:szCs w:val="26"/>
        </w:rPr>
        <w:t>s argument that non-residential ratepayers contribute to the cost of CAPs.  PSU Reply Comments at 8</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 xml:space="preserve">9.  </w:t>
      </w:r>
    </w:p>
    <w:p w14:paraId="1D16EA2B" w14:textId="77777777" w:rsidR="00506216" w:rsidRPr="00C80D3A" w:rsidRDefault="00506216" w:rsidP="00315DBC">
      <w:pPr>
        <w:spacing w:after="0" w:line="360" w:lineRule="auto"/>
        <w:contextualSpacing/>
        <w:rPr>
          <w:rFonts w:ascii="Times New Roman" w:hAnsi="Times New Roman" w:cs="Times New Roman"/>
          <w:sz w:val="26"/>
          <w:szCs w:val="26"/>
        </w:rPr>
      </w:pPr>
    </w:p>
    <w:p w14:paraId="132222E7" w14:textId="1A52302E"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OCA contends that the cost causation principle established in </w:t>
      </w:r>
      <w:r w:rsidRPr="00C80D3A">
        <w:rPr>
          <w:rFonts w:ascii="Times New Roman" w:hAnsi="Times New Roman" w:cs="Times New Roman"/>
          <w:i/>
          <w:iCs/>
          <w:sz w:val="26"/>
          <w:szCs w:val="26"/>
        </w:rPr>
        <w:t>Lloyd v. Pa. PUC</w:t>
      </w:r>
      <w:r w:rsidRPr="00C80D3A">
        <w:rPr>
          <w:rFonts w:ascii="Times New Roman" w:hAnsi="Times New Roman" w:cs="Times New Roman"/>
          <w:sz w:val="26"/>
          <w:szCs w:val="26"/>
        </w:rPr>
        <w:t xml:space="preserve"> is not applicable in this situation, as this would require only low-income customers to pay for CAPs.  OCA also notes the Commission has previously acknowledged that the cost causation principle does not preclude consideration of other factors.  OCA Reply Comments at 5, citing</w:t>
      </w:r>
      <w:r w:rsidRPr="00C80D3A">
        <w:rPr>
          <w:rFonts w:ascii="Times New Roman" w:hAnsi="Times New Roman" w:cs="Times New Roman"/>
          <w:i/>
          <w:iCs/>
          <w:sz w:val="26"/>
          <w:szCs w:val="26"/>
        </w:rPr>
        <w:t xml:space="preserve"> Pa. PUC v. City of DuBois</w:t>
      </w:r>
      <w:r w:rsidRPr="00C80D3A">
        <w:rPr>
          <w:rFonts w:ascii="Times New Roman" w:hAnsi="Times New Roman" w:cs="Times New Roman"/>
          <w:sz w:val="26"/>
          <w:szCs w:val="26"/>
        </w:rPr>
        <w:t>, Docket No. R-2016-2554150 (</w:t>
      </w:r>
      <w:r w:rsidR="009D7683" w:rsidRPr="00C80D3A">
        <w:rPr>
          <w:rFonts w:ascii="Times New Roman" w:hAnsi="Times New Roman" w:cs="Times New Roman"/>
          <w:sz w:val="26"/>
          <w:szCs w:val="26"/>
        </w:rPr>
        <w:t>o</w:t>
      </w:r>
      <w:r w:rsidRPr="00C80D3A">
        <w:rPr>
          <w:rFonts w:ascii="Times New Roman" w:hAnsi="Times New Roman" w:cs="Times New Roman"/>
          <w:sz w:val="26"/>
          <w:szCs w:val="26"/>
        </w:rPr>
        <w:t xml:space="preserve">rder entered </w:t>
      </w:r>
      <w:r w:rsidR="005050ED" w:rsidRPr="00C80D3A">
        <w:rPr>
          <w:rFonts w:ascii="Times New Roman" w:hAnsi="Times New Roman" w:cs="Times New Roman"/>
          <w:sz w:val="26"/>
          <w:szCs w:val="26"/>
        </w:rPr>
        <w:t xml:space="preserve">on </w:t>
      </w:r>
      <w:r w:rsidRPr="00C80D3A">
        <w:rPr>
          <w:rFonts w:ascii="Times New Roman" w:hAnsi="Times New Roman" w:cs="Times New Roman"/>
          <w:sz w:val="26"/>
          <w:szCs w:val="26"/>
        </w:rPr>
        <w:t>May 18, 2017)</w:t>
      </w:r>
      <w:r w:rsidR="006D088F" w:rsidRPr="00C80D3A">
        <w:rPr>
          <w:rFonts w:ascii="Times New Roman" w:hAnsi="Times New Roman" w:cs="Times New Roman"/>
          <w:sz w:val="26"/>
          <w:szCs w:val="26"/>
        </w:rPr>
        <w:t>,</w:t>
      </w:r>
      <w:r w:rsidRPr="00C80D3A">
        <w:rPr>
          <w:rFonts w:ascii="Times New Roman" w:hAnsi="Times New Roman" w:cs="Times New Roman"/>
          <w:sz w:val="26"/>
          <w:szCs w:val="26"/>
        </w:rPr>
        <w:t xml:space="preserve"> at 26.</w:t>
      </w:r>
    </w:p>
    <w:p w14:paraId="4190AE06" w14:textId="77777777" w:rsidR="004510B5" w:rsidRPr="00C80D3A" w:rsidRDefault="004510B5" w:rsidP="00315DBC">
      <w:pPr>
        <w:spacing w:after="0" w:line="360" w:lineRule="auto"/>
        <w:ind w:firstLine="720"/>
        <w:contextualSpacing/>
        <w:rPr>
          <w:rFonts w:ascii="Times New Roman" w:hAnsi="Times New Roman" w:cs="Times New Roman"/>
          <w:sz w:val="26"/>
          <w:szCs w:val="26"/>
        </w:rPr>
      </w:pPr>
    </w:p>
    <w:p w14:paraId="1BC28AA1" w14:textId="2178DC70"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PSU rejects the argument that cost-causation, if taken to the extreme, would require only low-income customers pay for universal service programs since they are the only ones eligible to receive the benefits.  PSU notes that all residential customers could benefit from these programs if they experienced financial hardship; while commercial and industrial customers will never have access to these programs, regardless of their financial situation.  PSU Reply Comments at 8.</w:t>
      </w:r>
    </w:p>
    <w:p w14:paraId="34AD83B8" w14:textId="77777777" w:rsidR="001A29A4" w:rsidRPr="00C80D3A" w:rsidRDefault="001A29A4" w:rsidP="00315DBC">
      <w:pPr>
        <w:spacing w:after="0" w:line="360" w:lineRule="auto"/>
        <w:ind w:firstLine="720"/>
        <w:contextualSpacing/>
        <w:rPr>
          <w:rFonts w:ascii="Times New Roman" w:hAnsi="Times New Roman" w:cs="Times New Roman"/>
          <w:sz w:val="26"/>
          <w:szCs w:val="26"/>
        </w:rPr>
      </w:pPr>
    </w:p>
    <w:p w14:paraId="51622C72"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Low Income Advocates contend the true cost causers of universal service programs are poverty and income inequality, which result from social and economic forces that cannot be attributed to the residential class alone.  Low Income Advocates Reply Comments at 15.</w:t>
      </w:r>
    </w:p>
    <w:p w14:paraId="3E4FE064" w14:textId="77777777" w:rsidR="00506216" w:rsidRPr="00C80D3A" w:rsidRDefault="00506216" w:rsidP="00315DBC">
      <w:pPr>
        <w:spacing w:after="0" w:line="360" w:lineRule="auto"/>
        <w:contextualSpacing/>
        <w:rPr>
          <w:rFonts w:ascii="Times New Roman" w:hAnsi="Times New Roman" w:cs="Times New Roman"/>
          <w:sz w:val="26"/>
          <w:szCs w:val="26"/>
        </w:rPr>
      </w:pPr>
    </w:p>
    <w:p w14:paraId="1960210A" w14:textId="12E9CB73"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PSU, OSBA, and the Industrial Customers note the Commission has consistently upheld the policy of restricting recovery of universal service costs to residential customers.  The Commission last considered cost allocation modifications for universal service programs in the </w:t>
      </w:r>
      <w:r w:rsidRPr="00C80D3A">
        <w:rPr>
          <w:rFonts w:ascii="Times New Roman" w:hAnsi="Times New Roman" w:cs="Times New Roman"/>
          <w:i/>
          <w:iCs/>
          <w:sz w:val="26"/>
          <w:szCs w:val="26"/>
        </w:rPr>
        <w:t>2005 CAP Funding Levels and Cost Recovery Mechanisms</w:t>
      </w:r>
      <w:r w:rsidRPr="00C80D3A">
        <w:rPr>
          <w:rFonts w:ascii="Times New Roman" w:hAnsi="Times New Roman" w:cs="Times New Roman"/>
          <w:sz w:val="26"/>
          <w:szCs w:val="26"/>
        </w:rPr>
        <w:t xml:space="preserve"> proceeding at Docket No. M-00051923 and determined that no changes were needed.  These parties argue the Commission should maintain this long-standing policy.  PSU Comments at 4, OSBA Reply Comments at 9, and Joint Reply Comments of Industrial Customers at 8</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 xml:space="preserve">9, </w:t>
      </w:r>
      <w:r w:rsidRPr="00C80D3A">
        <w:rPr>
          <w:rFonts w:ascii="Times New Roman" w:hAnsi="Times New Roman" w:cs="Times New Roman"/>
          <w:iCs/>
          <w:sz w:val="26"/>
          <w:szCs w:val="26"/>
        </w:rPr>
        <w:t>citing</w:t>
      </w:r>
      <w:r w:rsidRPr="00C80D3A">
        <w:rPr>
          <w:rFonts w:ascii="Times New Roman" w:hAnsi="Times New Roman" w:cs="Times New Roman"/>
          <w:sz w:val="26"/>
          <w:szCs w:val="26"/>
        </w:rPr>
        <w:t xml:space="preserve"> the </w:t>
      </w:r>
      <w:r w:rsidRPr="00C80D3A">
        <w:rPr>
          <w:rFonts w:ascii="Times New Roman" w:hAnsi="Times New Roman" w:cs="Times New Roman"/>
          <w:i/>
          <w:sz w:val="26"/>
          <w:szCs w:val="26"/>
        </w:rPr>
        <w:t>Final CAP Investigatory Order</w:t>
      </w:r>
      <w:r w:rsidRPr="00C80D3A">
        <w:rPr>
          <w:rFonts w:ascii="Times New Roman" w:hAnsi="Times New Roman" w:cs="Times New Roman"/>
          <w:sz w:val="26"/>
          <w:szCs w:val="26"/>
        </w:rPr>
        <w:t xml:space="preserve"> at 31</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 xml:space="preserve">32.  </w:t>
      </w:r>
    </w:p>
    <w:p w14:paraId="17E045C4"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11E12E79" w14:textId="2C7382D5"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OCA and the Low Income Advocates note the Competition Acts identify universal service costs as nonbypassable, which supports the designation of universal service costs as a public good that should be paid by all ratepayers.  OCA Comments at 14</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15, Appendix A at 72</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81; and Low Income Advocates Reply Comments at 15.  OCA notes that other states collect utility assistance program costs from all ratepayers, including New Jersey, Ohio, Illinois, Maine, and New Hampshire.  OCA Comments at 15, Appendix A at 91</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 xml:space="preserve">92. </w:t>
      </w:r>
    </w:p>
    <w:p w14:paraId="5D47119A" w14:textId="77777777" w:rsidR="004510B5" w:rsidRPr="00C80D3A" w:rsidRDefault="004510B5" w:rsidP="00315DBC">
      <w:pPr>
        <w:spacing w:after="0" w:line="360" w:lineRule="auto"/>
        <w:ind w:firstLine="720"/>
        <w:contextualSpacing/>
        <w:rPr>
          <w:rFonts w:ascii="Times New Roman" w:hAnsi="Times New Roman" w:cs="Times New Roman"/>
          <w:sz w:val="26"/>
          <w:szCs w:val="26"/>
        </w:rPr>
      </w:pPr>
    </w:p>
    <w:p w14:paraId="235E96C0" w14:textId="1640712C"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OSBA, PSU, and the Industrial Customers argue that universal services should not be considered a public good.  OSBA Comments at 5</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8, PSU Reply Comments at 6, and Joint Reply Comments of Industrial Customers at 5</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7.  OSBA and PSU aver that true public goods are non-excludable and non-rivalrous; which means that customers cannot be excluded from the good or service and that there is marginal cost associated with additional consumption (</w:t>
      </w:r>
      <w:r w:rsidRPr="00C80D3A">
        <w:rPr>
          <w:rFonts w:ascii="Times New Roman" w:hAnsi="Times New Roman" w:cs="Times New Roman"/>
          <w:i/>
          <w:sz w:val="26"/>
          <w:szCs w:val="26"/>
        </w:rPr>
        <w:t>e.g.</w:t>
      </w:r>
      <w:r w:rsidRPr="00C80D3A">
        <w:rPr>
          <w:rFonts w:ascii="Times New Roman" w:hAnsi="Times New Roman" w:cs="Times New Roman"/>
          <w:sz w:val="26"/>
          <w:szCs w:val="26"/>
        </w:rPr>
        <w:t xml:space="preserve">, a bridge, television signal, or police protection).  OSBA and PSU maintain that regular utility service and CAPs meet neither criterion.  OSBA Comment at 6 and PSU Reply Comments at 6.  </w:t>
      </w:r>
    </w:p>
    <w:p w14:paraId="7EC9FB32" w14:textId="77777777" w:rsidR="00506216" w:rsidRPr="00C80D3A" w:rsidRDefault="00506216" w:rsidP="00315DBC">
      <w:pPr>
        <w:spacing w:after="0" w:line="360" w:lineRule="auto"/>
        <w:contextualSpacing/>
        <w:rPr>
          <w:rFonts w:ascii="Times New Roman" w:hAnsi="Times New Roman" w:cs="Times New Roman"/>
          <w:sz w:val="26"/>
          <w:szCs w:val="26"/>
        </w:rPr>
      </w:pPr>
    </w:p>
    <w:p w14:paraId="25B696E4" w14:textId="7B3007A2"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Industrial Customers submit that simply because a good or service is important and may provide some indirect benefit to other individuals does not make it a “public good.”  The Industrial Customers argue this logic could be used to treat all goods and services as public goods, such as childcare, food, shelter, and employment.</w:t>
      </w:r>
      <w:r w:rsidRPr="00C80D3A">
        <w:rPr>
          <w:rFonts w:ascii="Times New Roman" w:hAnsi="Times New Roman" w:cs="Times New Roman"/>
          <w:sz w:val="26"/>
          <w:szCs w:val="26"/>
          <w:vertAlign w:val="superscript"/>
        </w:rPr>
        <w:footnoteReference w:id="135"/>
      </w:r>
      <w:r w:rsidRPr="00C80D3A">
        <w:rPr>
          <w:rFonts w:ascii="Times New Roman" w:hAnsi="Times New Roman" w:cs="Times New Roman"/>
          <w:sz w:val="26"/>
          <w:szCs w:val="26"/>
        </w:rPr>
        <w:t xml:space="preserve">  Joint Reply Comments of Industrial Customers at 5</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 xml:space="preserve">7.  </w:t>
      </w:r>
    </w:p>
    <w:p w14:paraId="44E1DA5A" w14:textId="602B0D9C"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OSBA avers that cost recovery in universal services should follow the legislative guidelines provided in the Act 129 Energy Efficiency and Conservation (EE&amp;C)</w:t>
      </w:r>
      <w:r w:rsidRPr="00C80D3A">
        <w:rPr>
          <w:rStyle w:val="FootnoteReference"/>
          <w:rFonts w:ascii="Times New Roman" w:hAnsi="Times New Roman" w:cs="Times New Roman"/>
          <w:sz w:val="26"/>
          <w:szCs w:val="26"/>
        </w:rPr>
        <w:footnoteReference w:id="136"/>
      </w:r>
      <w:r w:rsidRPr="00C80D3A">
        <w:rPr>
          <w:rFonts w:ascii="Times New Roman" w:hAnsi="Times New Roman" w:cs="Times New Roman"/>
          <w:sz w:val="26"/>
          <w:szCs w:val="26"/>
        </w:rPr>
        <w:t xml:space="preserve"> programs.  The General Assembly required the costs of the EE&amp;C programs be recovered from the same customer class that receives the benefit.  OSBA notes the General Assembly did not assign cost recovery from all rate classes based on the societal benefits of reduced energy consumption.  OSBA Comments at 7</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 xml:space="preserve">8, </w:t>
      </w:r>
      <w:r w:rsidRPr="00C80D3A">
        <w:rPr>
          <w:rFonts w:ascii="Times New Roman" w:hAnsi="Times New Roman" w:cs="Times New Roman"/>
          <w:iCs/>
          <w:sz w:val="26"/>
          <w:szCs w:val="26"/>
        </w:rPr>
        <w:t>citing</w:t>
      </w:r>
      <w:r w:rsidRPr="00C80D3A">
        <w:rPr>
          <w:rFonts w:ascii="Times New Roman" w:hAnsi="Times New Roman" w:cs="Times New Roman"/>
          <w:sz w:val="26"/>
          <w:szCs w:val="26"/>
        </w:rPr>
        <w:t xml:space="preserve"> Section 2806.1(a)(11).</w:t>
      </w:r>
    </w:p>
    <w:p w14:paraId="27827B80" w14:textId="77777777" w:rsidR="00506216" w:rsidRPr="00C80D3A" w:rsidRDefault="00506216" w:rsidP="00315DBC">
      <w:pPr>
        <w:spacing w:after="0" w:line="360" w:lineRule="auto"/>
        <w:contextualSpacing/>
        <w:rPr>
          <w:rFonts w:ascii="Times New Roman" w:hAnsi="Times New Roman" w:cs="Times New Roman"/>
          <w:sz w:val="26"/>
          <w:szCs w:val="26"/>
        </w:rPr>
      </w:pPr>
    </w:p>
    <w:p w14:paraId="53C897F1"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The Industrials reject the argument that residential ratepayers indirectly subsidize employers by funding universal service programs, which allows low-wage employees to maintain utility service.  The Industrials contend this position is inconsistent with market-based economic competition:</w:t>
      </w:r>
    </w:p>
    <w:p w14:paraId="5179EC77" w14:textId="77777777" w:rsidR="00506216" w:rsidRPr="00C80D3A" w:rsidRDefault="00506216" w:rsidP="00077463">
      <w:pPr>
        <w:spacing w:after="0" w:line="240" w:lineRule="auto"/>
        <w:contextualSpacing/>
        <w:rPr>
          <w:rFonts w:ascii="Times New Roman" w:hAnsi="Times New Roman" w:cs="Times New Roman"/>
          <w:sz w:val="26"/>
          <w:szCs w:val="26"/>
        </w:rPr>
      </w:pPr>
    </w:p>
    <w:p w14:paraId="4D716AFE" w14:textId="467ADC32" w:rsidR="00506216" w:rsidRPr="00C80D3A" w:rsidRDefault="00506216" w:rsidP="00315DBC">
      <w:pPr>
        <w:spacing w:after="0"/>
        <w:ind w:left="720" w:right="720"/>
        <w:contextualSpacing/>
        <w:rPr>
          <w:rFonts w:ascii="Times New Roman" w:hAnsi="Times New Roman" w:cs="Times New Roman"/>
          <w:sz w:val="26"/>
          <w:szCs w:val="26"/>
        </w:rPr>
      </w:pPr>
      <w:r w:rsidRPr="00C80D3A">
        <w:rPr>
          <w:rFonts w:ascii="Times New Roman" w:hAnsi="Times New Roman" w:cs="Times New Roman"/>
          <w:sz w:val="26"/>
          <w:szCs w:val="26"/>
        </w:rPr>
        <w:t>[E]mployers must necessarily compete with one another for labor.  As a result, employers must pay wages that are necessary to attract workers with the requisite skills and knowledge for the position, while balancing these wages with a business</w:t>
      </w:r>
      <w:r w:rsidR="001529C6">
        <w:rPr>
          <w:rFonts w:ascii="Times New Roman" w:hAnsi="Times New Roman" w:cs="Times New Roman"/>
          <w:sz w:val="26"/>
          <w:szCs w:val="26"/>
        </w:rPr>
        <w:t>’</w:t>
      </w:r>
      <w:r w:rsidRPr="00C80D3A">
        <w:rPr>
          <w:rFonts w:ascii="Times New Roman" w:hAnsi="Times New Roman" w:cs="Times New Roman"/>
          <w:sz w:val="26"/>
          <w:szCs w:val="26"/>
        </w:rPr>
        <w:t xml:space="preserve"> operating costs and revenues.  The concept that an employer will make a conscious decision to reduce the compensation of a particular employee or class of employees because these employees may be eligible for assistance under a [universal service program] demonstrates a fundamental misunderstanding of how businesses set employee wages.</w:t>
      </w:r>
    </w:p>
    <w:p w14:paraId="13228358" w14:textId="77777777" w:rsidR="00506216" w:rsidRPr="00C80D3A" w:rsidRDefault="00506216" w:rsidP="00315DBC">
      <w:pPr>
        <w:spacing w:after="0"/>
        <w:contextualSpacing/>
        <w:rPr>
          <w:rFonts w:ascii="Times New Roman" w:hAnsi="Times New Roman" w:cs="Times New Roman"/>
          <w:sz w:val="26"/>
          <w:szCs w:val="26"/>
        </w:rPr>
      </w:pPr>
    </w:p>
    <w:p w14:paraId="2E157E1E" w14:textId="562070B1"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Joint Reply Comments of Industrial Customers at 9</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10.</w:t>
      </w:r>
    </w:p>
    <w:p w14:paraId="099412C1" w14:textId="77777777" w:rsidR="00506216" w:rsidRPr="00C80D3A" w:rsidRDefault="00506216" w:rsidP="00315DBC">
      <w:pPr>
        <w:spacing w:after="0" w:line="360" w:lineRule="auto"/>
        <w:contextualSpacing/>
        <w:rPr>
          <w:rFonts w:ascii="Times New Roman" w:hAnsi="Times New Roman" w:cs="Times New Roman"/>
          <w:sz w:val="26"/>
          <w:szCs w:val="26"/>
        </w:rPr>
      </w:pPr>
    </w:p>
    <w:p w14:paraId="10A01F07" w14:textId="37F95C02"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OSBA submits that shifting universal service costs to other rate classes could have a detrimental effect on small businesses across the Commonwealth.  OSBA notes that small business owners already pay for these programs through their household electric/ natural gas accounts; it argues they should not have to pay for these programs again through their business accounts.  OSBA suggests that increased costs to electric and natural gas service for businesses could result in higher prices for customers or delays in pay raises</w:t>
      </w:r>
      <w:r w:rsidR="00E20F96" w:rsidRPr="00C80D3A">
        <w:rPr>
          <w:rFonts w:ascii="Times New Roman" w:hAnsi="Times New Roman" w:cs="Times New Roman"/>
          <w:sz w:val="26"/>
          <w:szCs w:val="26"/>
        </w:rPr>
        <w:t xml:space="preserve"> or </w:t>
      </w:r>
      <w:r w:rsidRPr="00C80D3A">
        <w:rPr>
          <w:rFonts w:ascii="Times New Roman" w:hAnsi="Times New Roman" w:cs="Times New Roman"/>
          <w:sz w:val="26"/>
          <w:szCs w:val="26"/>
        </w:rPr>
        <w:t>hiring.  OSBA Comments at 11</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12.</w:t>
      </w:r>
    </w:p>
    <w:p w14:paraId="69D309C3" w14:textId="77777777" w:rsidR="00506216" w:rsidRPr="00C80D3A" w:rsidRDefault="00506216" w:rsidP="00315DBC">
      <w:pPr>
        <w:spacing w:after="0" w:line="360" w:lineRule="auto"/>
        <w:ind w:firstLine="720"/>
        <w:contextualSpacing/>
        <w:rPr>
          <w:rFonts w:ascii="Times New Roman" w:hAnsi="Times New Roman" w:cs="Times New Roman"/>
          <w:sz w:val="26"/>
          <w:szCs w:val="26"/>
        </w:rPr>
      </w:pPr>
    </w:p>
    <w:p w14:paraId="602A5CD9" w14:textId="278013B9" w:rsidR="00506216" w:rsidRPr="00C80D3A" w:rsidRDefault="00506216" w:rsidP="00315DBC">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Columbia opines that charging non-residential ratepayers for universal service costs could place a utility at a competitive disadvantage.  Industrial and large commercial class customers could switch to a deliverable fuel vendor </w:t>
      </w:r>
      <w:r w:rsidR="002F4B79">
        <w:rPr>
          <w:rFonts w:ascii="Times New Roman" w:hAnsi="Times New Roman" w:cs="Times New Roman"/>
          <w:sz w:val="26"/>
          <w:szCs w:val="26"/>
        </w:rPr>
        <w:t>that</w:t>
      </w:r>
      <w:r w:rsidRPr="00C80D3A">
        <w:rPr>
          <w:rFonts w:ascii="Times New Roman" w:hAnsi="Times New Roman" w:cs="Times New Roman"/>
          <w:sz w:val="26"/>
          <w:szCs w:val="26"/>
        </w:rPr>
        <w:t xml:space="preserve"> do</w:t>
      </w:r>
      <w:r w:rsidR="00E20F96" w:rsidRPr="00C80D3A">
        <w:rPr>
          <w:rFonts w:ascii="Times New Roman" w:hAnsi="Times New Roman" w:cs="Times New Roman"/>
          <w:sz w:val="26"/>
          <w:szCs w:val="26"/>
        </w:rPr>
        <w:t>es</w:t>
      </w:r>
      <w:r w:rsidRPr="00C80D3A">
        <w:rPr>
          <w:rFonts w:ascii="Times New Roman" w:hAnsi="Times New Roman" w:cs="Times New Roman"/>
          <w:sz w:val="26"/>
          <w:szCs w:val="26"/>
        </w:rPr>
        <w:t xml:space="preserve"> not have this extra charge.  Columbia Comments at 9</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10.</w:t>
      </w:r>
      <w:r w:rsidR="00E20F96" w:rsidRPr="00C80D3A">
        <w:rPr>
          <w:rFonts w:ascii="Times New Roman" w:hAnsi="Times New Roman" w:cs="Times New Roman"/>
          <w:sz w:val="26"/>
          <w:szCs w:val="26"/>
        </w:rPr>
        <w:t xml:space="preserve">  </w:t>
      </w:r>
      <w:r w:rsidR="00E20F96" w:rsidRPr="00A20145">
        <w:rPr>
          <w:rFonts w:ascii="Times New Roman" w:hAnsi="Times New Roman" w:cs="Times New Roman"/>
          <w:sz w:val="26"/>
          <w:szCs w:val="26"/>
        </w:rPr>
        <w:t>PSU agrees with Columbia</w:t>
      </w:r>
      <w:r w:rsidR="001529C6">
        <w:rPr>
          <w:rFonts w:ascii="Times New Roman" w:hAnsi="Times New Roman" w:cs="Times New Roman"/>
          <w:sz w:val="26"/>
          <w:szCs w:val="26"/>
        </w:rPr>
        <w:t>’</w:t>
      </w:r>
      <w:r w:rsidR="00E20F96" w:rsidRPr="00A20145">
        <w:rPr>
          <w:rFonts w:ascii="Times New Roman" w:hAnsi="Times New Roman" w:cs="Times New Roman"/>
          <w:sz w:val="26"/>
          <w:szCs w:val="26"/>
        </w:rPr>
        <w:t>s Comments.  PSU Reply Comments at 2.</w:t>
      </w:r>
    </w:p>
    <w:p w14:paraId="5438D6F5" w14:textId="77777777" w:rsidR="00506216" w:rsidRPr="00C80D3A" w:rsidRDefault="00506216" w:rsidP="00315DBC">
      <w:pPr>
        <w:spacing w:after="0" w:line="360" w:lineRule="auto"/>
        <w:contextualSpacing/>
        <w:rPr>
          <w:rFonts w:ascii="Times New Roman" w:hAnsi="Times New Roman" w:cs="Times New Roman"/>
          <w:sz w:val="26"/>
          <w:szCs w:val="26"/>
        </w:rPr>
      </w:pPr>
    </w:p>
    <w:p w14:paraId="239B64F3" w14:textId="4EF89A74" w:rsidR="00506216" w:rsidRPr="00C80D3A" w:rsidRDefault="00506216" w:rsidP="00077463">
      <w:pPr>
        <w:spacing w:after="0" w:line="360" w:lineRule="auto"/>
        <w:contextualSpacing/>
        <w:rPr>
          <w:rFonts w:ascii="Times New Roman" w:hAnsi="Times New Roman" w:cs="Times New Roman"/>
          <w:b/>
          <w:bCs/>
          <w:iCs/>
          <w:sz w:val="26"/>
          <w:szCs w:val="26"/>
        </w:rPr>
      </w:pPr>
      <w:r w:rsidRPr="00C80D3A">
        <w:rPr>
          <w:rFonts w:ascii="Times New Roman" w:hAnsi="Times New Roman" w:cs="Times New Roman"/>
          <w:b/>
          <w:bCs/>
          <w:iCs/>
          <w:sz w:val="26"/>
          <w:szCs w:val="26"/>
        </w:rPr>
        <w:t>Discussion</w:t>
      </w:r>
    </w:p>
    <w:p w14:paraId="0F9507F1" w14:textId="77777777" w:rsidR="00DD0627" w:rsidRDefault="00A5621C" w:rsidP="004B4A6B">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As noted by multiple parties, t</w:t>
      </w:r>
      <w:r w:rsidR="00B026AF" w:rsidRPr="00C80D3A">
        <w:rPr>
          <w:rFonts w:ascii="Times New Roman" w:hAnsi="Times New Roman" w:cs="Times New Roman"/>
          <w:sz w:val="26"/>
          <w:szCs w:val="26"/>
        </w:rPr>
        <w:t xml:space="preserve">he Commission has </w:t>
      </w:r>
      <w:r w:rsidR="00024BF0" w:rsidRPr="00C80D3A">
        <w:rPr>
          <w:rFonts w:ascii="Times New Roman" w:hAnsi="Times New Roman" w:cs="Times New Roman"/>
          <w:sz w:val="26"/>
          <w:szCs w:val="26"/>
        </w:rPr>
        <w:t xml:space="preserve">in the past </w:t>
      </w:r>
      <w:r w:rsidR="007F7175" w:rsidRPr="00C80D3A">
        <w:rPr>
          <w:rFonts w:ascii="Times New Roman" w:hAnsi="Times New Roman" w:cs="Times New Roman"/>
          <w:sz w:val="26"/>
          <w:szCs w:val="26"/>
        </w:rPr>
        <w:t xml:space="preserve">approved </w:t>
      </w:r>
      <w:r w:rsidR="00232722" w:rsidRPr="00C80D3A">
        <w:rPr>
          <w:rFonts w:ascii="Times New Roman" w:hAnsi="Times New Roman" w:cs="Times New Roman"/>
          <w:sz w:val="26"/>
          <w:szCs w:val="26"/>
        </w:rPr>
        <w:t xml:space="preserve">and defended </w:t>
      </w:r>
      <w:r w:rsidR="00F14247" w:rsidRPr="00C80D3A">
        <w:rPr>
          <w:rFonts w:ascii="Times New Roman" w:hAnsi="Times New Roman" w:cs="Times New Roman"/>
          <w:sz w:val="26"/>
          <w:szCs w:val="26"/>
        </w:rPr>
        <w:t xml:space="preserve">the </w:t>
      </w:r>
      <w:r w:rsidRPr="00C80D3A">
        <w:rPr>
          <w:rFonts w:ascii="Times New Roman" w:hAnsi="Times New Roman" w:cs="Times New Roman"/>
          <w:sz w:val="26"/>
          <w:szCs w:val="26"/>
        </w:rPr>
        <w:t>practice of recovering universal service costs</w:t>
      </w:r>
      <w:r w:rsidR="007F7175" w:rsidRPr="00C80D3A">
        <w:rPr>
          <w:rFonts w:ascii="Times New Roman" w:hAnsi="Times New Roman" w:cs="Times New Roman"/>
          <w:sz w:val="26"/>
          <w:szCs w:val="26"/>
        </w:rPr>
        <w:t>, including CAP costs,</w:t>
      </w:r>
      <w:r w:rsidRPr="00C80D3A">
        <w:rPr>
          <w:rFonts w:ascii="Times New Roman" w:hAnsi="Times New Roman" w:cs="Times New Roman"/>
          <w:sz w:val="26"/>
          <w:szCs w:val="26"/>
        </w:rPr>
        <w:t xml:space="preserve"> from only residential ratepayers</w:t>
      </w:r>
      <w:r w:rsidR="003F6B71" w:rsidRPr="00C80D3A">
        <w:rPr>
          <w:rFonts w:ascii="Times New Roman" w:hAnsi="Times New Roman" w:cs="Times New Roman"/>
          <w:sz w:val="26"/>
          <w:szCs w:val="26"/>
        </w:rPr>
        <w:t xml:space="preserve"> </w:t>
      </w:r>
      <w:r w:rsidR="006A7C17" w:rsidRPr="00C80D3A">
        <w:rPr>
          <w:rFonts w:ascii="Times New Roman" w:hAnsi="Times New Roman" w:cs="Times New Roman"/>
          <w:sz w:val="26"/>
          <w:szCs w:val="26"/>
        </w:rPr>
        <w:t>based on the “narrowly tailored” nature of these programs</w:t>
      </w:r>
      <w:r w:rsidR="00D9391E" w:rsidRPr="00C80D3A">
        <w:rPr>
          <w:rStyle w:val="FootnoteReference"/>
          <w:rFonts w:ascii="Times New Roman" w:hAnsi="Times New Roman" w:cs="Times New Roman"/>
          <w:sz w:val="26"/>
          <w:szCs w:val="26"/>
        </w:rPr>
        <w:footnoteReference w:id="137"/>
      </w:r>
      <w:r w:rsidR="006A7C17" w:rsidRPr="00C80D3A">
        <w:rPr>
          <w:rFonts w:ascii="Times New Roman" w:hAnsi="Times New Roman" w:cs="Times New Roman"/>
          <w:sz w:val="26"/>
          <w:szCs w:val="26"/>
        </w:rPr>
        <w:t xml:space="preserve"> and the </w:t>
      </w:r>
      <w:r w:rsidR="00C57D43" w:rsidRPr="00C80D3A">
        <w:rPr>
          <w:rFonts w:ascii="Times New Roman" w:hAnsi="Times New Roman" w:cs="Times New Roman"/>
          <w:sz w:val="26"/>
          <w:szCs w:val="26"/>
        </w:rPr>
        <w:t xml:space="preserve">potential </w:t>
      </w:r>
      <w:r w:rsidR="00D9391E" w:rsidRPr="00C80D3A">
        <w:rPr>
          <w:rFonts w:ascii="Times New Roman" w:hAnsi="Times New Roman" w:cs="Times New Roman"/>
          <w:sz w:val="26"/>
          <w:szCs w:val="26"/>
        </w:rPr>
        <w:t>detrimental</w:t>
      </w:r>
      <w:r w:rsidR="006A7C17" w:rsidRPr="00C80D3A">
        <w:rPr>
          <w:rFonts w:ascii="Times New Roman" w:hAnsi="Times New Roman" w:cs="Times New Roman"/>
          <w:sz w:val="26"/>
          <w:szCs w:val="26"/>
        </w:rPr>
        <w:t xml:space="preserve"> economic impact </w:t>
      </w:r>
      <w:r w:rsidR="00D9391E" w:rsidRPr="00C80D3A">
        <w:rPr>
          <w:rFonts w:ascii="Times New Roman" w:hAnsi="Times New Roman" w:cs="Times New Roman"/>
          <w:sz w:val="26"/>
          <w:szCs w:val="26"/>
        </w:rPr>
        <w:t>to Pennsylvania</w:t>
      </w:r>
      <w:r w:rsidR="001529C6">
        <w:rPr>
          <w:rFonts w:ascii="Times New Roman" w:hAnsi="Times New Roman" w:cs="Times New Roman"/>
          <w:sz w:val="26"/>
          <w:szCs w:val="26"/>
        </w:rPr>
        <w:t>’</w:t>
      </w:r>
      <w:r w:rsidR="00D9391E" w:rsidRPr="00C80D3A">
        <w:rPr>
          <w:rFonts w:ascii="Times New Roman" w:hAnsi="Times New Roman" w:cs="Times New Roman"/>
          <w:sz w:val="26"/>
          <w:szCs w:val="26"/>
        </w:rPr>
        <w:t>s business climate if these costs were recovered from all ratepayer classes.</w:t>
      </w:r>
      <w:r w:rsidR="00D9391E" w:rsidRPr="00C80D3A">
        <w:rPr>
          <w:rStyle w:val="FootnoteReference"/>
          <w:rFonts w:ascii="Times New Roman" w:hAnsi="Times New Roman" w:cs="Times New Roman"/>
          <w:sz w:val="26"/>
          <w:szCs w:val="26"/>
        </w:rPr>
        <w:footnoteReference w:id="138"/>
      </w:r>
      <w:r w:rsidR="00D9391E" w:rsidRPr="00C80D3A">
        <w:rPr>
          <w:rFonts w:ascii="Times New Roman" w:hAnsi="Times New Roman" w:cs="Times New Roman"/>
          <w:sz w:val="26"/>
          <w:szCs w:val="26"/>
        </w:rPr>
        <w:t xml:space="preserve"> </w:t>
      </w:r>
      <w:r w:rsidR="00C57D43" w:rsidRPr="00C80D3A">
        <w:rPr>
          <w:rFonts w:ascii="Times New Roman" w:hAnsi="Times New Roman" w:cs="Times New Roman"/>
          <w:sz w:val="26"/>
          <w:szCs w:val="26"/>
        </w:rPr>
        <w:t xml:space="preserve"> </w:t>
      </w:r>
      <w:r w:rsidR="00A37493" w:rsidRPr="00C80D3A">
        <w:rPr>
          <w:rFonts w:ascii="Times New Roman" w:hAnsi="Times New Roman" w:cs="Times New Roman"/>
          <w:sz w:val="26"/>
          <w:szCs w:val="26"/>
        </w:rPr>
        <w:t xml:space="preserve">However, our </w:t>
      </w:r>
      <w:r w:rsidR="00D912A6" w:rsidRPr="00C80D3A">
        <w:rPr>
          <w:rFonts w:ascii="Times New Roman" w:hAnsi="Times New Roman" w:cs="Times New Roman"/>
          <w:sz w:val="26"/>
          <w:szCs w:val="26"/>
        </w:rPr>
        <w:t>review</w:t>
      </w:r>
      <w:r w:rsidR="00A37493" w:rsidRPr="00C80D3A">
        <w:rPr>
          <w:rFonts w:ascii="Times New Roman" w:hAnsi="Times New Roman" w:cs="Times New Roman"/>
          <w:sz w:val="26"/>
          <w:szCs w:val="26"/>
        </w:rPr>
        <w:t xml:space="preserve"> of Pennsylvania</w:t>
      </w:r>
      <w:r w:rsidR="001529C6">
        <w:rPr>
          <w:rFonts w:ascii="Times New Roman" w:hAnsi="Times New Roman" w:cs="Times New Roman"/>
          <w:sz w:val="26"/>
          <w:szCs w:val="26"/>
        </w:rPr>
        <w:t>’</w:t>
      </w:r>
      <w:r w:rsidR="00A37493" w:rsidRPr="00C80D3A">
        <w:rPr>
          <w:rFonts w:ascii="Times New Roman" w:hAnsi="Times New Roman" w:cs="Times New Roman"/>
          <w:sz w:val="26"/>
          <w:szCs w:val="26"/>
        </w:rPr>
        <w:t xml:space="preserve">s </w:t>
      </w:r>
      <w:r w:rsidR="00C56226" w:rsidRPr="00C80D3A">
        <w:rPr>
          <w:rFonts w:ascii="Times New Roman" w:hAnsi="Times New Roman" w:cs="Times New Roman"/>
          <w:sz w:val="26"/>
          <w:szCs w:val="26"/>
        </w:rPr>
        <w:t xml:space="preserve">current </w:t>
      </w:r>
      <w:r w:rsidR="00A37493" w:rsidRPr="00C80D3A">
        <w:rPr>
          <w:rFonts w:ascii="Times New Roman" w:hAnsi="Times New Roman" w:cs="Times New Roman"/>
          <w:sz w:val="26"/>
          <w:szCs w:val="26"/>
        </w:rPr>
        <w:t xml:space="preserve">universal service model in the </w:t>
      </w:r>
      <w:r w:rsidR="00A37493" w:rsidRPr="00C80D3A">
        <w:rPr>
          <w:rFonts w:ascii="Times New Roman" w:hAnsi="Times New Roman" w:cs="Times New Roman"/>
          <w:i/>
          <w:iCs/>
          <w:sz w:val="26"/>
          <w:szCs w:val="26"/>
        </w:rPr>
        <w:t>Review</w:t>
      </w:r>
      <w:r w:rsidR="00A37493" w:rsidRPr="00C80D3A">
        <w:rPr>
          <w:rFonts w:ascii="Times New Roman" w:hAnsi="Times New Roman" w:cs="Times New Roman"/>
          <w:sz w:val="26"/>
          <w:szCs w:val="26"/>
        </w:rPr>
        <w:t xml:space="preserve"> and </w:t>
      </w:r>
      <w:r w:rsidR="00A37493" w:rsidRPr="00C80D3A">
        <w:rPr>
          <w:rFonts w:ascii="Times New Roman" w:hAnsi="Times New Roman" w:cs="Times New Roman"/>
          <w:i/>
          <w:iCs/>
          <w:sz w:val="26"/>
          <w:szCs w:val="26"/>
        </w:rPr>
        <w:t>Energy Affordability</w:t>
      </w:r>
      <w:r w:rsidR="00A37493" w:rsidRPr="00C80D3A">
        <w:rPr>
          <w:rFonts w:ascii="Times New Roman" w:hAnsi="Times New Roman" w:cs="Times New Roman"/>
          <w:sz w:val="26"/>
          <w:szCs w:val="26"/>
        </w:rPr>
        <w:t xml:space="preserve"> proceedings </w:t>
      </w:r>
      <w:r w:rsidR="003F6B71" w:rsidRPr="00C80D3A">
        <w:rPr>
          <w:rFonts w:ascii="Times New Roman" w:hAnsi="Times New Roman" w:cs="Times New Roman"/>
          <w:sz w:val="26"/>
          <w:szCs w:val="26"/>
        </w:rPr>
        <w:t xml:space="preserve">has </w:t>
      </w:r>
      <w:r w:rsidR="00D912A6" w:rsidRPr="00C80D3A">
        <w:rPr>
          <w:rFonts w:ascii="Times New Roman" w:hAnsi="Times New Roman" w:cs="Times New Roman"/>
          <w:sz w:val="26"/>
          <w:szCs w:val="26"/>
        </w:rPr>
        <w:t xml:space="preserve">provided reasons to reconsider this position.  </w:t>
      </w:r>
    </w:p>
    <w:p w14:paraId="399800B4" w14:textId="77777777" w:rsidR="00DD0627" w:rsidRDefault="00DD0627" w:rsidP="004B4A6B">
      <w:pPr>
        <w:spacing w:after="0" w:line="360" w:lineRule="auto"/>
        <w:ind w:firstLine="720"/>
        <w:contextualSpacing/>
        <w:rPr>
          <w:rFonts w:ascii="Times New Roman" w:hAnsi="Times New Roman" w:cs="Times New Roman"/>
          <w:sz w:val="26"/>
          <w:szCs w:val="26"/>
        </w:rPr>
      </w:pPr>
    </w:p>
    <w:p w14:paraId="27F92629" w14:textId="55FE862E" w:rsidR="00A37493" w:rsidRDefault="00DD0627" w:rsidP="004B4A6B">
      <w:pPr>
        <w:spacing w:after="0"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T</w:t>
      </w:r>
      <w:r w:rsidR="00D912A6" w:rsidRPr="00C80D3A">
        <w:rPr>
          <w:rFonts w:ascii="Times New Roman" w:hAnsi="Times New Roman" w:cs="Times New Roman"/>
          <w:sz w:val="26"/>
          <w:szCs w:val="26"/>
        </w:rPr>
        <w:t xml:space="preserve">he </w:t>
      </w:r>
      <w:r w:rsidR="00A37493" w:rsidRPr="00C80D3A">
        <w:rPr>
          <w:rFonts w:ascii="Times New Roman" w:hAnsi="Times New Roman" w:cs="Times New Roman"/>
          <w:sz w:val="26"/>
          <w:szCs w:val="26"/>
        </w:rPr>
        <w:t>current cost-recovery method for universal services</w:t>
      </w:r>
      <w:r w:rsidR="00C56226" w:rsidRPr="00C80D3A">
        <w:rPr>
          <w:rFonts w:ascii="Times New Roman" w:hAnsi="Times New Roman" w:cs="Times New Roman"/>
          <w:sz w:val="26"/>
          <w:szCs w:val="26"/>
        </w:rPr>
        <w:t>, including CAP costs,</w:t>
      </w:r>
      <w:r w:rsidR="00A37493" w:rsidRPr="00C80D3A">
        <w:rPr>
          <w:rFonts w:ascii="Times New Roman" w:hAnsi="Times New Roman" w:cs="Times New Roman"/>
          <w:sz w:val="26"/>
          <w:szCs w:val="26"/>
        </w:rPr>
        <w:t xml:space="preserve"> </w:t>
      </w:r>
      <w:r w:rsidR="00D912A6" w:rsidRPr="00C80D3A">
        <w:rPr>
          <w:rFonts w:ascii="Times New Roman" w:hAnsi="Times New Roman" w:cs="Times New Roman"/>
          <w:sz w:val="26"/>
          <w:szCs w:val="26"/>
        </w:rPr>
        <w:t xml:space="preserve">is </w:t>
      </w:r>
      <w:r w:rsidR="00A37493" w:rsidRPr="00C80D3A">
        <w:rPr>
          <w:rFonts w:ascii="Times New Roman" w:hAnsi="Times New Roman" w:cs="Times New Roman"/>
          <w:sz w:val="26"/>
          <w:szCs w:val="26"/>
        </w:rPr>
        <w:t>put</w:t>
      </w:r>
      <w:r w:rsidR="00D912A6" w:rsidRPr="00C80D3A">
        <w:rPr>
          <w:rFonts w:ascii="Times New Roman" w:hAnsi="Times New Roman" w:cs="Times New Roman"/>
          <w:sz w:val="26"/>
          <w:szCs w:val="26"/>
        </w:rPr>
        <w:t>ting</w:t>
      </w:r>
      <w:r w:rsidR="00A37493" w:rsidRPr="00C80D3A">
        <w:rPr>
          <w:rFonts w:ascii="Times New Roman" w:hAnsi="Times New Roman" w:cs="Times New Roman"/>
          <w:sz w:val="26"/>
          <w:szCs w:val="26"/>
        </w:rPr>
        <w:t xml:space="preserve"> a significant burden on residential </w:t>
      </w:r>
      <w:r w:rsidR="00152530">
        <w:rPr>
          <w:rFonts w:ascii="Times New Roman" w:hAnsi="Times New Roman" w:cs="Times New Roman"/>
          <w:sz w:val="26"/>
          <w:szCs w:val="26"/>
        </w:rPr>
        <w:t>customer</w:t>
      </w:r>
      <w:r w:rsidR="00152530" w:rsidRPr="00C80D3A">
        <w:rPr>
          <w:rFonts w:ascii="Times New Roman" w:hAnsi="Times New Roman" w:cs="Times New Roman"/>
          <w:sz w:val="26"/>
          <w:szCs w:val="26"/>
        </w:rPr>
        <w:t xml:space="preserve"> </w:t>
      </w:r>
      <w:r w:rsidR="00A37493" w:rsidRPr="00C80D3A">
        <w:rPr>
          <w:rFonts w:ascii="Times New Roman" w:hAnsi="Times New Roman" w:cs="Times New Roman"/>
          <w:sz w:val="26"/>
          <w:szCs w:val="26"/>
        </w:rPr>
        <w:t xml:space="preserve">bills.  </w:t>
      </w:r>
      <w:r w:rsidR="00152530">
        <w:rPr>
          <w:rFonts w:ascii="Times New Roman" w:hAnsi="Times New Roman" w:cs="Times New Roman"/>
          <w:sz w:val="26"/>
          <w:szCs w:val="26"/>
        </w:rPr>
        <w:t xml:space="preserve">All </w:t>
      </w:r>
      <w:r w:rsidR="00F33A81">
        <w:rPr>
          <w:rFonts w:ascii="Times New Roman" w:hAnsi="Times New Roman" w:cs="Times New Roman"/>
          <w:sz w:val="26"/>
          <w:szCs w:val="26"/>
        </w:rPr>
        <w:t xml:space="preserve">EDCs except </w:t>
      </w:r>
      <w:r w:rsidR="00152530">
        <w:rPr>
          <w:rFonts w:ascii="Times New Roman" w:hAnsi="Times New Roman" w:cs="Times New Roman"/>
          <w:sz w:val="26"/>
          <w:szCs w:val="26"/>
        </w:rPr>
        <w:t xml:space="preserve">Duquesne include CAP participants in </w:t>
      </w:r>
      <w:r w:rsidR="002F3D4D">
        <w:rPr>
          <w:rFonts w:ascii="Times New Roman" w:hAnsi="Times New Roman" w:cs="Times New Roman"/>
          <w:sz w:val="26"/>
          <w:szCs w:val="26"/>
        </w:rPr>
        <w:t xml:space="preserve">their </w:t>
      </w:r>
      <w:r w:rsidR="00152530">
        <w:rPr>
          <w:rFonts w:ascii="Times New Roman" w:hAnsi="Times New Roman" w:cs="Times New Roman"/>
          <w:sz w:val="26"/>
          <w:szCs w:val="26"/>
        </w:rPr>
        <w:t>cost-recovery method</w:t>
      </w:r>
      <w:r w:rsidR="007510F2">
        <w:rPr>
          <w:rFonts w:ascii="Times New Roman" w:hAnsi="Times New Roman" w:cs="Times New Roman"/>
          <w:sz w:val="26"/>
          <w:szCs w:val="26"/>
        </w:rPr>
        <w:t>s</w:t>
      </w:r>
      <w:r w:rsidR="00152530">
        <w:rPr>
          <w:rFonts w:ascii="Times New Roman" w:hAnsi="Times New Roman" w:cs="Times New Roman"/>
          <w:sz w:val="26"/>
          <w:szCs w:val="26"/>
        </w:rPr>
        <w:t xml:space="preserve"> for universal services. </w:t>
      </w:r>
      <w:r w:rsidR="00F03F66">
        <w:rPr>
          <w:rFonts w:ascii="Times New Roman" w:hAnsi="Times New Roman" w:cs="Times New Roman"/>
          <w:sz w:val="26"/>
          <w:szCs w:val="26"/>
        </w:rPr>
        <w:t xml:space="preserve"> </w:t>
      </w:r>
      <w:r w:rsidR="00152530">
        <w:rPr>
          <w:rFonts w:ascii="Times New Roman" w:hAnsi="Times New Roman" w:cs="Times New Roman"/>
          <w:sz w:val="26"/>
          <w:szCs w:val="26"/>
        </w:rPr>
        <w:t>Only two NGDC</w:t>
      </w:r>
      <w:r w:rsidR="00E56D9D">
        <w:rPr>
          <w:rFonts w:ascii="Times New Roman" w:hAnsi="Times New Roman" w:cs="Times New Roman"/>
          <w:sz w:val="26"/>
          <w:szCs w:val="26"/>
        </w:rPr>
        <w:t>s</w:t>
      </w:r>
      <w:r w:rsidR="00525B36">
        <w:rPr>
          <w:rFonts w:ascii="Times New Roman" w:hAnsi="Times New Roman" w:cs="Times New Roman"/>
          <w:sz w:val="26"/>
          <w:szCs w:val="26"/>
        </w:rPr>
        <w:t xml:space="preserve">, </w:t>
      </w:r>
      <w:r w:rsidR="00152530">
        <w:rPr>
          <w:rFonts w:ascii="Times New Roman" w:hAnsi="Times New Roman" w:cs="Times New Roman"/>
          <w:sz w:val="26"/>
          <w:szCs w:val="26"/>
        </w:rPr>
        <w:t>PECO and PGW</w:t>
      </w:r>
      <w:r w:rsidR="00525B36">
        <w:rPr>
          <w:rFonts w:ascii="Times New Roman" w:hAnsi="Times New Roman" w:cs="Times New Roman"/>
          <w:sz w:val="26"/>
          <w:szCs w:val="26"/>
        </w:rPr>
        <w:t xml:space="preserve">, include CAP participants in </w:t>
      </w:r>
      <w:r w:rsidR="002F3D4D">
        <w:rPr>
          <w:rFonts w:ascii="Times New Roman" w:hAnsi="Times New Roman" w:cs="Times New Roman"/>
          <w:sz w:val="26"/>
          <w:szCs w:val="26"/>
        </w:rPr>
        <w:t xml:space="preserve">their </w:t>
      </w:r>
      <w:r w:rsidR="00525B36">
        <w:rPr>
          <w:rFonts w:ascii="Times New Roman" w:hAnsi="Times New Roman" w:cs="Times New Roman"/>
          <w:sz w:val="26"/>
          <w:szCs w:val="26"/>
        </w:rPr>
        <w:t>cost-recovery method</w:t>
      </w:r>
      <w:r w:rsidR="007510F2">
        <w:rPr>
          <w:rFonts w:ascii="Times New Roman" w:hAnsi="Times New Roman" w:cs="Times New Roman"/>
          <w:sz w:val="26"/>
          <w:szCs w:val="26"/>
        </w:rPr>
        <w:t>s</w:t>
      </w:r>
      <w:r w:rsidR="00525B36">
        <w:rPr>
          <w:rFonts w:ascii="Times New Roman" w:hAnsi="Times New Roman" w:cs="Times New Roman"/>
          <w:sz w:val="26"/>
          <w:szCs w:val="26"/>
        </w:rPr>
        <w:t xml:space="preserve"> for universal services</w:t>
      </w:r>
      <w:r w:rsidR="00152530">
        <w:rPr>
          <w:rFonts w:ascii="Times New Roman" w:hAnsi="Times New Roman" w:cs="Times New Roman"/>
          <w:sz w:val="26"/>
          <w:szCs w:val="26"/>
        </w:rPr>
        <w:t>.</w:t>
      </w:r>
      <w:r w:rsidR="00525B36">
        <w:rPr>
          <w:rFonts w:ascii="Times New Roman" w:hAnsi="Times New Roman" w:cs="Times New Roman"/>
          <w:sz w:val="26"/>
          <w:szCs w:val="26"/>
        </w:rPr>
        <w:t xml:space="preserve">  </w:t>
      </w:r>
      <w:r w:rsidR="00A37493" w:rsidRPr="00C80D3A">
        <w:rPr>
          <w:rFonts w:ascii="Times New Roman" w:hAnsi="Times New Roman" w:cs="Times New Roman"/>
          <w:sz w:val="26"/>
          <w:szCs w:val="26"/>
        </w:rPr>
        <w:t xml:space="preserve">Tables </w:t>
      </w:r>
      <w:r w:rsidR="00D350BF">
        <w:rPr>
          <w:rFonts w:ascii="Times New Roman" w:hAnsi="Times New Roman" w:cs="Times New Roman"/>
          <w:sz w:val="26"/>
          <w:szCs w:val="26"/>
        </w:rPr>
        <w:t>7</w:t>
      </w:r>
      <w:r w:rsidR="00A37493" w:rsidRPr="00C80D3A">
        <w:rPr>
          <w:rFonts w:ascii="Times New Roman" w:hAnsi="Times New Roman" w:cs="Times New Roman"/>
          <w:sz w:val="26"/>
          <w:szCs w:val="26"/>
        </w:rPr>
        <w:t xml:space="preserve"> and </w:t>
      </w:r>
      <w:r w:rsidR="00D350BF">
        <w:rPr>
          <w:rFonts w:ascii="Times New Roman" w:hAnsi="Times New Roman" w:cs="Times New Roman"/>
          <w:sz w:val="26"/>
          <w:szCs w:val="26"/>
        </w:rPr>
        <w:t>8 below</w:t>
      </w:r>
      <w:r w:rsidR="00A37493" w:rsidRPr="00C80D3A">
        <w:rPr>
          <w:rFonts w:ascii="Times New Roman" w:hAnsi="Times New Roman" w:cs="Times New Roman"/>
          <w:sz w:val="26"/>
          <w:szCs w:val="26"/>
        </w:rPr>
        <w:t xml:space="preserve"> reflect average annual universal service expenditures and costs per </w:t>
      </w:r>
      <w:r w:rsidR="00152530">
        <w:rPr>
          <w:rFonts w:ascii="Times New Roman" w:hAnsi="Times New Roman" w:cs="Times New Roman"/>
          <w:sz w:val="26"/>
          <w:szCs w:val="26"/>
        </w:rPr>
        <w:t>residential customer</w:t>
      </w:r>
      <w:r w:rsidR="00A37493" w:rsidRPr="00C80D3A">
        <w:rPr>
          <w:rFonts w:ascii="Times New Roman" w:hAnsi="Times New Roman" w:cs="Times New Roman"/>
          <w:sz w:val="26"/>
          <w:szCs w:val="26"/>
        </w:rPr>
        <w:t xml:space="preserve"> in 2017.</w:t>
      </w:r>
    </w:p>
    <w:p w14:paraId="3E4EF0EB" w14:textId="77777777" w:rsidR="00D350BF" w:rsidRPr="00C80D3A" w:rsidRDefault="00D350BF" w:rsidP="004B4A6B">
      <w:pPr>
        <w:spacing w:after="0" w:line="360" w:lineRule="auto"/>
        <w:ind w:firstLine="720"/>
        <w:contextualSpacing/>
        <w:rPr>
          <w:rFonts w:ascii="Times New Roman" w:hAnsi="Times New Roman" w:cs="Times New Roman"/>
          <w:sz w:val="26"/>
          <w:szCs w:val="26"/>
        </w:rPr>
      </w:pPr>
    </w:p>
    <w:p w14:paraId="6F64C5FE" w14:textId="54EB7E8B" w:rsidR="00A37493" w:rsidRPr="00C80D3A" w:rsidRDefault="00A37493" w:rsidP="00150977">
      <w:pPr>
        <w:keepNext/>
        <w:spacing w:after="0" w:line="240" w:lineRule="auto"/>
        <w:contextualSpacing/>
        <w:jc w:val="center"/>
        <w:rPr>
          <w:rFonts w:ascii="Times New Roman" w:hAnsi="Times New Roman" w:cs="Times New Roman"/>
          <w:b/>
          <w:bCs/>
          <w:sz w:val="26"/>
          <w:szCs w:val="26"/>
        </w:rPr>
      </w:pPr>
      <w:r w:rsidRPr="00C80D3A">
        <w:rPr>
          <w:rFonts w:ascii="Times New Roman" w:hAnsi="Times New Roman" w:cs="Times New Roman"/>
          <w:b/>
          <w:bCs/>
          <w:sz w:val="26"/>
          <w:szCs w:val="26"/>
        </w:rPr>
        <w:t xml:space="preserve">Table </w:t>
      </w:r>
      <w:r w:rsidR="004B4A6B">
        <w:rPr>
          <w:rFonts w:ascii="Times New Roman" w:hAnsi="Times New Roman" w:cs="Times New Roman"/>
          <w:b/>
          <w:bCs/>
          <w:sz w:val="26"/>
          <w:szCs w:val="26"/>
        </w:rPr>
        <w:t>7</w:t>
      </w:r>
      <w:r w:rsidR="00DF05BF">
        <w:rPr>
          <w:rStyle w:val="FootnoteReference"/>
          <w:rFonts w:ascii="Times New Roman" w:hAnsi="Times New Roman" w:cs="Times New Roman"/>
          <w:b/>
          <w:bCs/>
          <w:sz w:val="26"/>
          <w:szCs w:val="26"/>
        </w:rPr>
        <w:footnoteReference w:id="139"/>
      </w:r>
    </w:p>
    <w:p w14:paraId="080CA0A8" w14:textId="39CBA7A7" w:rsidR="00A37493" w:rsidRPr="00C80D3A" w:rsidRDefault="00A37493" w:rsidP="00150977">
      <w:pPr>
        <w:keepNext/>
        <w:spacing w:after="0" w:line="240" w:lineRule="auto"/>
        <w:contextualSpacing/>
        <w:jc w:val="center"/>
        <w:rPr>
          <w:rFonts w:ascii="Times New Roman" w:hAnsi="Times New Roman" w:cs="Times New Roman"/>
          <w:b/>
          <w:bCs/>
          <w:sz w:val="26"/>
          <w:szCs w:val="26"/>
        </w:rPr>
      </w:pPr>
      <w:r w:rsidRPr="00C80D3A">
        <w:rPr>
          <w:rFonts w:ascii="Times New Roman" w:hAnsi="Times New Roman" w:cs="Times New Roman"/>
          <w:b/>
          <w:bCs/>
          <w:sz w:val="26"/>
          <w:szCs w:val="26"/>
        </w:rPr>
        <w:t xml:space="preserve">2017 - EDC Universal Service Costs Recovered from </w:t>
      </w:r>
      <w:r w:rsidR="00152530">
        <w:rPr>
          <w:rFonts w:ascii="Times New Roman" w:hAnsi="Times New Roman" w:cs="Times New Roman"/>
          <w:b/>
          <w:bCs/>
          <w:sz w:val="26"/>
          <w:szCs w:val="26"/>
        </w:rPr>
        <w:t>Residential Customers</w:t>
      </w:r>
    </w:p>
    <w:tbl>
      <w:tblPr>
        <w:tblStyle w:val="TableGrid"/>
        <w:tblW w:w="0" w:type="auto"/>
        <w:jc w:val="center"/>
        <w:tblLayout w:type="fixed"/>
        <w:tblLook w:val="04A0" w:firstRow="1" w:lastRow="0" w:firstColumn="1" w:lastColumn="0" w:noHBand="0" w:noVBand="1"/>
      </w:tblPr>
      <w:tblGrid>
        <w:gridCol w:w="2070"/>
        <w:gridCol w:w="1890"/>
        <w:gridCol w:w="2790"/>
        <w:gridCol w:w="2520"/>
      </w:tblGrid>
      <w:tr w:rsidR="00152530" w:rsidRPr="00C80D3A" w14:paraId="362A2AFB" w14:textId="77777777" w:rsidTr="009A3B4B">
        <w:trPr>
          <w:jc w:val="center"/>
        </w:trPr>
        <w:tc>
          <w:tcPr>
            <w:tcW w:w="2070" w:type="dxa"/>
            <w:tcBorders>
              <w:bottom w:val="single" w:sz="12" w:space="0" w:color="auto"/>
            </w:tcBorders>
            <w:vAlign w:val="center"/>
          </w:tcPr>
          <w:p w14:paraId="677BF86A" w14:textId="60635838" w:rsidR="00A37493" w:rsidRPr="00C80D3A" w:rsidRDefault="00B3778D" w:rsidP="009A3B4B">
            <w:pPr>
              <w:keepNext/>
              <w:contextualSpacing/>
              <w:jc w:val="center"/>
              <w:rPr>
                <w:b/>
                <w:bCs/>
                <w:sz w:val="26"/>
                <w:szCs w:val="26"/>
              </w:rPr>
            </w:pPr>
            <w:r>
              <w:rPr>
                <w:b/>
                <w:bCs/>
                <w:sz w:val="26"/>
                <w:szCs w:val="26"/>
              </w:rPr>
              <w:t>Utility</w:t>
            </w:r>
          </w:p>
        </w:tc>
        <w:tc>
          <w:tcPr>
            <w:tcW w:w="1890" w:type="dxa"/>
            <w:tcBorders>
              <w:bottom w:val="single" w:sz="12" w:space="0" w:color="auto"/>
            </w:tcBorders>
            <w:vAlign w:val="center"/>
          </w:tcPr>
          <w:p w14:paraId="19F5DADE" w14:textId="77777777" w:rsidR="00A37493" w:rsidRPr="00C80D3A" w:rsidRDefault="00A37493" w:rsidP="003401A7">
            <w:pPr>
              <w:keepNext/>
              <w:contextualSpacing/>
              <w:jc w:val="center"/>
              <w:rPr>
                <w:b/>
                <w:bCs/>
                <w:sz w:val="26"/>
                <w:szCs w:val="26"/>
              </w:rPr>
            </w:pPr>
            <w:r w:rsidRPr="00C80D3A">
              <w:rPr>
                <w:b/>
                <w:bCs/>
                <w:sz w:val="26"/>
                <w:szCs w:val="26"/>
              </w:rPr>
              <w:t>Universal Service Costs</w:t>
            </w:r>
          </w:p>
        </w:tc>
        <w:tc>
          <w:tcPr>
            <w:tcW w:w="2790" w:type="dxa"/>
            <w:tcBorders>
              <w:bottom w:val="single" w:sz="12" w:space="0" w:color="auto"/>
            </w:tcBorders>
            <w:vAlign w:val="center"/>
          </w:tcPr>
          <w:p w14:paraId="07DA40C2" w14:textId="7685884A" w:rsidR="00A37493" w:rsidRPr="00C80D3A" w:rsidRDefault="00A37493" w:rsidP="003401A7">
            <w:pPr>
              <w:keepNext/>
              <w:contextualSpacing/>
              <w:jc w:val="center"/>
              <w:rPr>
                <w:b/>
                <w:bCs/>
                <w:sz w:val="26"/>
                <w:szCs w:val="26"/>
              </w:rPr>
            </w:pPr>
            <w:r w:rsidRPr="00C80D3A">
              <w:rPr>
                <w:b/>
                <w:bCs/>
                <w:sz w:val="26"/>
                <w:szCs w:val="26"/>
              </w:rPr>
              <w:t xml:space="preserve">Average </w:t>
            </w:r>
            <w:r w:rsidR="00152530">
              <w:rPr>
                <w:b/>
                <w:bCs/>
                <w:sz w:val="26"/>
                <w:szCs w:val="26"/>
              </w:rPr>
              <w:t># Residential Customers Being Billed US Costs</w:t>
            </w:r>
          </w:p>
        </w:tc>
        <w:tc>
          <w:tcPr>
            <w:tcW w:w="2520" w:type="dxa"/>
            <w:tcBorders>
              <w:bottom w:val="single" w:sz="12" w:space="0" w:color="auto"/>
            </w:tcBorders>
            <w:vAlign w:val="center"/>
          </w:tcPr>
          <w:p w14:paraId="5AF2F83D" w14:textId="7BCA6C5A" w:rsidR="00A37493" w:rsidRPr="00C80D3A" w:rsidRDefault="008F26EC" w:rsidP="003401A7">
            <w:pPr>
              <w:keepNext/>
              <w:contextualSpacing/>
              <w:jc w:val="center"/>
              <w:rPr>
                <w:b/>
                <w:bCs/>
                <w:sz w:val="26"/>
                <w:szCs w:val="26"/>
              </w:rPr>
            </w:pPr>
            <w:r w:rsidRPr="00C80D3A">
              <w:rPr>
                <w:b/>
                <w:bCs/>
                <w:color w:val="000000"/>
                <w:sz w:val="26"/>
                <w:szCs w:val="26"/>
              </w:rPr>
              <w:t xml:space="preserve">Average </w:t>
            </w:r>
            <w:r w:rsidR="00A37493" w:rsidRPr="00C80D3A">
              <w:rPr>
                <w:b/>
                <w:bCs/>
                <w:color w:val="000000"/>
                <w:sz w:val="26"/>
                <w:szCs w:val="26"/>
              </w:rPr>
              <w:t xml:space="preserve">Annual Cost per </w:t>
            </w:r>
            <w:r w:rsidR="00152530">
              <w:rPr>
                <w:b/>
                <w:bCs/>
                <w:color w:val="000000"/>
                <w:sz w:val="26"/>
                <w:szCs w:val="26"/>
              </w:rPr>
              <w:t>Residential Customer</w:t>
            </w:r>
          </w:p>
        </w:tc>
      </w:tr>
      <w:tr w:rsidR="00152530" w:rsidRPr="00C80D3A" w14:paraId="0E5380D0" w14:textId="77777777" w:rsidTr="009A3B4B">
        <w:trPr>
          <w:trHeight w:val="360"/>
          <w:jc w:val="center"/>
        </w:trPr>
        <w:tc>
          <w:tcPr>
            <w:tcW w:w="2070" w:type="dxa"/>
            <w:tcBorders>
              <w:top w:val="single" w:sz="12" w:space="0" w:color="auto"/>
            </w:tcBorders>
            <w:vAlign w:val="center"/>
          </w:tcPr>
          <w:p w14:paraId="0ABFAB77" w14:textId="17B5E370" w:rsidR="00A37493" w:rsidRPr="00C80D3A" w:rsidRDefault="00A37493" w:rsidP="003401A7">
            <w:pPr>
              <w:keepNext/>
              <w:contextualSpacing/>
              <w:rPr>
                <w:b/>
                <w:bCs/>
                <w:sz w:val="26"/>
                <w:szCs w:val="26"/>
              </w:rPr>
            </w:pPr>
            <w:r w:rsidRPr="00C80D3A">
              <w:rPr>
                <w:b/>
                <w:bCs/>
                <w:sz w:val="26"/>
                <w:szCs w:val="26"/>
              </w:rPr>
              <w:t>Duquesne</w:t>
            </w:r>
            <w:r w:rsidR="00574ABB">
              <w:rPr>
                <w:b/>
                <w:bCs/>
                <w:sz w:val="26"/>
                <w:szCs w:val="26"/>
              </w:rPr>
              <w:t>*</w:t>
            </w:r>
          </w:p>
        </w:tc>
        <w:tc>
          <w:tcPr>
            <w:tcW w:w="1890" w:type="dxa"/>
            <w:tcBorders>
              <w:top w:val="single" w:sz="12" w:space="0" w:color="auto"/>
            </w:tcBorders>
            <w:vAlign w:val="center"/>
          </w:tcPr>
          <w:p w14:paraId="7621A442" w14:textId="77777777" w:rsidR="00A37493" w:rsidRPr="00C80D3A" w:rsidRDefault="00A37493" w:rsidP="003401A7">
            <w:pPr>
              <w:keepNext/>
              <w:contextualSpacing/>
              <w:jc w:val="center"/>
              <w:rPr>
                <w:sz w:val="26"/>
                <w:szCs w:val="26"/>
              </w:rPr>
            </w:pPr>
            <w:r w:rsidRPr="00C80D3A">
              <w:rPr>
                <w:sz w:val="26"/>
                <w:szCs w:val="26"/>
              </w:rPr>
              <w:t>$24,407,415</w:t>
            </w:r>
          </w:p>
        </w:tc>
        <w:tc>
          <w:tcPr>
            <w:tcW w:w="2790" w:type="dxa"/>
            <w:tcBorders>
              <w:top w:val="single" w:sz="12" w:space="0" w:color="auto"/>
            </w:tcBorders>
            <w:vAlign w:val="center"/>
          </w:tcPr>
          <w:p w14:paraId="03A76261" w14:textId="77777777" w:rsidR="00A37493" w:rsidRPr="00C80D3A" w:rsidRDefault="00A37493" w:rsidP="003401A7">
            <w:pPr>
              <w:keepNext/>
              <w:contextualSpacing/>
              <w:jc w:val="center"/>
              <w:rPr>
                <w:sz w:val="26"/>
                <w:szCs w:val="26"/>
              </w:rPr>
            </w:pPr>
            <w:r w:rsidRPr="00C80D3A">
              <w:rPr>
                <w:sz w:val="26"/>
                <w:szCs w:val="26"/>
              </w:rPr>
              <w:t>494,608</w:t>
            </w:r>
          </w:p>
        </w:tc>
        <w:tc>
          <w:tcPr>
            <w:tcW w:w="2520" w:type="dxa"/>
            <w:tcBorders>
              <w:top w:val="single" w:sz="12" w:space="0" w:color="auto"/>
            </w:tcBorders>
            <w:vAlign w:val="center"/>
          </w:tcPr>
          <w:p w14:paraId="4775D404" w14:textId="77777777" w:rsidR="00A37493" w:rsidRPr="00C80D3A" w:rsidRDefault="00A37493" w:rsidP="003401A7">
            <w:pPr>
              <w:keepNext/>
              <w:contextualSpacing/>
              <w:jc w:val="center"/>
              <w:rPr>
                <w:sz w:val="26"/>
                <w:szCs w:val="26"/>
              </w:rPr>
            </w:pPr>
            <w:r w:rsidRPr="00C80D3A">
              <w:rPr>
                <w:color w:val="000000"/>
                <w:sz w:val="26"/>
                <w:szCs w:val="26"/>
              </w:rPr>
              <w:t>$49.35</w:t>
            </w:r>
          </w:p>
        </w:tc>
      </w:tr>
      <w:tr w:rsidR="00152530" w:rsidRPr="00C80D3A" w14:paraId="76F1AA8E" w14:textId="77777777" w:rsidTr="009A3B4B">
        <w:trPr>
          <w:trHeight w:val="360"/>
          <w:jc w:val="center"/>
        </w:trPr>
        <w:tc>
          <w:tcPr>
            <w:tcW w:w="2070" w:type="dxa"/>
            <w:vAlign w:val="center"/>
          </w:tcPr>
          <w:p w14:paraId="3481597F" w14:textId="77777777" w:rsidR="00A37493" w:rsidRPr="00C80D3A" w:rsidRDefault="00A37493" w:rsidP="003401A7">
            <w:pPr>
              <w:keepNext/>
              <w:contextualSpacing/>
              <w:rPr>
                <w:b/>
                <w:bCs/>
                <w:sz w:val="26"/>
                <w:szCs w:val="26"/>
              </w:rPr>
            </w:pPr>
            <w:r w:rsidRPr="00C80D3A">
              <w:rPr>
                <w:b/>
                <w:bCs/>
                <w:sz w:val="26"/>
                <w:szCs w:val="26"/>
              </w:rPr>
              <w:t>Met-Ed</w:t>
            </w:r>
          </w:p>
        </w:tc>
        <w:tc>
          <w:tcPr>
            <w:tcW w:w="1890" w:type="dxa"/>
            <w:vAlign w:val="center"/>
          </w:tcPr>
          <w:p w14:paraId="61531DE0" w14:textId="77777777" w:rsidR="00A37493" w:rsidRPr="00C80D3A" w:rsidRDefault="00A37493" w:rsidP="003401A7">
            <w:pPr>
              <w:keepNext/>
              <w:contextualSpacing/>
              <w:jc w:val="center"/>
              <w:rPr>
                <w:sz w:val="26"/>
                <w:szCs w:val="26"/>
              </w:rPr>
            </w:pPr>
            <w:r w:rsidRPr="00C80D3A">
              <w:rPr>
                <w:sz w:val="26"/>
                <w:szCs w:val="26"/>
              </w:rPr>
              <w:t>$19,425,828</w:t>
            </w:r>
          </w:p>
        </w:tc>
        <w:tc>
          <w:tcPr>
            <w:tcW w:w="2790" w:type="dxa"/>
            <w:vAlign w:val="center"/>
          </w:tcPr>
          <w:p w14:paraId="4CADF1D1" w14:textId="1FABA113" w:rsidR="00A37493" w:rsidRPr="00C80D3A" w:rsidRDefault="00152530" w:rsidP="003401A7">
            <w:pPr>
              <w:keepNext/>
              <w:contextualSpacing/>
              <w:jc w:val="center"/>
              <w:rPr>
                <w:sz w:val="26"/>
                <w:szCs w:val="26"/>
              </w:rPr>
            </w:pPr>
            <w:r>
              <w:rPr>
                <w:sz w:val="26"/>
                <w:szCs w:val="26"/>
              </w:rPr>
              <w:t>499,192</w:t>
            </w:r>
          </w:p>
        </w:tc>
        <w:tc>
          <w:tcPr>
            <w:tcW w:w="2520" w:type="dxa"/>
            <w:vAlign w:val="center"/>
          </w:tcPr>
          <w:p w14:paraId="4822B7CA" w14:textId="164F0A6E" w:rsidR="00A37493" w:rsidRPr="00C80D3A" w:rsidRDefault="00A37493" w:rsidP="003401A7">
            <w:pPr>
              <w:keepNext/>
              <w:contextualSpacing/>
              <w:jc w:val="center"/>
              <w:rPr>
                <w:sz w:val="26"/>
                <w:szCs w:val="26"/>
              </w:rPr>
            </w:pPr>
            <w:r w:rsidRPr="00C80D3A">
              <w:rPr>
                <w:color w:val="000000"/>
                <w:sz w:val="26"/>
                <w:szCs w:val="26"/>
              </w:rPr>
              <w:t>$</w:t>
            </w:r>
            <w:r w:rsidR="00152530">
              <w:rPr>
                <w:color w:val="000000"/>
                <w:sz w:val="26"/>
                <w:szCs w:val="26"/>
              </w:rPr>
              <w:t>38.91</w:t>
            </w:r>
          </w:p>
        </w:tc>
      </w:tr>
      <w:tr w:rsidR="00152530" w:rsidRPr="00C80D3A" w14:paraId="5B1C9161" w14:textId="77777777" w:rsidTr="009A3B4B">
        <w:trPr>
          <w:trHeight w:val="360"/>
          <w:jc w:val="center"/>
        </w:trPr>
        <w:tc>
          <w:tcPr>
            <w:tcW w:w="2070" w:type="dxa"/>
            <w:vAlign w:val="center"/>
          </w:tcPr>
          <w:p w14:paraId="3028F230" w14:textId="77777777" w:rsidR="00A37493" w:rsidRPr="00C80D3A" w:rsidRDefault="00A37493" w:rsidP="003401A7">
            <w:pPr>
              <w:keepNext/>
              <w:contextualSpacing/>
              <w:rPr>
                <w:b/>
                <w:bCs/>
                <w:sz w:val="26"/>
                <w:szCs w:val="26"/>
              </w:rPr>
            </w:pPr>
            <w:r w:rsidRPr="00C80D3A">
              <w:rPr>
                <w:b/>
                <w:bCs/>
                <w:sz w:val="26"/>
                <w:szCs w:val="26"/>
              </w:rPr>
              <w:t>PECO Electric</w:t>
            </w:r>
          </w:p>
        </w:tc>
        <w:tc>
          <w:tcPr>
            <w:tcW w:w="1890" w:type="dxa"/>
            <w:vAlign w:val="center"/>
          </w:tcPr>
          <w:p w14:paraId="2DDFE4CB" w14:textId="77777777" w:rsidR="00A37493" w:rsidRPr="00C80D3A" w:rsidRDefault="00A37493" w:rsidP="003401A7">
            <w:pPr>
              <w:keepNext/>
              <w:contextualSpacing/>
              <w:jc w:val="center"/>
              <w:rPr>
                <w:sz w:val="26"/>
                <w:szCs w:val="26"/>
              </w:rPr>
            </w:pPr>
            <w:r w:rsidRPr="00C80D3A">
              <w:rPr>
                <w:sz w:val="26"/>
                <w:szCs w:val="26"/>
              </w:rPr>
              <w:t>$78,354,961</w:t>
            </w:r>
          </w:p>
        </w:tc>
        <w:tc>
          <w:tcPr>
            <w:tcW w:w="2790" w:type="dxa"/>
            <w:vAlign w:val="center"/>
          </w:tcPr>
          <w:p w14:paraId="015912EC" w14:textId="714FDE19" w:rsidR="00A37493" w:rsidRPr="00C80D3A" w:rsidRDefault="00152530" w:rsidP="003401A7">
            <w:pPr>
              <w:keepNext/>
              <w:contextualSpacing/>
              <w:jc w:val="center"/>
              <w:rPr>
                <w:sz w:val="26"/>
                <w:szCs w:val="26"/>
              </w:rPr>
            </w:pPr>
            <w:r>
              <w:rPr>
                <w:sz w:val="26"/>
                <w:szCs w:val="26"/>
              </w:rPr>
              <w:t>1,463,266</w:t>
            </w:r>
          </w:p>
        </w:tc>
        <w:tc>
          <w:tcPr>
            <w:tcW w:w="2520" w:type="dxa"/>
            <w:vAlign w:val="center"/>
          </w:tcPr>
          <w:p w14:paraId="51378CAC" w14:textId="20085181" w:rsidR="00A37493" w:rsidRPr="00C80D3A" w:rsidRDefault="00A37493" w:rsidP="003401A7">
            <w:pPr>
              <w:keepNext/>
              <w:contextualSpacing/>
              <w:jc w:val="center"/>
              <w:rPr>
                <w:sz w:val="26"/>
                <w:szCs w:val="26"/>
              </w:rPr>
            </w:pPr>
            <w:r w:rsidRPr="00C80D3A">
              <w:rPr>
                <w:color w:val="000000"/>
                <w:sz w:val="26"/>
                <w:szCs w:val="26"/>
              </w:rPr>
              <w:t>$</w:t>
            </w:r>
            <w:r w:rsidR="00152530">
              <w:rPr>
                <w:color w:val="000000"/>
                <w:sz w:val="26"/>
                <w:szCs w:val="26"/>
              </w:rPr>
              <w:t>53.55</w:t>
            </w:r>
          </w:p>
        </w:tc>
      </w:tr>
      <w:tr w:rsidR="00152530" w:rsidRPr="00C80D3A" w14:paraId="121893E8" w14:textId="77777777" w:rsidTr="009A3B4B">
        <w:trPr>
          <w:trHeight w:val="360"/>
          <w:jc w:val="center"/>
        </w:trPr>
        <w:tc>
          <w:tcPr>
            <w:tcW w:w="2070" w:type="dxa"/>
            <w:vAlign w:val="center"/>
          </w:tcPr>
          <w:p w14:paraId="720214F2" w14:textId="77777777" w:rsidR="00A37493" w:rsidRPr="00C80D3A" w:rsidRDefault="00A37493" w:rsidP="003401A7">
            <w:pPr>
              <w:keepNext/>
              <w:contextualSpacing/>
              <w:rPr>
                <w:b/>
                <w:bCs/>
                <w:sz w:val="26"/>
                <w:szCs w:val="26"/>
              </w:rPr>
            </w:pPr>
            <w:r w:rsidRPr="00C80D3A">
              <w:rPr>
                <w:b/>
                <w:bCs/>
                <w:sz w:val="26"/>
                <w:szCs w:val="26"/>
              </w:rPr>
              <w:t>Penelec</w:t>
            </w:r>
          </w:p>
        </w:tc>
        <w:tc>
          <w:tcPr>
            <w:tcW w:w="1890" w:type="dxa"/>
            <w:vAlign w:val="center"/>
          </w:tcPr>
          <w:p w14:paraId="54EA7888" w14:textId="77777777" w:rsidR="00A37493" w:rsidRPr="00C80D3A" w:rsidRDefault="00A37493" w:rsidP="003401A7">
            <w:pPr>
              <w:keepNext/>
              <w:contextualSpacing/>
              <w:jc w:val="center"/>
              <w:rPr>
                <w:sz w:val="26"/>
                <w:szCs w:val="26"/>
              </w:rPr>
            </w:pPr>
            <w:r w:rsidRPr="00C80D3A">
              <w:rPr>
                <w:sz w:val="26"/>
                <w:szCs w:val="26"/>
              </w:rPr>
              <w:t>$24,068,245</w:t>
            </w:r>
          </w:p>
        </w:tc>
        <w:tc>
          <w:tcPr>
            <w:tcW w:w="2790" w:type="dxa"/>
            <w:vAlign w:val="center"/>
          </w:tcPr>
          <w:p w14:paraId="421ED38C" w14:textId="49DCE162" w:rsidR="00A37493" w:rsidRPr="00C80D3A" w:rsidRDefault="00152530" w:rsidP="003401A7">
            <w:pPr>
              <w:keepNext/>
              <w:contextualSpacing/>
              <w:jc w:val="center"/>
              <w:rPr>
                <w:sz w:val="26"/>
                <w:szCs w:val="26"/>
              </w:rPr>
            </w:pPr>
            <w:r>
              <w:rPr>
                <w:sz w:val="26"/>
                <w:szCs w:val="26"/>
              </w:rPr>
              <w:t>501,533</w:t>
            </w:r>
          </w:p>
        </w:tc>
        <w:tc>
          <w:tcPr>
            <w:tcW w:w="2520" w:type="dxa"/>
            <w:vAlign w:val="center"/>
          </w:tcPr>
          <w:p w14:paraId="33A6690B" w14:textId="39BF40BF" w:rsidR="00A37493" w:rsidRPr="00C80D3A" w:rsidRDefault="00A37493" w:rsidP="003401A7">
            <w:pPr>
              <w:keepNext/>
              <w:contextualSpacing/>
              <w:jc w:val="center"/>
              <w:rPr>
                <w:sz w:val="26"/>
                <w:szCs w:val="26"/>
              </w:rPr>
            </w:pPr>
            <w:r w:rsidRPr="00C80D3A">
              <w:rPr>
                <w:color w:val="000000"/>
                <w:sz w:val="26"/>
                <w:szCs w:val="26"/>
              </w:rPr>
              <w:t>$</w:t>
            </w:r>
            <w:r w:rsidR="00152530">
              <w:rPr>
                <w:color w:val="000000"/>
                <w:sz w:val="26"/>
                <w:szCs w:val="26"/>
              </w:rPr>
              <w:t>47.99</w:t>
            </w:r>
          </w:p>
        </w:tc>
      </w:tr>
      <w:tr w:rsidR="00152530" w:rsidRPr="00C80D3A" w14:paraId="2C66A658" w14:textId="77777777" w:rsidTr="009A3B4B">
        <w:trPr>
          <w:trHeight w:val="360"/>
          <w:jc w:val="center"/>
        </w:trPr>
        <w:tc>
          <w:tcPr>
            <w:tcW w:w="2070" w:type="dxa"/>
            <w:vAlign w:val="center"/>
          </w:tcPr>
          <w:p w14:paraId="53EED4A4" w14:textId="77777777" w:rsidR="00A37493" w:rsidRPr="00C80D3A" w:rsidRDefault="00A37493" w:rsidP="003401A7">
            <w:pPr>
              <w:keepNext/>
              <w:contextualSpacing/>
              <w:rPr>
                <w:b/>
                <w:bCs/>
                <w:sz w:val="26"/>
                <w:szCs w:val="26"/>
              </w:rPr>
            </w:pPr>
            <w:r w:rsidRPr="00C80D3A">
              <w:rPr>
                <w:b/>
                <w:bCs/>
                <w:sz w:val="26"/>
                <w:szCs w:val="26"/>
              </w:rPr>
              <w:t>Penn Power</w:t>
            </w:r>
          </w:p>
        </w:tc>
        <w:tc>
          <w:tcPr>
            <w:tcW w:w="1890" w:type="dxa"/>
            <w:vAlign w:val="center"/>
          </w:tcPr>
          <w:p w14:paraId="0C607B9C" w14:textId="7923B88C" w:rsidR="00A37493" w:rsidRPr="00C80D3A" w:rsidRDefault="00A37493" w:rsidP="003401A7">
            <w:pPr>
              <w:keepNext/>
              <w:contextualSpacing/>
              <w:jc w:val="center"/>
              <w:rPr>
                <w:sz w:val="26"/>
                <w:szCs w:val="26"/>
              </w:rPr>
            </w:pPr>
            <w:r w:rsidRPr="00C80D3A">
              <w:rPr>
                <w:sz w:val="26"/>
                <w:szCs w:val="26"/>
              </w:rPr>
              <w:t>$</w:t>
            </w:r>
            <w:r w:rsidR="00152530">
              <w:rPr>
                <w:sz w:val="26"/>
                <w:szCs w:val="26"/>
              </w:rPr>
              <w:t>6,701,617</w:t>
            </w:r>
          </w:p>
        </w:tc>
        <w:tc>
          <w:tcPr>
            <w:tcW w:w="2790" w:type="dxa"/>
            <w:vAlign w:val="center"/>
          </w:tcPr>
          <w:p w14:paraId="6C72D5F4" w14:textId="6A6BD8E7" w:rsidR="00A37493" w:rsidRPr="00C80D3A" w:rsidRDefault="00152530" w:rsidP="003401A7">
            <w:pPr>
              <w:keepNext/>
              <w:contextualSpacing/>
              <w:jc w:val="center"/>
              <w:rPr>
                <w:sz w:val="26"/>
                <w:szCs w:val="26"/>
              </w:rPr>
            </w:pPr>
            <w:r>
              <w:rPr>
                <w:sz w:val="26"/>
                <w:szCs w:val="26"/>
              </w:rPr>
              <w:t>144,286</w:t>
            </w:r>
          </w:p>
        </w:tc>
        <w:tc>
          <w:tcPr>
            <w:tcW w:w="2520" w:type="dxa"/>
            <w:vAlign w:val="center"/>
          </w:tcPr>
          <w:p w14:paraId="0C86DA05" w14:textId="466D1479" w:rsidR="00A37493" w:rsidRPr="00C80D3A" w:rsidRDefault="00A37493" w:rsidP="003401A7">
            <w:pPr>
              <w:keepNext/>
              <w:contextualSpacing/>
              <w:jc w:val="center"/>
              <w:rPr>
                <w:sz w:val="26"/>
                <w:szCs w:val="26"/>
              </w:rPr>
            </w:pPr>
            <w:r w:rsidRPr="00C80D3A">
              <w:rPr>
                <w:color w:val="000000"/>
                <w:sz w:val="26"/>
                <w:szCs w:val="26"/>
              </w:rPr>
              <w:t>$</w:t>
            </w:r>
            <w:r w:rsidR="00152530">
              <w:rPr>
                <w:color w:val="000000"/>
                <w:sz w:val="26"/>
                <w:szCs w:val="26"/>
              </w:rPr>
              <w:t>46.45</w:t>
            </w:r>
          </w:p>
        </w:tc>
      </w:tr>
      <w:tr w:rsidR="00152530" w:rsidRPr="00C80D3A" w14:paraId="219E2205" w14:textId="77777777" w:rsidTr="009A3B4B">
        <w:trPr>
          <w:trHeight w:val="360"/>
          <w:jc w:val="center"/>
        </w:trPr>
        <w:tc>
          <w:tcPr>
            <w:tcW w:w="2070" w:type="dxa"/>
            <w:vAlign w:val="center"/>
          </w:tcPr>
          <w:p w14:paraId="79083E1B" w14:textId="77777777" w:rsidR="00A37493" w:rsidRPr="00C80D3A" w:rsidRDefault="00A37493" w:rsidP="003401A7">
            <w:pPr>
              <w:keepNext/>
              <w:contextualSpacing/>
              <w:rPr>
                <w:b/>
                <w:bCs/>
                <w:sz w:val="26"/>
                <w:szCs w:val="26"/>
              </w:rPr>
            </w:pPr>
            <w:r w:rsidRPr="00C80D3A">
              <w:rPr>
                <w:b/>
                <w:bCs/>
                <w:sz w:val="26"/>
                <w:szCs w:val="26"/>
              </w:rPr>
              <w:t>PPL</w:t>
            </w:r>
          </w:p>
        </w:tc>
        <w:tc>
          <w:tcPr>
            <w:tcW w:w="1890" w:type="dxa"/>
            <w:vAlign w:val="center"/>
          </w:tcPr>
          <w:p w14:paraId="4C437E3B" w14:textId="77777777" w:rsidR="00A37493" w:rsidRPr="00C80D3A" w:rsidRDefault="00A37493" w:rsidP="003401A7">
            <w:pPr>
              <w:keepNext/>
              <w:contextualSpacing/>
              <w:jc w:val="center"/>
              <w:rPr>
                <w:sz w:val="26"/>
                <w:szCs w:val="26"/>
              </w:rPr>
            </w:pPr>
            <w:r w:rsidRPr="00C80D3A">
              <w:rPr>
                <w:sz w:val="26"/>
                <w:szCs w:val="26"/>
              </w:rPr>
              <w:t>$90,908,486</w:t>
            </w:r>
          </w:p>
        </w:tc>
        <w:tc>
          <w:tcPr>
            <w:tcW w:w="2790" w:type="dxa"/>
            <w:vAlign w:val="center"/>
          </w:tcPr>
          <w:p w14:paraId="544E70FA" w14:textId="61B737C7" w:rsidR="00A37493" w:rsidRPr="00C80D3A" w:rsidRDefault="00152530" w:rsidP="003401A7">
            <w:pPr>
              <w:keepNext/>
              <w:contextualSpacing/>
              <w:jc w:val="center"/>
              <w:rPr>
                <w:sz w:val="26"/>
                <w:szCs w:val="26"/>
              </w:rPr>
            </w:pPr>
            <w:r>
              <w:rPr>
                <w:sz w:val="26"/>
                <w:szCs w:val="26"/>
              </w:rPr>
              <w:t>1,223,076</w:t>
            </w:r>
          </w:p>
        </w:tc>
        <w:tc>
          <w:tcPr>
            <w:tcW w:w="2520" w:type="dxa"/>
            <w:vAlign w:val="center"/>
          </w:tcPr>
          <w:p w14:paraId="605114F7" w14:textId="4CE3B49E" w:rsidR="00A37493" w:rsidRPr="00C80D3A" w:rsidRDefault="00A37493" w:rsidP="003401A7">
            <w:pPr>
              <w:keepNext/>
              <w:contextualSpacing/>
              <w:jc w:val="center"/>
              <w:rPr>
                <w:sz w:val="26"/>
                <w:szCs w:val="26"/>
              </w:rPr>
            </w:pPr>
            <w:r w:rsidRPr="00C80D3A">
              <w:rPr>
                <w:color w:val="000000"/>
                <w:sz w:val="26"/>
                <w:szCs w:val="26"/>
              </w:rPr>
              <w:t>$</w:t>
            </w:r>
            <w:r w:rsidR="00152530">
              <w:rPr>
                <w:color w:val="000000"/>
                <w:sz w:val="26"/>
                <w:szCs w:val="26"/>
              </w:rPr>
              <w:t>74.33</w:t>
            </w:r>
          </w:p>
        </w:tc>
      </w:tr>
      <w:tr w:rsidR="00152530" w:rsidRPr="00C80D3A" w14:paraId="330F925A" w14:textId="77777777" w:rsidTr="009A3B4B">
        <w:trPr>
          <w:trHeight w:val="360"/>
          <w:jc w:val="center"/>
        </w:trPr>
        <w:tc>
          <w:tcPr>
            <w:tcW w:w="2070" w:type="dxa"/>
            <w:vAlign w:val="center"/>
          </w:tcPr>
          <w:p w14:paraId="4A8BEEEF" w14:textId="77777777" w:rsidR="00A37493" w:rsidRPr="00C80D3A" w:rsidRDefault="00A37493" w:rsidP="003401A7">
            <w:pPr>
              <w:keepNext/>
              <w:contextualSpacing/>
              <w:rPr>
                <w:b/>
                <w:bCs/>
                <w:sz w:val="26"/>
                <w:szCs w:val="26"/>
              </w:rPr>
            </w:pPr>
            <w:r w:rsidRPr="00C80D3A">
              <w:rPr>
                <w:b/>
                <w:bCs/>
                <w:sz w:val="26"/>
                <w:szCs w:val="26"/>
              </w:rPr>
              <w:t>WPP</w:t>
            </w:r>
          </w:p>
        </w:tc>
        <w:tc>
          <w:tcPr>
            <w:tcW w:w="1890" w:type="dxa"/>
            <w:vAlign w:val="center"/>
          </w:tcPr>
          <w:p w14:paraId="755A2DD9" w14:textId="77777777" w:rsidR="00A37493" w:rsidRPr="00C80D3A" w:rsidRDefault="00A37493" w:rsidP="003401A7">
            <w:pPr>
              <w:keepNext/>
              <w:contextualSpacing/>
              <w:jc w:val="center"/>
              <w:rPr>
                <w:sz w:val="26"/>
                <w:szCs w:val="26"/>
              </w:rPr>
            </w:pPr>
            <w:r w:rsidRPr="00C80D3A">
              <w:rPr>
                <w:sz w:val="26"/>
                <w:szCs w:val="26"/>
              </w:rPr>
              <w:t>$31,938,200</w:t>
            </w:r>
          </w:p>
        </w:tc>
        <w:tc>
          <w:tcPr>
            <w:tcW w:w="2790" w:type="dxa"/>
            <w:vAlign w:val="center"/>
          </w:tcPr>
          <w:p w14:paraId="1F9DD4AC" w14:textId="5694FDBE" w:rsidR="00A37493" w:rsidRPr="00C80D3A" w:rsidRDefault="00152530" w:rsidP="003401A7">
            <w:pPr>
              <w:keepNext/>
              <w:contextualSpacing/>
              <w:jc w:val="center"/>
              <w:rPr>
                <w:sz w:val="26"/>
                <w:szCs w:val="26"/>
              </w:rPr>
            </w:pPr>
            <w:r>
              <w:rPr>
                <w:sz w:val="26"/>
                <w:szCs w:val="26"/>
              </w:rPr>
              <w:t>624,914</w:t>
            </w:r>
          </w:p>
        </w:tc>
        <w:tc>
          <w:tcPr>
            <w:tcW w:w="2520" w:type="dxa"/>
            <w:vAlign w:val="center"/>
          </w:tcPr>
          <w:p w14:paraId="04F48143" w14:textId="2CD754E4" w:rsidR="00A37493" w:rsidRPr="00C80D3A" w:rsidRDefault="00A37493" w:rsidP="003401A7">
            <w:pPr>
              <w:keepNext/>
              <w:contextualSpacing/>
              <w:jc w:val="center"/>
              <w:rPr>
                <w:sz w:val="26"/>
                <w:szCs w:val="26"/>
              </w:rPr>
            </w:pPr>
            <w:r w:rsidRPr="00C80D3A">
              <w:rPr>
                <w:color w:val="000000"/>
                <w:sz w:val="26"/>
                <w:szCs w:val="26"/>
              </w:rPr>
              <w:t>$</w:t>
            </w:r>
            <w:r w:rsidR="00152530">
              <w:rPr>
                <w:color w:val="000000"/>
                <w:sz w:val="26"/>
                <w:szCs w:val="26"/>
              </w:rPr>
              <w:t>51.18</w:t>
            </w:r>
          </w:p>
        </w:tc>
      </w:tr>
    </w:tbl>
    <w:p w14:paraId="71950E1A" w14:textId="1F063491" w:rsidR="00574ABB" w:rsidRPr="00457872" w:rsidRDefault="00574ABB" w:rsidP="00A37493">
      <w:pPr>
        <w:spacing w:after="0"/>
        <w:contextualSpacing/>
        <w:rPr>
          <w:rFonts w:ascii="Times New Roman" w:hAnsi="Times New Roman" w:cs="Times New Roman"/>
        </w:rPr>
      </w:pPr>
      <w:r w:rsidRPr="00457872">
        <w:rPr>
          <w:rFonts w:ascii="Times New Roman" w:hAnsi="Times New Roman" w:cs="Times New Roman"/>
        </w:rPr>
        <w:t>*Duquesne recovers universal costs only from non-CAP residential customers.</w:t>
      </w:r>
    </w:p>
    <w:p w14:paraId="785AD371" w14:textId="77777777" w:rsidR="00DF7E2D" w:rsidRDefault="00DF7E2D" w:rsidP="009B4468">
      <w:pPr>
        <w:spacing w:after="0" w:line="360" w:lineRule="auto"/>
        <w:contextualSpacing/>
        <w:rPr>
          <w:rFonts w:ascii="Times New Roman" w:hAnsi="Times New Roman" w:cs="Times New Roman"/>
          <w:iCs/>
          <w:sz w:val="26"/>
          <w:szCs w:val="26"/>
        </w:rPr>
      </w:pPr>
    </w:p>
    <w:p w14:paraId="1CDB9E7A" w14:textId="659D2574" w:rsidR="00DF7E2D" w:rsidRDefault="00DF7E2D" w:rsidP="0018337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Pr="00C80D3A">
        <w:rPr>
          <w:rFonts w:ascii="Times New Roman" w:hAnsi="Times New Roman" w:cs="Times New Roman"/>
          <w:sz w:val="26"/>
          <w:szCs w:val="26"/>
        </w:rPr>
        <w:t xml:space="preserve">EDC residential </w:t>
      </w:r>
      <w:r>
        <w:rPr>
          <w:rFonts w:ascii="Times New Roman" w:hAnsi="Times New Roman" w:cs="Times New Roman"/>
          <w:sz w:val="26"/>
          <w:szCs w:val="26"/>
        </w:rPr>
        <w:t xml:space="preserve">customers </w:t>
      </w:r>
      <w:r w:rsidRPr="00C80D3A">
        <w:rPr>
          <w:rFonts w:ascii="Times New Roman" w:hAnsi="Times New Roman" w:cs="Times New Roman"/>
          <w:sz w:val="26"/>
          <w:szCs w:val="26"/>
        </w:rPr>
        <w:t>paid an additional $3</w:t>
      </w:r>
      <w:r>
        <w:rPr>
          <w:rFonts w:ascii="Times New Roman" w:hAnsi="Times New Roman" w:cs="Times New Roman"/>
          <w:sz w:val="26"/>
          <w:szCs w:val="26"/>
        </w:rPr>
        <w:t>9</w:t>
      </w:r>
      <w:r w:rsidRPr="00C80D3A">
        <w:rPr>
          <w:rFonts w:ascii="Times New Roman" w:hAnsi="Times New Roman" w:cs="Times New Roman"/>
          <w:sz w:val="26"/>
          <w:szCs w:val="26"/>
        </w:rPr>
        <w:t xml:space="preserve"> to $7</w:t>
      </w:r>
      <w:r>
        <w:rPr>
          <w:rFonts w:ascii="Times New Roman" w:hAnsi="Times New Roman" w:cs="Times New Roman"/>
          <w:sz w:val="26"/>
          <w:szCs w:val="26"/>
        </w:rPr>
        <w:t>4</w:t>
      </w:r>
      <w:r w:rsidRPr="00C80D3A">
        <w:rPr>
          <w:rFonts w:ascii="Times New Roman" w:hAnsi="Times New Roman" w:cs="Times New Roman"/>
          <w:sz w:val="26"/>
          <w:szCs w:val="26"/>
        </w:rPr>
        <w:t xml:space="preserve"> per year, over and above the cost of their electricity usage, to fund universal service programs in 2017.  </w:t>
      </w:r>
      <w:r>
        <w:rPr>
          <w:rFonts w:ascii="Times New Roman" w:hAnsi="Times New Roman" w:cs="Times New Roman"/>
          <w:sz w:val="26"/>
          <w:szCs w:val="26"/>
        </w:rPr>
        <w:t>Duquesne, which does not recover universal service costs from CAP participants, was in the middle of this range.</w:t>
      </w:r>
    </w:p>
    <w:p w14:paraId="58B2B1B3" w14:textId="77777777" w:rsidR="00F26988" w:rsidRDefault="00F26988" w:rsidP="0018337E">
      <w:pPr>
        <w:spacing w:after="0" w:line="360" w:lineRule="auto"/>
        <w:contextualSpacing/>
        <w:rPr>
          <w:rFonts w:ascii="Times New Roman" w:hAnsi="Times New Roman" w:cs="Times New Roman"/>
          <w:sz w:val="26"/>
          <w:szCs w:val="26"/>
        </w:rPr>
      </w:pPr>
    </w:p>
    <w:p w14:paraId="780222C4" w14:textId="10F6CB57" w:rsidR="00A37493" w:rsidRPr="00C80D3A" w:rsidRDefault="00A37493">
      <w:pPr>
        <w:keepNext/>
        <w:spacing w:after="0"/>
        <w:contextualSpacing/>
        <w:jc w:val="center"/>
        <w:rPr>
          <w:rFonts w:ascii="Times New Roman" w:hAnsi="Times New Roman" w:cs="Times New Roman"/>
          <w:b/>
          <w:bCs/>
          <w:sz w:val="26"/>
          <w:szCs w:val="26"/>
        </w:rPr>
      </w:pPr>
      <w:r w:rsidRPr="00C80D3A">
        <w:rPr>
          <w:rFonts w:ascii="Times New Roman" w:hAnsi="Times New Roman" w:cs="Times New Roman"/>
          <w:b/>
          <w:bCs/>
          <w:sz w:val="26"/>
          <w:szCs w:val="26"/>
        </w:rPr>
        <w:t xml:space="preserve">Table </w:t>
      </w:r>
      <w:r w:rsidR="004B4A6B">
        <w:rPr>
          <w:rFonts w:ascii="Times New Roman" w:hAnsi="Times New Roman" w:cs="Times New Roman"/>
          <w:b/>
          <w:bCs/>
          <w:sz w:val="26"/>
          <w:szCs w:val="26"/>
        </w:rPr>
        <w:t>8</w:t>
      </w:r>
      <w:r w:rsidR="00F84876">
        <w:rPr>
          <w:rStyle w:val="FootnoteReference"/>
          <w:rFonts w:ascii="Times New Roman" w:hAnsi="Times New Roman" w:cs="Times New Roman"/>
          <w:b/>
          <w:bCs/>
          <w:sz w:val="26"/>
          <w:szCs w:val="26"/>
        </w:rPr>
        <w:footnoteReference w:id="140"/>
      </w:r>
    </w:p>
    <w:p w14:paraId="04FCB9A2" w14:textId="7FA128D5" w:rsidR="00A37493" w:rsidRPr="00C80D3A" w:rsidRDefault="00A37493" w:rsidP="00A37493">
      <w:pPr>
        <w:keepNext/>
        <w:spacing w:after="0"/>
        <w:contextualSpacing/>
        <w:jc w:val="center"/>
        <w:rPr>
          <w:rFonts w:ascii="Times New Roman" w:hAnsi="Times New Roman" w:cs="Times New Roman"/>
          <w:b/>
          <w:bCs/>
          <w:sz w:val="26"/>
          <w:szCs w:val="26"/>
        </w:rPr>
      </w:pPr>
      <w:r w:rsidRPr="00C80D3A">
        <w:rPr>
          <w:rFonts w:ascii="Times New Roman" w:hAnsi="Times New Roman" w:cs="Times New Roman"/>
          <w:b/>
          <w:bCs/>
          <w:sz w:val="26"/>
          <w:szCs w:val="26"/>
        </w:rPr>
        <w:t xml:space="preserve">2017 - NGDC Universal Service Costs Recovered from </w:t>
      </w:r>
      <w:r w:rsidR="00DF7E2D">
        <w:rPr>
          <w:rFonts w:ascii="Times New Roman" w:hAnsi="Times New Roman" w:cs="Times New Roman"/>
          <w:b/>
          <w:bCs/>
          <w:sz w:val="26"/>
          <w:szCs w:val="26"/>
        </w:rPr>
        <w:t>Residential Customers</w:t>
      </w:r>
    </w:p>
    <w:tbl>
      <w:tblPr>
        <w:tblStyle w:val="TableGrid"/>
        <w:tblW w:w="0" w:type="auto"/>
        <w:jc w:val="center"/>
        <w:tblLook w:val="04A0" w:firstRow="1" w:lastRow="0" w:firstColumn="1" w:lastColumn="0" w:noHBand="0" w:noVBand="1"/>
      </w:tblPr>
      <w:tblGrid>
        <w:gridCol w:w="2245"/>
        <w:gridCol w:w="1819"/>
        <w:gridCol w:w="2672"/>
        <w:gridCol w:w="2614"/>
      </w:tblGrid>
      <w:tr w:rsidR="00A37493" w:rsidRPr="00C80D3A" w14:paraId="43302578" w14:textId="77777777" w:rsidTr="009A3B4B">
        <w:trPr>
          <w:jc w:val="center"/>
        </w:trPr>
        <w:tc>
          <w:tcPr>
            <w:tcW w:w="2245" w:type="dxa"/>
            <w:tcBorders>
              <w:bottom w:val="single" w:sz="12" w:space="0" w:color="auto"/>
            </w:tcBorders>
            <w:vAlign w:val="center"/>
          </w:tcPr>
          <w:p w14:paraId="6E6A3C36" w14:textId="778E666C" w:rsidR="00A37493" w:rsidRPr="00C80D3A" w:rsidRDefault="00B3778D" w:rsidP="009A3B4B">
            <w:pPr>
              <w:keepNext/>
              <w:contextualSpacing/>
              <w:jc w:val="center"/>
              <w:rPr>
                <w:b/>
                <w:bCs/>
                <w:sz w:val="26"/>
                <w:szCs w:val="26"/>
              </w:rPr>
            </w:pPr>
            <w:r>
              <w:rPr>
                <w:b/>
                <w:bCs/>
                <w:sz w:val="26"/>
                <w:szCs w:val="26"/>
              </w:rPr>
              <w:t>Utility</w:t>
            </w:r>
          </w:p>
        </w:tc>
        <w:tc>
          <w:tcPr>
            <w:tcW w:w="1819" w:type="dxa"/>
            <w:tcBorders>
              <w:bottom w:val="single" w:sz="12" w:space="0" w:color="auto"/>
            </w:tcBorders>
            <w:vAlign w:val="center"/>
          </w:tcPr>
          <w:p w14:paraId="7C94E4F1" w14:textId="77777777" w:rsidR="00A37493" w:rsidRPr="00C80D3A" w:rsidRDefault="00A37493" w:rsidP="003401A7">
            <w:pPr>
              <w:keepNext/>
              <w:contextualSpacing/>
              <w:jc w:val="center"/>
              <w:rPr>
                <w:b/>
                <w:bCs/>
                <w:sz w:val="26"/>
                <w:szCs w:val="26"/>
              </w:rPr>
            </w:pPr>
            <w:r w:rsidRPr="00C80D3A">
              <w:rPr>
                <w:b/>
                <w:bCs/>
                <w:sz w:val="26"/>
                <w:szCs w:val="26"/>
              </w:rPr>
              <w:t>Universal Service Costs</w:t>
            </w:r>
          </w:p>
        </w:tc>
        <w:tc>
          <w:tcPr>
            <w:tcW w:w="2672" w:type="dxa"/>
            <w:tcBorders>
              <w:bottom w:val="single" w:sz="12" w:space="0" w:color="auto"/>
            </w:tcBorders>
            <w:vAlign w:val="center"/>
          </w:tcPr>
          <w:p w14:paraId="771FDF2B" w14:textId="2A141328" w:rsidR="00A37493" w:rsidRPr="00C80D3A" w:rsidRDefault="00A37493" w:rsidP="003401A7">
            <w:pPr>
              <w:keepNext/>
              <w:contextualSpacing/>
              <w:jc w:val="center"/>
              <w:rPr>
                <w:b/>
                <w:bCs/>
                <w:sz w:val="26"/>
                <w:szCs w:val="26"/>
              </w:rPr>
            </w:pPr>
            <w:r w:rsidRPr="00C80D3A">
              <w:rPr>
                <w:b/>
                <w:bCs/>
                <w:sz w:val="26"/>
                <w:szCs w:val="26"/>
              </w:rPr>
              <w:t xml:space="preserve">Average </w:t>
            </w:r>
            <w:r w:rsidR="00A27A18">
              <w:rPr>
                <w:b/>
                <w:bCs/>
                <w:sz w:val="26"/>
                <w:szCs w:val="26"/>
              </w:rPr>
              <w:t>#</w:t>
            </w:r>
            <w:r w:rsidRPr="00C80D3A">
              <w:rPr>
                <w:b/>
                <w:bCs/>
                <w:sz w:val="26"/>
                <w:szCs w:val="26"/>
              </w:rPr>
              <w:t xml:space="preserve"> Residential </w:t>
            </w:r>
            <w:r w:rsidR="00A27A18">
              <w:rPr>
                <w:b/>
                <w:bCs/>
                <w:sz w:val="26"/>
                <w:szCs w:val="26"/>
              </w:rPr>
              <w:t>Customers Paying US Costs</w:t>
            </w:r>
          </w:p>
        </w:tc>
        <w:tc>
          <w:tcPr>
            <w:tcW w:w="2614" w:type="dxa"/>
            <w:tcBorders>
              <w:bottom w:val="single" w:sz="12" w:space="0" w:color="auto"/>
            </w:tcBorders>
            <w:vAlign w:val="center"/>
          </w:tcPr>
          <w:p w14:paraId="1CC16AEF" w14:textId="5F2FBE18" w:rsidR="00A37493" w:rsidRPr="00C80D3A" w:rsidRDefault="00263577" w:rsidP="003401A7">
            <w:pPr>
              <w:keepNext/>
              <w:contextualSpacing/>
              <w:jc w:val="center"/>
              <w:rPr>
                <w:b/>
                <w:bCs/>
                <w:sz w:val="26"/>
                <w:szCs w:val="26"/>
              </w:rPr>
            </w:pPr>
            <w:r w:rsidRPr="00C80D3A">
              <w:rPr>
                <w:b/>
                <w:bCs/>
                <w:color w:val="000000"/>
                <w:sz w:val="26"/>
                <w:szCs w:val="26"/>
              </w:rPr>
              <w:t xml:space="preserve">Average </w:t>
            </w:r>
            <w:r w:rsidR="00A37493" w:rsidRPr="00C80D3A">
              <w:rPr>
                <w:b/>
                <w:bCs/>
                <w:color w:val="000000"/>
                <w:sz w:val="26"/>
                <w:szCs w:val="26"/>
              </w:rPr>
              <w:t xml:space="preserve">Annual Cost per </w:t>
            </w:r>
            <w:r w:rsidR="00A27A18">
              <w:rPr>
                <w:b/>
                <w:bCs/>
                <w:color w:val="000000"/>
                <w:sz w:val="26"/>
                <w:szCs w:val="26"/>
              </w:rPr>
              <w:t>Residential Customer</w:t>
            </w:r>
          </w:p>
        </w:tc>
      </w:tr>
      <w:tr w:rsidR="00A37493" w:rsidRPr="00C80D3A" w14:paraId="50F50F5E" w14:textId="77777777" w:rsidTr="009A3B4B">
        <w:trPr>
          <w:trHeight w:val="360"/>
          <w:jc w:val="center"/>
        </w:trPr>
        <w:tc>
          <w:tcPr>
            <w:tcW w:w="2245" w:type="dxa"/>
            <w:tcBorders>
              <w:top w:val="single" w:sz="12" w:space="0" w:color="auto"/>
            </w:tcBorders>
            <w:shd w:val="clear" w:color="auto" w:fill="auto"/>
            <w:vAlign w:val="center"/>
          </w:tcPr>
          <w:p w14:paraId="291A53D9" w14:textId="77777777" w:rsidR="00A37493" w:rsidRPr="00C80D3A" w:rsidRDefault="00A37493" w:rsidP="003401A7">
            <w:pPr>
              <w:keepNext/>
              <w:contextualSpacing/>
              <w:rPr>
                <w:b/>
                <w:bCs/>
                <w:sz w:val="26"/>
                <w:szCs w:val="26"/>
              </w:rPr>
            </w:pPr>
            <w:r w:rsidRPr="00C80D3A">
              <w:rPr>
                <w:b/>
                <w:bCs/>
                <w:color w:val="000000"/>
                <w:sz w:val="26"/>
                <w:szCs w:val="26"/>
              </w:rPr>
              <w:t>Columbia</w:t>
            </w:r>
          </w:p>
        </w:tc>
        <w:tc>
          <w:tcPr>
            <w:tcW w:w="1819" w:type="dxa"/>
            <w:tcBorders>
              <w:top w:val="single" w:sz="12" w:space="0" w:color="auto"/>
            </w:tcBorders>
            <w:vAlign w:val="center"/>
          </w:tcPr>
          <w:p w14:paraId="720F6AD8" w14:textId="77777777" w:rsidR="00A37493" w:rsidRPr="00C80D3A" w:rsidRDefault="00A37493" w:rsidP="003401A7">
            <w:pPr>
              <w:keepNext/>
              <w:contextualSpacing/>
              <w:jc w:val="center"/>
              <w:rPr>
                <w:sz w:val="26"/>
                <w:szCs w:val="26"/>
              </w:rPr>
            </w:pPr>
            <w:r w:rsidRPr="00C80D3A">
              <w:rPr>
                <w:sz w:val="26"/>
                <w:szCs w:val="26"/>
              </w:rPr>
              <w:t>$24,558,499</w:t>
            </w:r>
          </w:p>
        </w:tc>
        <w:tc>
          <w:tcPr>
            <w:tcW w:w="2672" w:type="dxa"/>
            <w:tcBorders>
              <w:top w:val="single" w:sz="12" w:space="0" w:color="auto"/>
            </w:tcBorders>
            <w:vAlign w:val="center"/>
          </w:tcPr>
          <w:p w14:paraId="5482D774" w14:textId="77777777" w:rsidR="00A37493" w:rsidRPr="00C80D3A" w:rsidRDefault="00A37493" w:rsidP="003401A7">
            <w:pPr>
              <w:keepNext/>
              <w:contextualSpacing/>
              <w:jc w:val="center"/>
              <w:rPr>
                <w:sz w:val="26"/>
                <w:szCs w:val="26"/>
              </w:rPr>
            </w:pPr>
            <w:r w:rsidRPr="00C80D3A">
              <w:rPr>
                <w:color w:val="000000"/>
                <w:sz w:val="26"/>
                <w:szCs w:val="26"/>
              </w:rPr>
              <w:t>370,489</w:t>
            </w:r>
          </w:p>
        </w:tc>
        <w:tc>
          <w:tcPr>
            <w:tcW w:w="2614" w:type="dxa"/>
            <w:tcBorders>
              <w:top w:val="single" w:sz="12" w:space="0" w:color="auto"/>
            </w:tcBorders>
            <w:vAlign w:val="center"/>
          </w:tcPr>
          <w:p w14:paraId="3A906810" w14:textId="77777777" w:rsidR="00A37493" w:rsidRPr="00C80D3A" w:rsidRDefault="00A37493" w:rsidP="003401A7">
            <w:pPr>
              <w:keepNext/>
              <w:contextualSpacing/>
              <w:jc w:val="center"/>
              <w:rPr>
                <w:sz w:val="26"/>
                <w:szCs w:val="26"/>
              </w:rPr>
            </w:pPr>
            <w:r w:rsidRPr="00C80D3A">
              <w:rPr>
                <w:sz w:val="26"/>
                <w:szCs w:val="26"/>
              </w:rPr>
              <w:t>$66.29</w:t>
            </w:r>
          </w:p>
        </w:tc>
      </w:tr>
      <w:tr w:rsidR="00A37493" w:rsidRPr="00C80D3A" w14:paraId="7D7999F8" w14:textId="77777777" w:rsidTr="009A3B4B">
        <w:trPr>
          <w:trHeight w:val="360"/>
          <w:jc w:val="center"/>
        </w:trPr>
        <w:tc>
          <w:tcPr>
            <w:tcW w:w="2245" w:type="dxa"/>
            <w:shd w:val="clear" w:color="auto" w:fill="auto"/>
            <w:vAlign w:val="center"/>
          </w:tcPr>
          <w:p w14:paraId="645B7604" w14:textId="77777777" w:rsidR="00A37493" w:rsidRPr="00C80D3A" w:rsidRDefault="00A37493" w:rsidP="003401A7">
            <w:pPr>
              <w:keepNext/>
              <w:contextualSpacing/>
              <w:rPr>
                <w:b/>
                <w:bCs/>
                <w:sz w:val="26"/>
                <w:szCs w:val="26"/>
              </w:rPr>
            </w:pPr>
            <w:r w:rsidRPr="00C80D3A">
              <w:rPr>
                <w:b/>
                <w:bCs/>
                <w:color w:val="000000"/>
                <w:sz w:val="26"/>
                <w:szCs w:val="26"/>
              </w:rPr>
              <w:t>NFG</w:t>
            </w:r>
          </w:p>
        </w:tc>
        <w:tc>
          <w:tcPr>
            <w:tcW w:w="1819" w:type="dxa"/>
            <w:vAlign w:val="center"/>
          </w:tcPr>
          <w:p w14:paraId="23CB74BC" w14:textId="77777777" w:rsidR="00A37493" w:rsidRPr="00C80D3A" w:rsidRDefault="00A37493" w:rsidP="003401A7">
            <w:pPr>
              <w:keepNext/>
              <w:contextualSpacing/>
              <w:jc w:val="center"/>
              <w:rPr>
                <w:sz w:val="26"/>
                <w:szCs w:val="26"/>
              </w:rPr>
            </w:pPr>
            <w:r w:rsidRPr="00C80D3A">
              <w:rPr>
                <w:sz w:val="26"/>
                <w:szCs w:val="26"/>
              </w:rPr>
              <w:t>$2,250,979</w:t>
            </w:r>
          </w:p>
        </w:tc>
        <w:tc>
          <w:tcPr>
            <w:tcW w:w="2672" w:type="dxa"/>
            <w:vAlign w:val="center"/>
          </w:tcPr>
          <w:p w14:paraId="4F4A1EBF" w14:textId="77777777" w:rsidR="00A37493" w:rsidRPr="00C80D3A" w:rsidRDefault="00A37493" w:rsidP="003401A7">
            <w:pPr>
              <w:keepNext/>
              <w:contextualSpacing/>
              <w:jc w:val="center"/>
              <w:rPr>
                <w:sz w:val="26"/>
                <w:szCs w:val="26"/>
              </w:rPr>
            </w:pPr>
            <w:r w:rsidRPr="00C80D3A">
              <w:rPr>
                <w:color w:val="000000"/>
                <w:sz w:val="26"/>
                <w:szCs w:val="26"/>
              </w:rPr>
              <w:t>188,936</w:t>
            </w:r>
          </w:p>
        </w:tc>
        <w:tc>
          <w:tcPr>
            <w:tcW w:w="2614" w:type="dxa"/>
            <w:vAlign w:val="center"/>
          </w:tcPr>
          <w:p w14:paraId="698A660B" w14:textId="77777777" w:rsidR="00A37493" w:rsidRPr="00C80D3A" w:rsidRDefault="00A37493" w:rsidP="003401A7">
            <w:pPr>
              <w:keepNext/>
              <w:contextualSpacing/>
              <w:jc w:val="center"/>
              <w:rPr>
                <w:sz w:val="26"/>
                <w:szCs w:val="26"/>
              </w:rPr>
            </w:pPr>
            <w:r w:rsidRPr="00C80D3A">
              <w:rPr>
                <w:sz w:val="26"/>
                <w:szCs w:val="26"/>
              </w:rPr>
              <w:t>$11.91</w:t>
            </w:r>
          </w:p>
        </w:tc>
      </w:tr>
      <w:tr w:rsidR="00A37493" w:rsidRPr="00C80D3A" w14:paraId="5937C2F7" w14:textId="77777777" w:rsidTr="009A3B4B">
        <w:trPr>
          <w:trHeight w:val="360"/>
          <w:jc w:val="center"/>
        </w:trPr>
        <w:tc>
          <w:tcPr>
            <w:tcW w:w="2245" w:type="dxa"/>
            <w:shd w:val="clear" w:color="auto" w:fill="auto"/>
            <w:vAlign w:val="center"/>
          </w:tcPr>
          <w:p w14:paraId="3D14C777" w14:textId="0CD8052B" w:rsidR="00A37493" w:rsidRPr="00C80D3A" w:rsidRDefault="00A37493" w:rsidP="003401A7">
            <w:pPr>
              <w:keepNext/>
              <w:contextualSpacing/>
              <w:rPr>
                <w:b/>
                <w:bCs/>
                <w:sz w:val="26"/>
                <w:szCs w:val="26"/>
              </w:rPr>
            </w:pPr>
            <w:r w:rsidRPr="00C80D3A">
              <w:rPr>
                <w:b/>
                <w:bCs/>
                <w:color w:val="000000"/>
                <w:sz w:val="26"/>
                <w:szCs w:val="26"/>
              </w:rPr>
              <w:t>PECO-Gas</w:t>
            </w:r>
            <w:r w:rsidR="00A27A18">
              <w:rPr>
                <w:b/>
                <w:bCs/>
                <w:color w:val="000000"/>
                <w:sz w:val="26"/>
                <w:szCs w:val="26"/>
              </w:rPr>
              <w:t>*</w:t>
            </w:r>
          </w:p>
        </w:tc>
        <w:tc>
          <w:tcPr>
            <w:tcW w:w="1819" w:type="dxa"/>
            <w:vAlign w:val="center"/>
          </w:tcPr>
          <w:p w14:paraId="6134EA2F" w14:textId="77777777" w:rsidR="00A37493" w:rsidRPr="00C80D3A" w:rsidRDefault="00A37493" w:rsidP="003401A7">
            <w:pPr>
              <w:keepNext/>
              <w:contextualSpacing/>
              <w:jc w:val="center"/>
              <w:rPr>
                <w:sz w:val="26"/>
                <w:szCs w:val="26"/>
              </w:rPr>
            </w:pPr>
            <w:r w:rsidRPr="00C80D3A">
              <w:rPr>
                <w:sz w:val="26"/>
                <w:szCs w:val="26"/>
              </w:rPr>
              <w:t>$4,885,302</w:t>
            </w:r>
          </w:p>
        </w:tc>
        <w:tc>
          <w:tcPr>
            <w:tcW w:w="2672" w:type="dxa"/>
            <w:vAlign w:val="center"/>
          </w:tcPr>
          <w:p w14:paraId="4608F1A1" w14:textId="459C9362" w:rsidR="00A37493" w:rsidRPr="00C80D3A" w:rsidRDefault="00A27A18" w:rsidP="003401A7">
            <w:pPr>
              <w:keepNext/>
              <w:contextualSpacing/>
              <w:jc w:val="center"/>
              <w:rPr>
                <w:sz w:val="26"/>
                <w:szCs w:val="26"/>
              </w:rPr>
            </w:pPr>
            <w:r>
              <w:rPr>
                <w:color w:val="000000"/>
                <w:sz w:val="26"/>
                <w:szCs w:val="26"/>
              </w:rPr>
              <w:t>480,586</w:t>
            </w:r>
          </w:p>
        </w:tc>
        <w:tc>
          <w:tcPr>
            <w:tcW w:w="2614" w:type="dxa"/>
            <w:vAlign w:val="center"/>
          </w:tcPr>
          <w:p w14:paraId="602A7E2F" w14:textId="22CEE953" w:rsidR="00A37493" w:rsidRPr="00C80D3A" w:rsidRDefault="00A37493" w:rsidP="003401A7">
            <w:pPr>
              <w:keepNext/>
              <w:contextualSpacing/>
              <w:jc w:val="center"/>
              <w:rPr>
                <w:sz w:val="26"/>
                <w:szCs w:val="26"/>
              </w:rPr>
            </w:pPr>
            <w:r w:rsidRPr="00C80D3A">
              <w:rPr>
                <w:sz w:val="26"/>
                <w:szCs w:val="26"/>
              </w:rPr>
              <w:t>$10.</w:t>
            </w:r>
            <w:r w:rsidR="00A27A18">
              <w:rPr>
                <w:sz w:val="26"/>
                <w:szCs w:val="26"/>
              </w:rPr>
              <w:t>17</w:t>
            </w:r>
          </w:p>
        </w:tc>
      </w:tr>
      <w:tr w:rsidR="00A37493" w:rsidRPr="00C80D3A" w14:paraId="34AEEC9B" w14:textId="77777777" w:rsidTr="009A3B4B">
        <w:trPr>
          <w:trHeight w:val="360"/>
          <w:jc w:val="center"/>
        </w:trPr>
        <w:tc>
          <w:tcPr>
            <w:tcW w:w="2245" w:type="dxa"/>
            <w:shd w:val="clear" w:color="auto" w:fill="auto"/>
            <w:vAlign w:val="center"/>
          </w:tcPr>
          <w:p w14:paraId="4B3F5B2A" w14:textId="77777777" w:rsidR="00A37493" w:rsidRPr="00C80D3A" w:rsidRDefault="00A37493" w:rsidP="003401A7">
            <w:pPr>
              <w:keepNext/>
              <w:contextualSpacing/>
              <w:rPr>
                <w:b/>
                <w:bCs/>
                <w:sz w:val="26"/>
                <w:szCs w:val="26"/>
              </w:rPr>
            </w:pPr>
            <w:r w:rsidRPr="00C80D3A">
              <w:rPr>
                <w:b/>
                <w:bCs/>
                <w:color w:val="000000"/>
                <w:sz w:val="26"/>
                <w:szCs w:val="26"/>
              </w:rPr>
              <w:t>Peoples</w:t>
            </w:r>
          </w:p>
        </w:tc>
        <w:tc>
          <w:tcPr>
            <w:tcW w:w="1819" w:type="dxa"/>
            <w:vAlign w:val="center"/>
          </w:tcPr>
          <w:p w14:paraId="58994781" w14:textId="77777777" w:rsidR="00A37493" w:rsidRPr="00C80D3A" w:rsidRDefault="00A37493" w:rsidP="003401A7">
            <w:pPr>
              <w:keepNext/>
              <w:contextualSpacing/>
              <w:jc w:val="center"/>
              <w:rPr>
                <w:sz w:val="26"/>
                <w:szCs w:val="26"/>
              </w:rPr>
            </w:pPr>
            <w:r w:rsidRPr="00C80D3A">
              <w:rPr>
                <w:sz w:val="26"/>
                <w:szCs w:val="26"/>
              </w:rPr>
              <w:t>$9,464,197</w:t>
            </w:r>
          </w:p>
        </w:tc>
        <w:tc>
          <w:tcPr>
            <w:tcW w:w="2672" w:type="dxa"/>
            <w:vAlign w:val="center"/>
          </w:tcPr>
          <w:p w14:paraId="0B58F343" w14:textId="77777777" w:rsidR="00A37493" w:rsidRPr="00C80D3A" w:rsidRDefault="00A37493" w:rsidP="003401A7">
            <w:pPr>
              <w:keepNext/>
              <w:contextualSpacing/>
              <w:jc w:val="center"/>
              <w:rPr>
                <w:sz w:val="26"/>
                <w:szCs w:val="26"/>
              </w:rPr>
            </w:pPr>
            <w:r w:rsidRPr="00C80D3A">
              <w:rPr>
                <w:color w:val="000000"/>
                <w:sz w:val="26"/>
                <w:szCs w:val="26"/>
              </w:rPr>
              <w:t>315,567</w:t>
            </w:r>
          </w:p>
        </w:tc>
        <w:tc>
          <w:tcPr>
            <w:tcW w:w="2614" w:type="dxa"/>
            <w:vAlign w:val="center"/>
          </w:tcPr>
          <w:p w14:paraId="6E790B2F" w14:textId="77777777" w:rsidR="00A37493" w:rsidRPr="00C80D3A" w:rsidRDefault="00A37493" w:rsidP="003401A7">
            <w:pPr>
              <w:keepNext/>
              <w:contextualSpacing/>
              <w:jc w:val="center"/>
              <w:rPr>
                <w:sz w:val="26"/>
                <w:szCs w:val="26"/>
              </w:rPr>
            </w:pPr>
            <w:r w:rsidRPr="00C80D3A">
              <w:rPr>
                <w:sz w:val="26"/>
                <w:szCs w:val="26"/>
              </w:rPr>
              <w:t>$29.99</w:t>
            </w:r>
          </w:p>
        </w:tc>
      </w:tr>
      <w:tr w:rsidR="00A37493" w:rsidRPr="00C80D3A" w14:paraId="3AA7F527" w14:textId="77777777" w:rsidTr="009A3B4B">
        <w:trPr>
          <w:trHeight w:val="360"/>
          <w:jc w:val="center"/>
        </w:trPr>
        <w:tc>
          <w:tcPr>
            <w:tcW w:w="2245" w:type="dxa"/>
            <w:shd w:val="clear" w:color="auto" w:fill="auto"/>
            <w:vAlign w:val="center"/>
          </w:tcPr>
          <w:p w14:paraId="35B7CAC1" w14:textId="77777777" w:rsidR="00A37493" w:rsidRPr="00C80D3A" w:rsidRDefault="00A37493" w:rsidP="003401A7">
            <w:pPr>
              <w:keepNext/>
              <w:contextualSpacing/>
              <w:rPr>
                <w:b/>
                <w:bCs/>
                <w:sz w:val="26"/>
                <w:szCs w:val="26"/>
              </w:rPr>
            </w:pPr>
            <w:r w:rsidRPr="00C80D3A">
              <w:rPr>
                <w:b/>
                <w:bCs/>
                <w:color w:val="000000"/>
                <w:sz w:val="26"/>
                <w:szCs w:val="26"/>
              </w:rPr>
              <w:t>Peoples-Equitable</w:t>
            </w:r>
          </w:p>
        </w:tc>
        <w:tc>
          <w:tcPr>
            <w:tcW w:w="1819" w:type="dxa"/>
            <w:vAlign w:val="center"/>
          </w:tcPr>
          <w:p w14:paraId="66EA1CC9" w14:textId="77777777" w:rsidR="00A37493" w:rsidRPr="00C80D3A" w:rsidRDefault="00A37493" w:rsidP="003401A7">
            <w:pPr>
              <w:keepNext/>
              <w:contextualSpacing/>
              <w:jc w:val="center"/>
              <w:rPr>
                <w:sz w:val="26"/>
                <w:szCs w:val="26"/>
              </w:rPr>
            </w:pPr>
            <w:r w:rsidRPr="00C80D3A">
              <w:rPr>
                <w:sz w:val="26"/>
                <w:szCs w:val="26"/>
              </w:rPr>
              <w:t>$6,209,416</w:t>
            </w:r>
          </w:p>
        </w:tc>
        <w:tc>
          <w:tcPr>
            <w:tcW w:w="2672" w:type="dxa"/>
            <w:vAlign w:val="center"/>
          </w:tcPr>
          <w:p w14:paraId="3E5F4095" w14:textId="77777777" w:rsidR="00A37493" w:rsidRPr="00C80D3A" w:rsidRDefault="00A37493" w:rsidP="003401A7">
            <w:pPr>
              <w:keepNext/>
              <w:contextualSpacing/>
              <w:jc w:val="center"/>
              <w:rPr>
                <w:sz w:val="26"/>
                <w:szCs w:val="26"/>
              </w:rPr>
            </w:pPr>
            <w:r w:rsidRPr="00C80D3A">
              <w:rPr>
                <w:color w:val="000000"/>
                <w:sz w:val="26"/>
                <w:szCs w:val="26"/>
              </w:rPr>
              <w:t>234,921</w:t>
            </w:r>
          </w:p>
        </w:tc>
        <w:tc>
          <w:tcPr>
            <w:tcW w:w="2614" w:type="dxa"/>
            <w:vAlign w:val="center"/>
          </w:tcPr>
          <w:p w14:paraId="673D6DBE" w14:textId="77777777" w:rsidR="00A37493" w:rsidRPr="00C80D3A" w:rsidRDefault="00A37493" w:rsidP="003401A7">
            <w:pPr>
              <w:keepNext/>
              <w:contextualSpacing/>
              <w:jc w:val="center"/>
              <w:rPr>
                <w:sz w:val="26"/>
                <w:szCs w:val="26"/>
              </w:rPr>
            </w:pPr>
            <w:r w:rsidRPr="00C80D3A">
              <w:rPr>
                <w:sz w:val="26"/>
                <w:szCs w:val="26"/>
              </w:rPr>
              <w:t>$26.43</w:t>
            </w:r>
          </w:p>
        </w:tc>
      </w:tr>
      <w:tr w:rsidR="00A37493" w:rsidRPr="00C80D3A" w14:paraId="7AC604FF" w14:textId="77777777" w:rsidTr="009A3B4B">
        <w:trPr>
          <w:trHeight w:val="360"/>
          <w:jc w:val="center"/>
        </w:trPr>
        <w:tc>
          <w:tcPr>
            <w:tcW w:w="2245" w:type="dxa"/>
            <w:shd w:val="clear" w:color="auto" w:fill="auto"/>
            <w:vAlign w:val="center"/>
          </w:tcPr>
          <w:p w14:paraId="5874BEEB" w14:textId="60C793E3" w:rsidR="00A37493" w:rsidRPr="00C80D3A" w:rsidRDefault="00A37493" w:rsidP="003401A7">
            <w:pPr>
              <w:keepNext/>
              <w:contextualSpacing/>
              <w:rPr>
                <w:b/>
                <w:bCs/>
                <w:sz w:val="26"/>
                <w:szCs w:val="26"/>
              </w:rPr>
            </w:pPr>
            <w:r w:rsidRPr="00C80D3A">
              <w:rPr>
                <w:b/>
                <w:bCs/>
                <w:color w:val="000000"/>
                <w:sz w:val="26"/>
                <w:szCs w:val="26"/>
              </w:rPr>
              <w:t>PGW*</w:t>
            </w:r>
            <w:r w:rsidR="00A27A18">
              <w:rPr>
                <w:b/>
                <w:bCs/>
                <w:color w:val="000000"/>
                <w:sz w:val="26"/>
                <w:szCs w:val="26"/>
              </w:rPr>
              <w:t>*</w:t>
            </w:r>
          </w:p>
        </w:tc>
        <w:tc>
          <w:tcPr>
            <w:tcW w:w="1819" w:type="dxa"/>
            <w:vAlign w:val="center"/>
          </w:tcPr>
          <w:p w14:paraId="11CD30D7" w14:textId="77777777" w:rsidR="00A37493" w:rsidRPr="00C80D3A" w:rsidRDefault="00A37493" w:rsidP="003401A7">
            <w:pPr>
              <w:keepNext/>
              <w:contextualSpacing/>
              <w:jc w:val="center"/>
              <w:rPr>
                <w:sz w:val="26"/>
                <w:szCs w:val="26"/>
              </w:rPr>
            </w:pPr>
            <w:r w:rsidRPr="00C80D3A">
              <w:rPr>
                <w:sz w:val="26"/>
                <w:szCs w:val="26"/>
              </w:rPr>
              <w:t>$54,670,340</w:t>
            </w:r>
          </w:p>
        </w:tc>
        <w:tc>
          <w:tcPr>
            <w:tcW w:w="2672" w:type="dxa"/>
            <w:vAlign w:val="center"/>
          </w:tcPr>
          <w:p w14:paraId="07D75810" w14:textId="76D9DD01" w:rsidR="00A37493" w:rsidRPr="00C80D3A" w:rsidRDefault="00A27A18" w:rsidP="003401A7">
            <w:pPr>
              <w:keepNext/>
              <w:contextualSpacing/>
              <w:jc w:val="center"/>
              <w:rPr>
                <w:sz w:val="26"/>
                <w:szCs w:val="26"/>
              </w:rPr>
            </w:pPr>
            <w:r>
              <w:rPr>
                <w:color w:val="000000"/>
                <w:sz w:val="26"/>
                <w:szCs w:val="26"/>
              </w:rPr>
              <w:t>474,960</w:t>
            </w:r>
          </w:p>
        </w:tc>
        <w:tc>
          <w:tcPr>
            <w:tcW w:w="2614" w:type="dxa"/>
            <w:vAlign w:val="center"/>
          </w:tcPr>
          <w:p w14:paraId="6B5A1AE0" w14:textId="1F0076FC" w:rsidR="00A37493" w:rsidRPr="00C80D3A" w:rsidRDefault="00A37493" w:rsidP="003401A7">
            <w:pPr>
              <w:keepNext/>
              <w:contextualSpacing/>
              <w:jc w:val="center"/>
              <w:rPr>
                <w:sz w:val="26"/>
                <w:szCs w:val="26"/>
              </w:rPr>
            </w:pPr>
            <w:r w:rsidRPr="00C80D3A">
              <w:rPr>
                <w:sz w:val="26"/>
                <w:szCs w:val="26"/>
              </w:rPr>
              <w:t>$</w:t>
            </w:r>
            <w:r w:rsidR="00A27A18">
              <w:rPr>
                <w:sz w:val="26"/>
                <w:szCs w:val="26"/>
              </w:rPr>
              <w:t>81.26</w:t>
            </w:r>
          </w:p>
        </w:tc>
      </w:tr>
      <w:tr w:rsidR="00A27A18" w:rsidRPr="00C80D3A" w14:paraId="640AEB42" w14:textId="77777777" w:rsidTr="00A804D3">
        <w:trPr>
          <w:trHeight w:val="323"/>
          <w:jc w:val="center"/>
        </w:trPr>
        <w:tc>
          <w:tcPr>
            <w:tcW w:w="2245" w:type="dxa"/>
            <w:shd w:val="clear" w:color="auto" w:fill="auto"/>
            <w:vAlign w:val="center"/>
          </w:tcPr>
          <w:p w14:paraId="19BAB422" w14:textId="6CBDA814" w:rsidR="00A27A18" w:rsidRPr="00C80D3A" w:rsidRDefault="00A27A18" w:rsidP="00A804D3">
            <w:pPr>
              <w:keepNext/>
              <w:contextualSpacing/>
              <w:rPr>
                <w:b/>
                <w:bCs/>
                <w:sz w:val="26"/>
                <w:szCs w:val="26"/>
              </w:rPr>
            </w:pPr>
            <w:r w:rsidRPr="00C80D3A">
              <w:rPr>
                <w:b/>
                <w:bCs/>
                <w:color w:val="000000"/>
                <w:sz w:val="26"/>
                <w:szCs w:val="26"/>
              </w:rPr>
              <w:t>UGI South</w:t>
            </w:r>
          </w:p>
        </w:tc>
        <w:tc>
          <w:tcPr>
            <w:tcW w:w="1819" w:type="dxa"/>
            <w:vAlign w:val="center"/>
          </w:tcPr>
          <w:p w14:paraId="2A9D3BD1" w14:textId="77777777" w:rsidR="00A27A18" w:rsidRPr="00C80D3A" w:rsidRDefault="00A27A18" w:rsidP="00A804D3">
            <w:pPr>
              <w:contextualSpacing/>
              <w:jc w:val="center"/>
              <w:rPr>
                <w:sz w:val="26"/>
                <w:szCs w:val="26"/>
              </w:rPr>
            </w:pPr>
            <w:r w:rsidRPr="00C80D3A">
              <w:rPr>
                <w:sz w:val="26"/>
                <w:szCs w:val="26"/>
              </w:rPr>
              <w:t>$4,474,618</w:t>
            </w:r>
          </w:p>
        </w:tc>
        <w:tc>
          <w:tcPr>
            <w:tcW w:w="2672" w:type="dxa"/>
            <w:vAlign w:val="center"/>
          </w:tcPr>
          <w:p w14:paraId="6D0C94FE" w14:textId="77777777" w:rsidR="00A27A18" w:rsidRPr="00C80D3A" w:rsidRDefault="00A27A18" w:rsidP="00A804D3">
            <w:pPr>
              <w:contextualSpacing/>
              <w:jc w:val="center"/>
              <w:rPr>
                <w:sz w:val="26"/>
                <w:szCs w:val="26"/>
              </w:rPr>
            </w:pPr>
            <w:r w:rsidRPr="00C80D3A">
              <w:rPr>
                <w:color w:val="000000"/>
                <w:sz w:val="26"/>
                <w:szCs w:val="26"/>
              </w:rPr>
              <w:t>344,394</w:t>
            </w:r>
          </w:p>
        </w:tc>
        <w:tc>
          <w:tcPr>
            <w:tcW w:w="2614" w:type="dxa"/>
            <w:vAlign w:val="center"/>
          </w:tcPr>
          <w:p w14:paraId="16BCCCD6" w14:textId="77777777" w:rsidR="00A27A18" w:rsidRPr="00C80D3A" w:rsidRDefault="00A27A18" w:rsidP="00A804D3">
            <w:pPr>
              <w:contextualSpacing/>
              <w:jc w:val="center"/>
              <w:rPr>
                <w:sz w:val="26"/>
                <w:szCs w:val="26"/>
              </w:rPr>
            </w:pPr>
            <w:r w:rsidRPr="00C80D3A">
              <w:rPr>
                <w:sz w:val="26"/>
                <w:szCs w:val="26"/>
              </w:rPr>
              <w:t>$12.99</w:t>
            </w:r>
          </w:p>
        </w:tc>
      </w:tr>
      <w:tr w:rsidR="00A27A18" w:rsidRPr="00C80D3A" w14:paraId="26881589" w14:textId="77777777" w:rsidTr="009A3B4B">
        <w:trPr>
          <w:trHeight w:val="360"/>
          <w:jc w:val="center"/>
        </w:trPr>
        <w:tc>
          <w:tcPr>
            <w:tcW w:w="2245" w:type="dxa"/>
            <w:shd w:val="clear" w:color="auto" w:fill="auto"/>
            <w:vAlign w:val="center"/>
          </w:tcPr>
          <w:p w14:paraId="057918C3" w14:textId="697EF730" w:rsidR="00A27A18" w:rsidRPr="00C80D3A" w:rsidRDefault="00A804D3" w:rsidP="00F26988">
            <w:pPr>
              <w:keepNext/>
              <w:contextualSpacing/>
              <w:rPr>
                <w:b/>
                <w:bCs/>
                <w:color w:val="000000"/>
                <w:sz w:val="26"/>
                <w:szCs w:val="26"/>
              </w:rPr>
            </w:pPr>
            <w:r>
              <w:rPr>
                <w:b/>
                <w:bCs/>
                <w:sz w:val="26"/>
                <w:szCs w:val="26"/>
              </w:rPr>
              <w:t>UGI North</w:t>
            </w:r>
          </w:p>
        </w:tc>
        <w:tc>
          <w:tcPr>
            <w:tcW w:w="1819" w:type="dxa"/>
            <w:vAlign w:val="center"/>
          </w:tcPr>
          <w:p w14:paraId="11B7A2F8" w14:textId="684988D4" w:rsidR="00A27A18" w:rsidRPr="00C80D3A" w:rsidRDefault="00A27A18" w:rsidP="003401A7">
            <w:pPr>
              <w:contextualSpacing/>
              <w:jc w:val="center"/>
              <w:rPr>
                <w:sz w:val="26"/>
                <w:szCs w:val="26"/>
              </w:rPr>
            </w:pPr>
            <w:r>
              <w:rPr>
                <w:sz w:val="26"/>
                <w:szCs w:val="26"/>
              </w:rPr>
              <w:t>$3,055,613</w:t>
            </w:r>
          </w:p>
        </w:tc>
        <w:tc>
          <w:tcPr>
            <w:tcW w:w="2672" w:type="dxa"/>
            <w:vAlign w:val="center"/>
          </w:tcPr>
          <w:p w14:paraId="4CF3CB6D" w14:textId="6C7D04A6" w:rsidR="00A27A18" w:rsidRPr="00C80D3A" w:rsidRDefault="00A27A18" w:rsidP="003401A7">
            <w:pPr>
              <w:contextualSpacing/>
              <w:jc w:val="center"/>
              <w:rPr>
                <w:color w:val="000000"/>
                <w:sz w:val="26"/>
                <w:szCs w:val="26"/>
              </w:rPr>
            </w:pPr>
            <w:r>
              <w:rPr>
                <w:color w:val="000000"/>
                <w:sz w:val="26"/>
                <w:szCs w:val="26"/>
              </w:rPr>
              <w:t>148,653</w:t>
            </w:r>
          </w:p>
        </w:tc>
        <w:tc>
          <w:tcPr>
            <w:tcW w:w="2614" w:type="dxa"/>
            <w:vAlign w:val="center"/>
          </w:tcPr>
          <w:p w14:paraId="3FCFEB71" w14:textId="6BDFCB96" w:rsidR="00A27A18" w:rsidRPr="00C80D3A" w:rsidRDefault="00A27A18" w:rsidP="003401A7">
            <w:pPr>
              <w:contextualSpacing/>
              <w:jc w:val="center"/>
              <w:rPr>
                <w:sz w:val="26"/>
                <w:szCs w:val="26"/>
              </w:rPr>
            </w:pPr>
            <w:r>
              <w:rPr>
                <w:sz w:val="26"/>
                <w:szCs w:val="26"/>
              </w:rPr>
              <w:t>$20.56</w:t>
            </w:r>
          </w:p>
        </w:tc>
      </w:tr>
    </w:tbl>
    <w:p w14:paraId="45400ED0" w14:textId="2BFA4D0F" w:rsidR="00A27A18" w:rsidRDefault="00A27A18" w:rsidP="00A37493">
      <w:pPr>
        <w:spacing w:after="0"/>
        <w:contextualSpacing/>
        <w:rPr>
          <w:rFonts w:ascii="Times New Roman" w:hAnsi="Times New Roman" w:cs="Times New Roman"/>
        </w:rPr>
      </w:pPr>
      <w:r w:rsidRPr="00457872">
        <w:rPr>
          <w:rFonts w:ascii="Times New Roman" w:hAnsi="Times New Roman" w:cs="Times New Roman"/>
        </w:rPr>
        <w:t>*PECO-Gas and PGW recover universal costs from all residential customers, including CAP participants.</w:t>
      </w:r>
    </w:p>
    <w:p w14:paraId="2BFFAE0D" w14:textId="3E2CC9F0" w:rsidR="003532BE" w:rsidRPr="00457872" w:rsidRDefault="00F84876" w:rsidP="00BE36CC">
      <w:pPr>
        <w:spacing w:after="0" w:line="240" w:lineRule="auto"/>
        <w:contextualSpacing/>
        <w:rPr>
          <w:rFonts w:ascii="Times New Roman" w:hAnsi="Times New Roman" w:cs="Times New Roman"/>
        </w:rPr>
      </w:pPr>
      <w:r w:rsidRPr="00457872">
        <w:rPr>
          <w:rFonts w:ascii="Times New Roman" w:hAnsi="Times New Roman" w:cs="Times New Roman"/>
        </w:rPr>
        <w:t>**In 2017, PGW residential customers paid 70</w:t>
      </w:r>
      <w:r>
        <w:rPr>
          <w:rFonts w:ascii="Times New Roman" w:hAnsi="Times New Roman" w:cs="Times New Roman"/>
        </w:rPr>
        <w:t>.</w:t>
      </w:r>
      <w:r w:rsidRPr="00457872">
        <w:rPr>
          <w:rFonts w:ascii="Times New Roman" w:hAnsi="Times New Roman" w:cs="Times New Roman"/>
        </w:rPr>
        <w:t>6%</w:t>
      </w:r>
      <w:r>
        <w:rPr>
          <w:rFonts w:ascii="Times New Roman" w:hAnsi="Times New Roman" w:cs="Times New Roman"/>
        </w:rPr>
        <w:t xml:space="preserve"> of universal service costs</w:t>
      </w:r>
      <w:r w:rsidRPr="00457872">
        <w:rPr>
          <w:rFonts w:ascii="Times New Roman" w:hAnsi="Times New Roman" w:cs="Times New Roman"/>
        </w:rPr>
        <w:t>, commercial customers paid 24.0%, industrial customers paid 2.0%, municipal service customers paid 2.1%, and Philadelphia Housing Authority (PHA)</w:t>
      </w:r>
      <w:r>
        <w:rPr>
          <w:rFonts w:ascii="Times New Roman" w:hAnsi="Times New Roman" w:cs="Times New Roman"/>
        </w:rPr>
        <w:t xml:space="preserve"> </w:t>
      </w:r>
      <w:r w:rsidRPr="00457872">
        <w:rPr>
          <w:rFonts w:ascii="Times New Roman" w:hAnsi="Times New Roman" w:cs="Times New Roman"/>
        </w:rPr>
        <w:t>paid 1.3%</w:t>
      </w:r>
      <w:r>
        <w:rPr>
          <w:rFonts w:ascii="Times New Roman" w:hAnsi="Times New Roman" w:cs="Times New Roman"/>
        </w:rPr>
        <w:t>.</w:t>
      </w:r>
    </w:p>
    <w:p w14:paraId="3FE7D76D" w14:textId="77777777" w:rsidR="00752D53" w:rsidRDefault="00752D53" w:rsidP="00F26988">
      <w:pPr>
        <w:spacing w:after="0" w:line="360" w:lineRule="auto"/>
        <w:ind w:firstLine="720"/>
        <w:contextualSpacing/>
        <w:rPr>
          <w:rFonts w:ascii="Times New Roman" w:hAnsi="Times New Roman" w:cs="Times New Roman"/>
          <w:sz w:val="26"/>
          <w:szCs w:val="26"/>
        </w:rPr>
      </w:pPr>
    </w:p>
    <w:p w14:paraId="290470DD" w14:textId="58CC4949" w:rsidR="00A37493" w:rsidRPr="00C80D3A" w:rsidRDefault="00A37493" w:rsidP="00A37493">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NGDC annual universal service costs ranged from $1</w:t>
      </w:r>
      <w:r w:rsidR="00A27A18">
        <w:rPr>
          <w:rFonts w:ascii="Times New Roman" w:hAnsi="Times New Roman" w:cs="Times New Roman"/>
          <w:sz w:val="26"/>
          <w:szCs w:val="26"/>
        </w:rPr>
        <w:t>0</w:t>
      </w:r>
      <w:r w:rsidRPr="00C80D3A">
        <w:rPr>
          <w:rFonts w:ascii="Times New Roman" w:hAnsi="Times New Roman" w:cs="Times New Roman"/>
          <w:sz w:val="26"/>
          <w:szCs w:val="26"/>
        </w:rPr>
        <w:t xml:space="preserve"> to $</w:t>
      </w:r>
      <w:r w:rsidR="00A27A18">
        <w:rPr>
          <w:rFonts w:ascii="Times New Roman" w:hAnsi="Times New Roman" w:cs="Times New Roman"/>
          <w:sz w:val="26"/>
          <w:szCs w:val="26"/>
        </w:rPr>
        <w:t>81</w:t>
      </w:r>
      <w:r w:rsidRPr="00C80D3A">
        <w:rPr>
          <w:rFonts w:ascii="Times New Roman" w:hAnsi="Times New Roman" w:cs="Times New Roman"/>
          <w:sz w:val="26"/>
          <w:szCs w:val="26"/>
        </w:rPr>
        <w:t xml:space="preserve"> per residential customer, over and above the cost of natural gas usage.  In Philadelphia, natural gas heating residential customers</w:t>
      </w:r>
      <w:r w:rsidR="00A27A18">
        <w:rPr>
          <w:rFonts w:ascii="Times New Roman" w:hAnsi="Times New Roman" w:cs="Times New Roman"/>
          <w:sz w:val="26"/>
          <w:szCs w:val="26"/>
        </w:rPr>
        <w:t>, including CAP participants,</w:t>
      </w:r>
      <w:r w:rsidRPr="00C80D3A">
        <w:rPr>
          <w:rFonts w:ascii="Times New Roman" w:hAnsi="Times New Roman" w:cs="Times New Roman"/>
          <w:sz w:val="26"/>
          <w:szCs w:val="26"/>
        </w:rPr>
        <w:t xml:space="preserve"> paid approximately a combined average of $</w:t>
      </w:r>
      <w:r w:rsidR="00A27A18">
        <w:rPr>
          <w:rFonts w:ascii="Times New Roman" w:hAnsi="Times New Roman" w:cs="Times New Roman"/>
          <w:sz w:val="26"/>
          <w:szCs w:val="26"/>
        </w:rPr>
        <w:t>135</w:t>
      </w:r>
      <w:r w:rsidRPr="00C80D3A">
        <w:rPr>
          <w:rFonts w:ascii="Times New Roman" w:hAnsi="Times New Roman" w:cs="Times New Roman"/>
          <w:sz w:val="26"/>
          <w:szCs w:val="26"/>
        </w:rPr>
        <w:t xml:space="preserve"> in 2017 ($</w:t>
      </w:r>
      <w:r w:rsidR="00A27A18">
        <w:rPr>
          <w:rFonts w:ascii="Times New Roman" w:hAnsi="Times New Roman" w:cs="Times New Roman"/>
          <w:sz w:val="26"/>
          <w:szCs w:val="26"/>
        </w:rPr>
        <w:t>11.25</w:t>
      </w:r>
      <w:r w:rsidRPr="00C80D3A">
        <w:rPr>
          <w:rFonts w:ascii="Times New Roman" w:hAnsi="Times New Roman" w:cs="Times New Roman"/>
          <w:sz w:val="26"/>
          <w:szCs w:val="26"/>
        </w:rPr>
        <w:t xml:space="preserve"> monthly) to fund the universal service programs of PECO Electric ($</w:t>
      </w:r>
      <w:r w:rsidR="00A27A18">
        <w:rPr>
          <w:rFonts w:ascii="Times New Roman" w:hAnsi="Times New Roman" w:cs="Times New Roman"/>
          <w:sz w:val="26"/>
          <w:szCs w:val="26"/>
        </w:rPr>
        <w:t>53.55</w:t>
      </w:r>
      <w:r w:rsidRPr="00C80D3A">
        <w:rPr>
          <w:rFonts w:ascii="Times New Roman" w:hAnsi="Times New Roman" w:cs="Times New Roman"/>
          <w:sz w:val="26"/>
          <w:szCs w:val="26"/>
        </w:rPr>
        <w:t>) and PGW ($</w:t>
      </w:r>
      <w:r w:rsidR="00A27A18">
        <w:rPr>
          <w:rFonts w:ascii="Times New Roman" w:hAnsi="Times New Roman" w:cs="Times New Roman"/>
          <w:sz w:val="26"/>
          <w:szCs w:val="26"/>
        </w:rPr>
        <w:t>81.26</w:t>
      </w:r>
      <w:r w:rsidRPr="00C80D3A">
        <w:rPr>
          <w:rFonts w:ascii="Times New Roman" w:hAnsi="Times New Roman" w:cs="Times New Roman"/>
          <w:sz w:val="26"/>
          <w:szCs w:val="26"/>
        </w:rPr>
        <w:t>).</w:t>
      </w:r>
      <w:r w:rsidRPr="00C80D3A">
        <w:rPr>
          <w:rFonts w:ascii="Times New Roman" w:hAnsi="Times New Roman" w:cs="Times New Roman"/>
          <w:sz w:val="26"/>
          <w:szCs w:val="26"/>
          <w:vertAlign w:val="superscript"/>
        </w:rPr>
        <w:footnoteReference w:id="141"/>
      </w:r>
      <w:r w:rsidRPr="00C80D3A">
        <w:rPr>
          <w:rFonts w:ascii="Times New Roman" w:hAnsi="Times New Roman" w:cs="Times New Roman"/>
          <w:sz w:val="26"/>
          <w:szCs w:val="26"/>
        </w:rPr>
        <w:t xml:space="preserve">  </w:t>
      </w:r>
    </w:p>
    <w:p w14:paraId="2A6A9B50" w14:textId="77777777" w:rsidR="00A37493" w:rsidRPr="00C80D3A" w:rsidRDefault="00A37493" w:rsidP="00A37493">
      <w:pPr>
        <w:spacing w:after="0" w:line="360" w:lineRule="auto"/>
        <w:contextualSpacing/>
        <w:rPr>
          <w:rFonts w:ascii="Times New Roman" w:hAnsi="Times New Roman" w:cs="Times New Roman"/>
          <w:sz w:val="26"/>
          <w:szCs w:val="26"/>
        </w:rPr>
      </w:pPr>
    </w:p>
    <w:p w14:paraId="56D51B69" w14:textId="01220599" w:rsidR="00A37493" w:rsidRPr="00C80D3A" w:rsidRDefault="00A37493" w:rsidP="00A37493">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While it is true that universal service spending for natural gas utilities ha</w:t>
      </w:r>
      <w:r w:rsidR="00C2002E" w:rsidRPr="00C80D3A">
        <w:rPr>
          <w:rFonts w:ascii="Times New Roman" w:hAnsi="Times New Roman" w:cs="Times New Roman"/>
          <w:sz w:val="26"/>
          <w:szCs w:val="26"/>
        </w:rPr>
        <w:t>s</w:t>
      </w:r>
      <w:r w:rsidRPr="00C80D3A">
        <w:rPr>
          <w:rFonts w:ascii="Times New Roman" w:hAnsi="Times New Roman" w:cs="Times New Roman"/>
          <w:sz w:val="26"/>
          <w:szCs w:val="26"/>
        </w:rPr>
        <w:t xml:space="preserve"> decreased by 40%</w:t>
      </w:r>
      <w:r w:rsidR="003B1D77" w:rsidRPr="00C80D3A">
        <w:rPr>
          <w:rFonts w:ascii="Times New Roman" w:hAnsi="Times New Roman" w:cs="Times New Roman"/>
          <w:sz w:val="26"/>
          <w:szCs w:val="26"/>
          <w:vertAlign w:val="superscript"/>
        </w:rPr>
        <w:footnoteReference w:id="142"/>
      </w:r>
      <w:r w:rsidRPr="00C80D3A">
        <w:rPr>
          <w:rFonts w:ascii="Times New Roman" w:hAnsi="Times New Roman" w:cs="Times New Roman"/>
          <w:sz w:val="26"/>
          <w:szCs w:val="26"/>
        </w:rPr>
        <w:t xml:space="preserve"> from 2006 to 2017, </w:t>
      </w:r>
      <w:r w:rsidR="00A27A18">
        <w:rPr>
          <w:rFonts w:ascii="Times New Roman" w:hAnsi="Times New Roman" w:cs="Times New Roman"/>
          <w:sz w:val="26"/>
          <w:szCs w:val="26"/>
        </w:rPr>
        <w:t xml:space="preserve">universal service </w:t>
      </w:r>
      <w:r w:rsidRPr="00C80D3A">
        <w:rPr>
          <w:rFonts w:ascii="Times New Roman" w:hAnsi="Times New Roman" w:cs="Times New Roman"/>
          <w:sz w:val="26"/>
          <w:szCs w:val="26"/>
        </w:rPr>
        <w:t>spending for electric programs ha</w:t>
      </w:r>
      <w:r w:rsidR="003B1D77" w:rsidRPr="00C80D3A">
        <w:rPr>
          <w:rFonts w:ascii="Times New Roman" w:hAnsi="Times New Roman" w:cs="Times New Roman"/>
          <w:sz w:val="26"/>
          <w:szCs w:val="26"/>
        </w:rPr>
        <w:t>s</w:t>
      </w:r>
      <w:r w:rsidRPr="00C80D3A">
        <w:rPr>
          <w:rFonts w:ascii="Times New Roman" w:hAnsi="Times New Roman" w:cs="Times New Roman"/>
          <w:sz w:val="26"/>
          <w:szCs w:val="26"/>
        </w:rPr>
        <w:t xml:space="preserve"> increased by 99%</w:t>
      </w:r>
      <w:r w:rsidR="003B1D77" w:rsidRPr="00C80D3A">
        <w:rPr>
          <w:rFonts w:ascii="Times New Roman" w:hAnsi="Times New Roman" w:cs="Times New Roman"/>
          <w:sz w:val="26"/>
          <w:szCs w:val="26"/>
          <w:vertAlign w:val="superscript"/>
        </w:rPr>
        <w:footnoteReference w:id="143"/>
      </w:r>
      <w:r w:rsidRPr="00C80D3A">
        <w:rPr>
          <w:rFonts w:ascii="Times New Roman" w:hAnsi="Times New Roman" w:cs="Times New Roman"/>
          <w:sz w:val="26"/>
          <w:szCs w:val="26"/>
        </w:rPr>
        <w:t xml:space="preserve"> over the same time period.  The Energy Affordability Report observed that NGDC and EDC CAP costs are projected to increase annually through 2021 despite </w:t>
      </w:r>
      <w:r w:rsidR="00FC2FC7" w:rsidRPr="00C80D3A">
        <w:rPr>
          <w:rFonts w:ascii="Times New Roman" w:hAnsi="Times New Roman" w:cs="Times New Roman"/>
          <w:sz w:val="26"/>
          <w:szCs w:val="26"/>
        </w:rPr>
        <w:t xml:space="preserve">the </w:t>
      </w:r>
      <w:r w:rsidR="00A27A18">
        <w:rPr>
          <w:rFonts w:ascii="Times New Roman" w:hAnsi="Times New Roman" w:cs="Times New Roman"/>
          <w:sz w:val="26"/>
          <w:szCs w:val="26"/>
        </w:rPr>
        <w:t xml:space="preserve">natural gas </w:t>
      </w:r>
      <w:r w:rsidRPr="00C80D3A">
        <w:rPr>
          <w:rFonts w:ascii="Times New Roman" w:hAnsi="Times New Roman" w:cs="Times New Roman"/>
          <w:sz w:val="26"/>
          <w:szCs w:val="26"/>
        </w:rPr>
        <w:t xml:space="preserve">industry drop in CAP expenditures from 2012-2016.  The overall average costs recovered from each residential customer are also projected to increase through 2021, varying among the utilities and with CAP enrollment levels.  Annual EDC universal service costs recovered from residential customers are projected to increase by an additional $20 from 2017 to 2021.  </w:t>
      </w:r>
      <w:r w:rsidR="00951069" w:rsidRPr="00C80D3A">
        <w:rPr>
          <w:rFonts w:ascii="Times New Roman" w:eastAsia="Calibri" w:hAnsi="Times New Roman" w:cs="Times New Roman"/>
          <w:sz w:val="26"/>
          <w:szCs w:val="26"/>
        </w:rPr>
        <w:t xml:space="preserve">Energy Affordability </w:t>
      </w:r>
      <w:r w:rsidRPr="00C80D3A">
        <w:rPr>
          <w:rFonts w:ascii="Times New Roman" w:hAnsi="Times New Roman" w:cs="Times New Roman"/>
          <w:sz w:val="26"/>
          <w:szCs w:val="26"/>
        </w:rPr>
        <w:t>Report at 9, 94</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108.</w:t>
      </w:r>
    </w:p>
    <w:p w14:paraId="488972B2" w14:textId="77777777" w:rsidR="00A37493" w:rsidRPr="00C80D3A" w:rsidRDefault="00A37493" w:rsidP="00A37493">
      <w:pPr>
        <w:spacing w:after="0" w:line="360" w:lineRule="auto"/>
        <w:contextualSpacing/>
        <w:rPr>
          <w:rFonts w:ascii="Times New Roman" w:hAnsi="Times New Roman" w:cs="Times New Roman"/>
          <w:sz w:val="26"/>
          <w:szCs w:val="26"/>
        </w:rPr>
      </w:pPr>
    </w:p>
    <w:p w14:paraId="5C01F18D" w14:textId="08B23D96" w:rsidR="00A37493" w:rsidRPr="00C80D3A" w:rsidRDefault="00A37493" w:rsidP="00A37493">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Given the significant </w:t>
      </w:r>
      <w:r w:rsidR="00E863EB" w:rsidRPr="00C80D3A">
        <w:rPr>
          <w:rFonts w:ascii="Times New Roman" w:hAnsi="Times New Roman" w:cs="Times New Roman"/>
          <w:sz w:val="26"/>
          <w:szCs w:val="26"/>
        </w:rPr>
        <w:t xml:space="preserve">past </w:t>
      </w:r>
      <w:r w:rsidRPr="00C80D3A">
        <w:rPr>
          <w:rFonts w:ascii="Times New Roman" w:hAnsi="Times New Roman" w:cs="Times New Roman"/>
          <w:sz w:val="26"/>
          <w:szCs w:val="26"/>
        </w:rPr>
        <w:t>increase in EDC universal service spending – and the anticipated increase</w:t>
      </w:r>
      <w:r w:rsidR="00E863EB" w:rsidRPr="00C80D3A">
        <w:rPr>
          <w:rFonts w:ascii="Times New Roman" w:hAnsi="Times New Roman" w:cs="Times New Roman"/>
          <w:sz w:val="26"/>
          <w:szCs w:val="26"/>
        </w:rPr>
        <w:t>s</w:t>
      </w:r>
      <w:r w:rsidRPr="00C80D3A">
        <w:rPr>
          <w:rFonts w:ascii="Times New Roman" w:hAnsi="Times New Roman" w:cs="Times New Roman"/>
          <w:sz w:val="26"/>
          <w:szCs w:val="26"/>
        </w:rPr>
        <w:t xml:space="preserve"> in both EDC and NGDC universal spending through 2021 – </w:t>
      </w:r>
      <w:r w:rsidR="008D383E" w:rsidRPr="00C80D3A">
        <w:rPr>
          <w:rFonts w:ascii="Times New Roman" w:hAnsi="Times New Roman" w:cs="Times New Roman"/>
          <w:sz w:val="26"/>
          <w:szCs w:val="26"/>
        </w:rPr>
        <w:t xml:space="preserve">the Commission is concerned </w:t>
      </w:r>
      <w:r w:rsidR="00036F45" w:rsidRPr="00C80D3A">
        <w:rPr>
          <w:rFonts w:ascii="Times New Roman" w:hAnsi="Times New Roman" w:cs="Times New Roman"/>
          <w:sz w:val="26"/>
          <w:szCs w:val="26"/>
        </w:rPr>
        <w:t xml:space="preserve">that recovering </w:t>
      </w:r>
      <w:r w:rsidR="008241A3" w:rsidRPr="00C80D3A">
        <w:rPr>
          <w:rFonts w:ascii="Times New Roman" w:hAnsi="Times New Roman" w:cs="Times New Roman"/>
          <w:sz w:val="26"/>
          <w:szCs w:val="26"/>
        </w:rPr>
        <w:t xml:space="preserve">CAP costs (as well as other universal service costs) </w:t>
      </w:r>
      <w:r w:rsidR="003F6B71" w:rsidRPr="00C80D3A">
        <w:rPr>
          <w:rFonts w:ascii="Times New Roman" w:hAnsi="Times New Roman" w:cs="Times New Roman"/>
          <w:sz w:val="26"/>
          <w:szCs w:val="26"/>
        </w:rPr>
        <w:t xml:space="preserve">from </w:t>
      </w:r>
      <w:r w:rsidR="00036F45" w:rsidRPr="00C80D3A">
        <w:rPr>
          <w:rFonts w:ascii="Times New Roman" w:hAnsi="Times New Roman" w:cs="Times New Roman"/>
          <w:sz w:val="26"/>
          <w:szCs w:val="26"/>
        </w:rPr>
        <w:t xml:space="preserve">only residential ratepayers </w:t>
      </w:r>
      <w:r w:rsidR="003F6B71" w:rsidRPr="00C80D3A">
        <w:rPr>
          <w:rFonts w:ascii="Times New Roman" w:hAnsi="Times New Roman" w:cs="Times New Roman"/>
          <w:sz w:val="26"/>
          <w:szCs w:val="26"/>
        </w:rPr>
        <w:t>will</w:t>
      </w:r>
      <w:r w:rsidR="00036F45" w:rsidRPr="00C80D3A">
        <w:rPr>
          <w:rFonts w:ascii="Times New Roman" w:hAnsi="Times New Roman" w:cs="Times New Roman"/>
          <w:sz w:val="26"/>
          <w:szCs w:val="26"/>
        </w:rPr>
        <w:t xml:space="preserve"> </w:t>
      </w:r>
      <w:r w:rsidR="003F6B71" w:rsidRPr="00C80D3A">
        <w:rPr>
          <w:rFonts w:ascii="Times New Roman" w:hAnsi="Times New Roman" w:cs="Times New Roman"/>
          <w:sz w:val="26"/>
          <w:szCs w:val="26"/>
        </w:rPr>
        <w:t xml:space="preserve">continue to </w:t>
      </w:r>
      <w:r w:rsidR="00036F45" w:rsidRPr="00C80D3A">
        <w:rPr>
          <w:rFonts w:ascii="Times New Roman" w:hAnsi="Times New Roman" w:cs="Times New Roman"/>
          <w:sz w:val="26"/>
          <w:szCs w:val="26"/>
        </w:rPr>
        <w:t xml:space="preserve">make </w:t>
      </w:r>
      <w:r w:rsidRPr="00C80D3A">
        <w:rPr>
          <w:rFonts w:ascii="Times New Roman" w:hAnsi="Times New Roman" w:cs="Times New Roman"/>
          <w:sz w:val="26"/>
          <w:szCs w:val="26"/>
        </w:rPr>
        <w:t>electric and/or natural gas bill</w:t>
      </w:r>
      <w:r w:rsidR="009F1AC4" w:rsidRPr="00C80D3A">
        <w:rPr>
          <w:rFonts w:ascii="Times New Roman" w:hAnsi="Times New Roman" w:cs="Times New Roman"/>
          <w:sz w:val="26"/>
          <w:szCs w:val="26"/>
        </w:rPr>
        <w:t>s</w:t>
      </w:r>
      <w:r w:rsidRPr="00C80D3A">
        <w:rPr>
          <w:rFonts w:ascii="Times New Roman" w:hAnsi="Times New Roman" w:cs="Times New Roman"/>
          <w:sz w:val="26"/>
          <w:szCs w:val="26"/>
        </w:rPr>
        <w:t xml:space="preserve"> increasingly unaffordable fo</w:t>
      </w:r>
      <w:r w:rsidR="003F6B71" w:rsidRPr="00C80D3A">
        <w:rPr>
          <w:rFonts w:ascii="Times New Roman" w:hAnsi="Times New Roman" w:cs="Times New Roman"/>
          <w:sz w:val="26"/>
          <w:szCs w:val="26"/>
        </w:rPr>
        <w:t xml:space="preserve">r </w:t>
      </w:r>
      <w:r w:rsidRPr="00C80D3A">
        <w:rPr>
          <w:rFonts w:ascii="Times New Roman" w:hAnsi="Times New Roman" w:cs="Times New Roman"/>
          <w:sz w:val="26"/>
          <w:szCs w:val="26"/>
        </w:rPr>
        <w:t>non-CAP customers</w:t>
      </w:r>
      <w:r w:rsidR="008D383E" w:rsidRPr="00C80D3A">
        <w:rPr>
          <w:rFonts w:ascii="Times New Roman" w:hAnsi="Times New Roman" w:cs="Times New Roman"/>
          <w:sz w:val="26"/>
          <w:szCs w:val="26"/>
        </w:rPr>
        <w:t>, especially those</w:t>
      </w:r>
      <w:r w:rsidRPr="00C80D3A">
        <w:rPr>
          <w:rFonts w:ascii="Times New Roman" w:hAnsi="Times New Roman" w:cs="Times New Roman"/>
          <w:sz w:val="26"/>
          <w:szCs w:val="26"/>
        </w:rPr>
        <w:t xml:space="preserve"> with incomes between 151-200% of the FPIG. </w:t>
      </w:r>
    </w:p>
    <w:p w14:paraId="4D8D8487" w14:textId="20C5C697" w:rsidR="00A37493" w:rsidRPr="00C80D3A" w:rsidRDefault="00A37493" w:rsidP="00315DBC">
      <w:pPr>
        <w:spacing w:after="0" w:line="360" w:lineRule="auto"/>
        <w:contextualSpacing/>
        <w:rPr>
          <w:rFonts w:ascii="Times New Roman" w:hAnsi="Times New Roman" w:cs="Times New Roman"/>
          <w:sz w:val="26"/>
          <w:szCs w:val="26"/>
        </w:rPr>
      </w:pPr>
    </w:p>
    <w:p w14:paraId="30EE453F" w14:textId="221B0687" w:rsidR="00036F45" w:rsidRPr="00C80D3A" w:rsidRDefault="00036F45" w:rsidP="00036F45">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9F73D6" w:rsidRPr="00C80D3A">
        <w:rPr>
          <w:rFonts w:ascii="Times New Roman" w:hAnsi="Times New Roman" w:cs="Times New Roman"/>
          <w:sz w:val="26"/>
          <w:szCs w:val="26"/>
        </w:rPr>
        <w:t xml:space="preserve">Cogent arguments are articulated by the various stakeholders </w:t>
      </w:r>
      <w:r w:rsidR="00D107F8" w:rsidRPr="00C80D3A">
        <w:rPr>
          <w:rFonts w:ascii="Times New Roman" w:hAnsi="Times New Roman" w:cs="Times New Roman"/>
          <w:sz w:val="26"/>
          <w:szCs w:val="26"/>
        </w:rPr>
        <w:t xml:space="preserve">regarding the aspects of this issue.  </w:t>
      </w:r>
      <w:r w:rsidRPr="00C80D3A">
        <w:rPr>
          <w:rFonts w:ascii="Times New Roman" w:hAnsi="Times New Roman" w:cs="Times New Roman"/>
          <w:sz w:val="26"/>
          <w:szCs w:val="26"/>
        </w:rPr>
        <w:t xml:space="preserve">The Industrial Customers, PSU, and </w:t>
      </w:r>
      <w:r w:rsidR="00864ED6" w:rsidRPr="00C80D3A">
        <w:rPr>
          <w:rFonts w:ascii="Times New Roman" w:hAnsi="Times New Roman" w:cs="Times New Roman"/>
          <w:sz w:val="26"/>
          <w:szCs w:val="26"/>
        </w:rPr>
        <w:t>PPL</w:t>
      </w:r>
      <w:r w:rsidR="00D107F8" w:rsidRPr="00C80D3A">
        <w:rPr>
          <w:rFonts w:ascii="Times New Roman" w:hAnsi="Times New Roman" w:cs="Times New Roman"/>
          <w:sz w:val="26"/>
          <w:szCs w:val="26"/>
        </w:rPr>
        <w:t>, for example,</w:t>
      </w:r>
      <w:r w:rsidR="00864ED6" w:rsidRPr="00C80D3A">
        <w:rPr>
          <w:rFonts w:ascii="Times New Roman" w:hAnsi="Times New Roman" w:cs="Times New Roman"/>
          <w:sz w:val="26"/>
          <w:szCs w:val="26"/>
        </w:rPr>
        <w:t xml:space="preserve"> </w:t>
      </w:r>
      <w:r w:rsidRPr="00C80D3A">
        <w:rPr>
          <w:rFonts w:ascii="Times New Roman" w:hAnsi="Times New Roman" w:cs="Times New Roman"/>
          <w:sz w:val="26"/>
          <w:szCs w:val="26"/>
        </w:rPr>
        <w:t>argue that the principle of cost-causation dictates that residential customers should fund these programs because th</w:t>
      </w:r>
      <w:r w:rsidR="00D1020B" w:rsidRPr="00C80D3A">
        <w:rPr>
          <w:rFonts w:ascii="Times New Roman" w:hAnsi="Times New Roman" w:cs="Times New Roman"/>
          <w:sz w:val="26"/>
          <w:szCs w:val="26"/>
        </w:rPr>
        <w:t>at class</w:t>
      </w:r>
      <w:r w:rsidRPr="00C80D3A">
        <w:rPr>
          <w:rFonts w:ascii="Times New Roman" w:hAnsi="Times New Roman" w:cs="Times New Roman"/>
          <w:sz w:val="26"/>
          <w:szCs w:val="26"/>
        </w:rPr>
        <w:t xml:space="preserve"> </w:t>
      </w:r>
      <w:r w:rsidR="00D1020B" w:rsidRPr="00C80D3A">
        <w:rPr>
          <w:rFonts w:ascii="Times New Roman" w:hAnsi="Times New Roman" w:cs="Times New Roman"/>
          <w:sz w:val="26"/>
          <w:szCs w:val="26"/>
        </w:rPr>
        <w:t xml:space="preserve">is </w:t>
      </w:r>
      <w:r w:rsidRPr="00C80D3A">
        <w:rPr>
          <w:rFonts w:ascii="Times New Roman" w:hAnsi="Times New Roman" w:cs="Times New Roman"/>
          <w:sz w:val="26"/>
          <w:szCs w:val="26"/>
        </w:rPr>
        <w:t xml:space="preserve">the only class that </w:t>
      </w:r>
      <w:r w:rsidR="00232722" w:rsidRPr="00C80D3A">
        <w:rPr>
          <w:rFonts w:ascii="Times New Roman" w:hAnsi="Times New Roman" w:cs="Times New Roman"/>
          <w:sz w:val="26"/>
          <w:szCs w:val="26"/>
        </w:rPr>
        <w:t>“</w:t>
      </w:r>
      <w:r w:rsidRPr="00C80D3A">
        <w:rPr>
          <w:rFonts w:ascii="Times New Roman" w:hAnsi="Times New Roman" w:cs="Times New Roman"/>
          <w:sz w:val="26"/>
          <w:szCs w:val="26"/>
        </w:rPr>
        <w:t>benefit</w:t>
      </w:r>
      <w:r w:rsidR="003F6B71" w:rsidRPr="00C80D3A">
        <w:rPr>
          <w:rFonts w:ascii="Times New Roman" w:hAnsi="Times New Roman" w:cs="Times New Roman"/>
          <w:sz w:val="26"/>
          <w:szCs w:val="26"/>
        </w:rPr>
        <w:t>s</w:t>
      </w:r>
      <w:r w:rsidR="00232722" w:rsidRPr="00C80D3A">
        <w:rPr>
          <w:rFonts w:ascii="Times New Roman" w:hAnsi="Times New Roman" w:cs="Times New Roman"/>
          <w:sz w:val="26"/>
          <w:szCs w:val="26"/>
        </w:rPr>
        <w:t>”</w:t>
      </w:r>
      <w:r w:rsidRPr="00C80D3A">
        <w:rPr>
          <w:rFonts w:ascii="Times New Roman" w:hAnsi="Times New Roman" w:cs="Times New Roman"/>
          <w:sz w:val="26"/>
          <w:szCs w:val="26"/>
        </w:rPr>
        <w:t xml:space="preserve"> from them.  </w:t>
      </w:r>
      <w:r w:rsidR="003F6B71" w:rsidRPr="00C80D3A">
        <w:rPr>
          <w:rFonts w:ascii="Times New Roman" w:hAnsi="Times New Roman" w:cs="Times New Roman"/>
          <w:sz w:val="26"/>
          <w:szCs w:val="26"/>
        </w:rPr>
        <w:t xml:space="preserve">On the other hand, </w:t>
      </w:r>
      <w:r w:rsidRPr="00C80D3A">
        <w:rPr>
          <w:rFonts w:ascii="Times New Roman" w:hAnsi="Times New Roman" w:cs="Times New Roman"/>
          <w:sz w:val="26"/>
          <w:szCs w:val="26"/>
        </w:rPr>
        <w:t>OCA and the Low Income Advocates</w:t>
      </w:r>
      <w:r w:rsidR="003F6B71" w:rsidRPr="00C80D3A">
        <w:rPr>
          <w:rFonts w:ascii="Times New Roman" w:hAnsi="Times New Roman" w:cs="Times New Roman"/>
          <w:sz w:val="26"/>
          <w:szCs w:val="26"/>
        </w:rPr>
        <w:t xml:space="preserve"> contend</w:t>
      </w:r>
      <w:r w:rsidRPr="00C80D3A">
        <w:rPr>
          <w:rFonts w:ascii="Times New Roman" w:hAnsi="Times New Roman" w:cs="Times New Roman"/>
          <w:sz w:val="26"/>
          <w:szCs w:val="26"/>
        </w:rPr>
        <w:t xml:space="preserve"> that the true “cost-causers” of universal service programs are the socio-economic conditions that create poverty, not residential ratepayers.  </w:t>
      </w:r>
    </w:p>
    <w:p w14:paraId="3FE34EC3" w14:textId="77777777" w:rsidR="00036F45" w:rsidRPr="00C80D3A" w:rsidRDefault="00036F45" w:rsidP="00036F45">
      <w:pPr>
        <w:spacing w:after="0" w:line="360" w:lineRule="auto"/>
        <w:contextualSpacing/>
        <w:rPr>
          <w:rFonts w:ascii="Times New Roman" w:hAnsi="Times New Roman" w:cs="Times New Roman"/>
          <w:sz w:val="26"/>
          <w:szCs w:val="26"/>
        </w:rPr>
      </w:pPr>
    </w:p>
    <w:p w14:paraId="0E51769E" w14:textId="1BC06A40" w:rsidR="00036F45" w:rsidRPr="00C80D3A" w:rsidRDefault="00036F45" w:rsidP="002D382F">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In its 1992 </w:t>
      </w:r>
      <w:r w:rsidRPr="00C80D3A">
        <w:rPr>
          <w:rFonts w:ascii="Times New Roman" w:hAnsi="Times New Roman" w:cs="Times New Roman"/>
          <w:i/>
          <w:sz w:val="26"/>
          <w:szCs w:val="26"/>
        </w:rPr>
        <w:t>Final Report on The Investigation of Uncollectible Balances</w:t>
      </w:r>
      <w:r w:rsidRPr="00C80D3A">
        <w:rPr>
          <w:rStyle w:val="FootnoteReference"/>
          <w:rFonts w:ascii="Times New Roman" w:hAnsi="Times New Roman" w:cs="Times New Roman"/>
          <w:sz w:val="26"/>
          <w:szCs w:val="26"/>
        </w:rPr>
        <w:footnoteReference w:id="144"/>
      </w:r>
      <w:r w:rsidRPr="00C80D3A">
        <w:rPr>
          <w:rFonts w:ascii="Times New Roman" w:hAnsi="Times New Roman" w:cs="Times New Roman"/>
          <w:sz w:val="26"/>
          <w:szCs w:val="26"/>
        </w:rPr>
        <w:t xml:space="preserve"> at Docket No. I-</w:t>
      </w:r>
      <w:r w:rsidR="00EC1B0A">
        <w:rPr>
          <w:rFonts w:ascii="Times New Roman" w:hAnsi="Times New Roman" w:cs="Times New Roman"/>
          <w:sz w:val="26"/>
          <w:szCs w:val="26"/>
        </w:rPr>
        <w:t>00</w:t>
      </w:r>
      <w:r w:rsidRPr="00C80D3A">
        <w:rPr>
          <w:rFonts w:ascii="Times New Roman" w:hAnsi="Times New Roman" w:cs="Times New Roman"/>
          <w:sz w:val="26"/>
          <w:szCs w:val="26"/>
        </w:rPr>
        <w:t xml:space="preserve">900002, BCS also </w:t>
      </w:r>
      <w:r w:rsidR="00215087" w:rsidRPr="00C80D3A">
        <w:rPr>
          <w:rFonts w:ascii="Times New Roman" w:hAnsi="Times New Roman" w:cs="Times New Roman"/>
          <w:sz w:val="26"/>
          <w:szCs w:val="26"/>
        </w:rPr>
        <w:t xml:space="preserve">opined that </w:t>
      </w:r>
      <w:r w:rsidRPr="00C80D3A">
        <w:rPr>
          <w:rFonts w:ascii="Times New Roman" w:hAnsi="Times New Roman" w:cs="Times New Roman"/>
          <w:sz w:val="26"/>
          <w:szCs w:val="26"/>
        </w:rPr>
        <w:t xml:space="preserve">the origins and impacts of energy unaffordability are not limited to residential ratepayers: </w:t>
      </w:r>
    </w:p>
    <w:p w14:paraId="664054D3" w14:textId="77777777" w:rsidR="00036F45" w:rsidRPr="00C80D3A" w:rsidRDefault="00036F45" w:rsidP="000E76E2">
      <w:pPr>
        <w:spacing w:after="0" w:line="240" w:lineRule="auto"/>
        <w:contextualSpacing/>
        <w:rPr>
          <w:rFonts w:ascii="Times New Roman" w:hAnsi="Times New Roman" w:cs="Times New Roman"/>
          <w:sz w:val="26"/>
          <w:szCs w:val="26"/>
        </w:rPr>
      </w:pPr>
    </w:p>
    <w:p w14:paraId="4D032327" w14:textId="5DB13D2F" w:rsidR="00036F45" w:rsidRPr="00C80D3A" w:rsidRDefault="00036F45" w:rsidP="00036F45">
      <w:pPr>
        <w:spacing w:after="0"/>
        <w:ind w:left="720" w:right="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problem of the inability of some low income </w:t>
      </w:r>
      <w:r w:rsidR="00081DEE" w:rsidRPr="00C80D3A">
        <w:rPr>
          <w:rFonts w:ascii="Times New Roman" w:hAnsi="Times New Roman" w:cs="Times New Roman"/>
          <w:sz w:val="26"/>
          <w:szCs w:val="26"/>
        </w:rPr>
        <w:t>[</w:t>
      </w:r>
      <w:r w:rsidR="00081DEE" w:rsidRPr="00C80D3A">
        <w:rPr>
          <w:rFonts w:ascii="Times New Roman" w:hAnsi="Times New Roman" w:cs="Times New Roman"/>
          <w:i/>
          <w:sz w:val="26"/>
          <w:szCs w:val="26"/>
        </w:rPr>
        <w:t>sic</w:t>
      </w:r>
      <w:r w:rsidR="00081DEE" w:rsidRPr="00C80D3A">
        <w:rPr>
          <w:rFonts w:ascii="Times New Roman" w:hAnsi="Times New Roman" w:cs="Times New Roman"/>
          <w:sz w:val="26"/>
          <w:szCs w:val="26"/>
        </w:rPr>
        <w:t xml:space="preserve">] </w:t>
      </w:r>
      <w:r w:rsidRPr="00C80D3A">
        <w:rPr>
          <w:rFonts w:ascii="Times New Roman" w:hAnsi="Times New Roman" w:cs="Times New Roman"/>
          <w:sz w:val="26"/>
          <w:szCs w:val="26"/>
        </w:rPr>
        <w:t xml:space="preserve">customers to pay their entire home energy bills is caused primarily by societal economic conditions that are unrelated to any one rate class.  Until such time as sufficient public revenues are available to address the poverty/energy problem, the costs for [CAPs] should be viewed as a cost of operating as a public utility for which all ratepayers must share the cost.  [BCS] does not find any logic to the argument that because the larger societal economic conditions are negatively affecting the ability of some [low-income] residential customers to pay their bills, that the problem is somehow caused by the residential class and should therefore be paid for by that class.  </w:t>
      </w:r>
    </w:p>
    <w:p w14:paraId="0C687CB7" w14:textId="77777777" w:rsidR="00036F45" w:rsidRPr="00C80D3A" w:rsidRDefault="00036F45" w:rsidP="00077463">
      <w:pPr>
        <w:spacing w:after="0" w:line="240" w:lineRule="auto"/>
        <w:contextualSpacing/>
        <w:rPr>
          <w:rFonts w:ascii="Times New Roman" w:hAnsi="Times New Roman" w:cs="Times New Roman"/>
          <w:sz w:val="26"/>
          <w:szCs w:val="26"/>
        </w:rPr>
      </w:pPr>
    </w:p>
    <w:p w14:paraId="1F854163" w14:textId="546523D9" w:rsidR="00036F45" w:rsidRPr="00C80D3A" w:rsidRDefault="00036F45" w:rsidP="00F907BF">
      <w:pPr>
        <w:spacing w:after="0" w:line="360" w:lineRule="auto"/>
        <w:contextualSpacing/>
        <w:rPr>
          <w:rFonts w:ascii="Times New Roman" w:hAnsi="Times New Roman" w:cs="Times New Roman"/>
          <w:sz w:val="26"/>
          <w:szCs w:val="26"/>
        </w:rPr>
      </w:pPr>
      <w:r w:rsidRPr="00C80D3A">
        <w:rPr>
          <w:rFonts w:ascii="Times New Roman" w:hAnsi="Times New Roman" w:cs="Times New Roman"/>
          <w:i/>
          <w:sz w:val="26"/>
          <w:szCs w:val="26"/>
        </w:rPr>
        <w:t>Final Report on The Investigation of Uncollectible Balances</w:t>
      </w:r>
      <w:r w:rsidRPr="00C80D3A">
        <w:rPr>
          <w:rFonts w:ascii="Times New Roman" w:hAnsi="Times New Roman" w:cs="Times New Roman"/>
          <w:sz w:val="26"/>
          <w:szCs w:val="26"/>
        </w:rPr>
        <w:t xml:space="preserve"> at 157</w:t>
      </w:r>
      <w:r w:rsidR="00C22EF0" w:rsidRPr="00C80D3A">
        <w:rPr>
          <w:rFonts w:ascii="Times New Roman" w:hAnsi="Times New Roman" w:cs="Times New Roman"/>
          <w:sz w:val="26"/>
          <w:szCs w:val="26"/>
        </w:rPr>
        <w:t>–</w:t>
      </w:r>
      <w:r w:rsidRPr="00C80D3A">
        <w:rPr>
          <w:rFonts w:ascii="Times New Roman" w:hAnsi="Times New Roman" w:cs="Times New Roman"/>
          <w:sz w:val="26"/>
          <w:szCs w:val="26"/>
        </w:rPr>
        <w:t>158.</w:t>
      </w:r>
    </w:p>
    <w:p w14:paraId="562A42B0" w14:textId="6AFAD17B" w:rsidR="00036F45" w:rsidRPr="00C80D3A" w:rsidRDefault="00036F45" w:rsidP="00F907BF">
      <w:pPr>
        <w:spacing w:after="0" w:line="360" w:lineRule="auto"/>
        <w:contextualSpacing/>
        <w:rPr>
          <w:rFonts w:ascii="Times New Roman" w:hAnsi="Times New Roman" w:cs="Times New Roman"/>
          <w:sz w:val="26"/>
          <w:szCs w:val="26"/>
        </w:rPr>
      </w:pPr>
    </w:p>
    <w:p w14:paraId="0605231B" w14:textId="480ACB4E" w:rsidR="002D382F" w:rsidRPr="00C80D3A" w:rsidRDefault="002D382F" w:rsidP="00146C7D">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The Commission agrees that poverty, poor housing stock, and other factors that contribute to households struggling to afford utility service </w:t>
      </w:r>
      <w:r w:rsidR="00260807" w:rsidRPr="00C80D3A">
        <w:rPr>
          <w:rFonts w:ascii="Times New Roman" w:hAnsi="Times New Roman" w:cs="Times New Roman"/>
          <w:sz w:val="26"/>
          <w:szCs w:val="26"/>
        </w:rPr>
        <w:t>are</w:t>
      </w:r>
      <w:r w:rsidRPr="00C80D3A">
        <w:rPr>
          <w:rFonts w:ascii="Times New Roman" w:hAnsi="Times New Roman" w:cs="Times New Roman"/>
          <w:sz w:val="26"/>
          <w:szCs w:val="26"/>
        </w:rPr>
        <w:t xml:space="preserve"> not just “residential class” problem</w:t>
      </w:r>
      <w:r w:rsidR="00260807" w:rsidRPr="00C80D3A">
        <w:rPr>
          <w:rFonts w:ascii="Times New Roman" w:hAnsi="Times New Roman" w:cs="Times New Roman"/>
          <w:sz w:val="26"/>
          <w:szCs w:val="26"/>
        </w:rPr>
        <w:t>s</w:t>
      </w:r>
      <w:r w:rsidRPr="00C80D3A">
        <w:rPr>
          <w:rFonts w:ascii="Times New Roman" w:hAnsi="Times New Roman" w:cs="Times New Roman"/>
          <w:sz w:val="26"/>
          <w:szCs w:val="26"/>
        </w:rPr>
        <w:t xml:space="preserve">.  </w:t>
      </w:r>
      <w:r w:rsidR="007C041A" w:rsidRPr="00C80D3A">
        <w:rPr>
          <w:rFonts w:ascii="Times New Roman" w:hAnsi="Times New Roman" w:cs="Times New Roman"/>
          <w:sz w:val="26"/>
          <w:szCs w:val="26"/>
        </w:rPr>
        <w:t>Further, helping</w:t>
      </w:r>
      <w:r w:rsidRPr="00C80D3A">
        <w:rPr>
          <w:rFonts w:ascii="Times New Roman" w:hAnsi="Times New Roman" w:cs="Times New Roman"/>
          <w:sz w:val="26"/>
          <w:szCs w:val="26"/>
        </w:rPr>
        <w:t xml:space="preserve"> low-income families maintain utility service and remain in their homes</w:t>
      </w:r>
      <w:r w:rsidR="007C041A" w:rsidRPr="00C80D3A">
        <w:rPr>
          <w:rFonts w:ascii="Times New Roman" w:hAnsi="Times New Roman" w:cs="Times New Roman"/>
          <w:sz w:val="26"/>
          <w:szCs w:val="26"/>
        </w:rPr>
        <w:t xml:space="preserve"> is also a benefit to the economic climate of a community</w:t>
      </w:r>
      <w:r w:rsidRPr="00C80D3A">
        <w:rPr>
          <w:rFonts w:ascii="Times New Roman" w:hAnsi="Times New Roman" w:cs="Times New Roman"/>
          <w:sz w:val="26"/>
          <w:szCs w:val="26"/>
        </w:rPr>
        <w:t xml:space="preserve">.  </w:t>
      </w:r>
      <w:r w:rsidR="007C041A" w:rsidRPr="00C80D3A">
        <w:rPr>
          <w:rFonts w:ascii="Times New Roman" w:hAnsi="Times New Roman" w:cs="Times New Roman"/>
          <w:sz w:val="26"/>
          <w:szCs w:val="26"/>
        </w:rPr>
        <w:t>In approving PGW</w:t>
      </w:r>
      <w:r w:rsidR="001529C6">
        <w:rPr>
          <w:rFonts w:ascii="Times New Roman" w:hAnsi="Times New Roman" w:cs="Times New Roman"/>
          <w:sz w:val="26"/>
          <w:szCs w:val="26"/>
        </w:rPr>
        <w:t>’</w:t>
      </w:r>
      <w:r w:rsidR="007C041A" w:rsidRPr="00C80D3A">
        <w:rPr>
          <w:rFonts w:ascii="Times New Roman" w:hAnsi="Times New Roman" w:cs="Times New Roman"/>
          <w:sz w:val="26"/>
          <w:szCs w:val="26"/>
        </w:rPr>
        <w:t xml:space="preserve">s </w:t>
      </w:r>
      <w:r w:rsidRPr="00C80D3A">
        <w:rPr>
          <w:rFonts w:ascii="Times New Roman" w:hAnsi="Times New Roman" w:cs="Times New Roman"/>
          <w:sz w:val="26"/>
          <w:szCs w:val="26"/>
        </w:rPr>
        <w:t xml:space="preserve">practice of recovering such costs across </w:t>
      </w:r>
      <w:r w:rsidR="007C041A" w:rsidRPr="00C80D3A">
        <w:rPr>
          <w:rFonts w:ascii="Times New Roman" w:hAnsi="Times New Roman" w:cs="Times New Roman"/>
          <w:sz w:val="26"/>
          <w:szCs w:val="26"/>
        </w:rPr>
        <w:t xml:space="preserve">all </w:t>
      </w:r>
      <w:r w:rsidRPr="00C80D3A">
        <w:rPr>
          <w:rFonts w:ascii="Times New Roman" w:hAnsi="Times New Roman" w:cs="Times New Roman"/>
          <w:sz w:val="26"/>
          <w:szCs w:val="26"/>
        </w:rPr>
        <w:t xml:space="preserve">ratepayer classes, </w:t>
      </w:r>
      <w:r w:rsidR="007C041A" w:rsidRPr="00C80D3A">
        <w:rPr>
          <w:rFonts w:ascii="Times New Roman" w:hAnsi="Times New Roman" w:cs="Times New Roman"/>
          <w:sz w:val="26"/>
          <w:szCs w:val="26"/>
        </w:rPr>
        <w:t xml:space="preserve">we </w:t>
      </w:r>
      <w:r w:rsidRPr="00C80D3A">
        <w:rPr>
          <w:rFonts w:ascii="Times New Roman" w:hAnsi="Times New Roman" w:cs="Times New Roman"/>
          <w:sz w:val="26"/>
          <w:szCs w:val="26"/>
        </w:rPr>
        <w:t>not</w:t>
      </w:r>
      <w:r w:rsidR="007C041A" w:rsidRPr="00C80D3A">
        <w:rPr>
          <w:rFonts w:ascii="Times New Roman" w:hAnsi="Times New Roman" w:cs="Times New Roman"/>
          <w:sz w:val="26"/>
          <w:szCs w:val="26"/>
        </w:rPr>
        <w:t>ed</w:t>
      </w:r>
      <w:r w:rsidRPr="00C80D3A">
        <w:rPr>
          <w:rFonts w:ascii="Times New Roman" w:hAnsi="Times New Roman" w:cs="Times New Roman"/>
          <w:sz w:val="26"/>
          <w:szCs w:val="26"/>
        </w:rPr>
        <w:t xml:space="preserve"> that “all firm customers, including commercial and industrial customers, benefit indirectly from PGW</w:t>
      </w:r>
      <w:r w:rsidR="001529C6">
        <w:rPr>
          <w:rFonts w:ascii="Times New Roman" w:hAnsi="Times New Roman" w:cs="Times New Roman"/>
          <w:sz w:val="26"/>
          <w:szCs w:val="26"/>
        </w:rPr>
        <w:t>’</w:t>
      </w:r>
      <w:r w:rsidRPr="00C80D3A">
        <w:rPr>
          <w:rFonts w:ascii="Times New Roman" w:hAnsi="Times New Roman" w:cs="Times New Roman"/>
          <w:sz w:val="26"/>
          <w:szCs w:val="26"/>
        </w:rPr>
        <w:t>s extensive low-income assistance programs.”</w:t>
      </w:r>
      <w:r w:rsidRPr="00C80D3A">
        <w:rPr>
          <w:rFonts w:ascii="Times New Roman" w:hAnsi="Times New Roman" w:cs="Times New Roman"/>
          <w:sz w:val="26"/>
          <w:szCs w:val="26"/>
          <w:vertAlign w:val="superscript"/>
        </w:rPr>
        <w:footnoteReference w:id="145"/>
      </w:r>
      <w:r w:rsidRPr="00C80D3A">
        <w:rPr>
          <w:rFonts w:ascii="Times New Roman" w:hAnsi="Times New Roman" w:cs="Times New Roman"/>
          <w:sz w:val="26"/>
          <w:szCs w:val="26"/>
        </w:rPr>
        <w:t xml:space="preserve">  </w:t>
      </w:r>
      <w:r w:rsidR="007C041A" w:rsidRPr="00C80D3A">
        <w:rPr>
          <w:rFonts w:ascii="Times New Roman" w:hAnsi="Times New Roman" w:cs="Times New Roman"/>
          <w:i/>
          <w:iCs/>
          <w:sz w:val="26"/>
          <w:szCs w:val="26"/>
        </w:rPr>
        <w:t>Pa. PUC, et al. v. PGW</w:t>
      </w:r>
      <w:r w:rsidR="007C041A" w:rsidRPr="00C80D3A">
        <w:rPr>
          <w:rFonts w:ascii="Times New Roman" w:hAnsi="Times New Roman" w:cs="Times New Roman"/>
          <w:sz w:val="26"/>
          <w:szCs w:val="26"/>
        </w:rPr>
        <w:t>, Docket No. R-2017-2586783 (</w:t>
      </w:r>
      <w:r w:rsidR="009D7683" w:rsidRPr="00C80D3A">
        <w:rPr>
          <w:rFonts w:ascii="Times New Roman" w:hAnsi="Times New Roman" w:cs="Times New Roman"/>
          <w:sz w:val="26"/>
          <w:szCs w:val="26"/>
        </w:rPr>
        <w:t>o</w:t>
      </w:r>
      <w:r w:rsidR="007C041A" w:rsidRPr="00C80D3A">
        <w:rPr>
          <w:rFonts w:ascii="Times New Roman" w:hAnsi="Times New Roman" w:cs="Times New Roman"/>
          <w:sz w:val="26"/>
          <w:szCs w:val="26"/>
        </w:rPr>
        <w:t>rder entered on November 8, 2017)</w:t>
      </w:r>
      <w:r w:rsidR="007B28C2" w:rsidRPr="00C80D3A">
        <w:rPr>
          <w:rFonts w:ascii="Times New Roman" w:hAnsi="Times New Roman" w:cs="Times New Roman"/>
          <w:sz w:val="26"/>
          <w:szCs w:val="26"/>
        </w:rPr>
        <w:t>,</w:t>
      </w:r>
      <w:r w:rsidRPr="00C80D3A">
        <w:rPr>
          <w:rFonts w:ascii="Times New Roman" w:hAnsi="Times New Roman" w:cs="Times New Roman"/>
          <w:i/>
          <w:iCs/>
          <w:sz w:val="26"/>
          <w:szCs w:val="26"/>
        </w:rPr>
        <w:t xml:space="preserve"> </w:t>
      </w:r>
      <w:r w:rsidRPr="00C80D3A">
        <w:rPr>
          <w:rFonts w:ascii="Times New Roman" w:hAnsi="Times New Roman" w:cs="Times New Roman"/>
          <w:sz w:val="26"/>
          <w:szCs w:val="26"/>
        </w:rPr>
        <w:t>at 75.</w:t>
      </w:r>
      <w:r w:rsidR="008C2053" w:rsidRPr="00C80D3A">
        <w:rPr>
          <w:rFonts w:ascii="Times New Roman" w:hAnsi="Times New Roman" w:cs="Times New Roman"/>
          <w:sz w:val="26"/>
          <w:szCs w:val="26"/>
        </w:rPr>
        <w:t xml:space="preserve">  Clearly, there is a persuasive argument to be made that home heating and energy assistance for low-income households serves a public good whose responsibility is not merely other residential ratepayers.</w:t>
      </w:r>
    </w:p>
    <w:p w14:paraId="334351FF" w14:textId="369E085C" w:rsidR="00215087" w:rsidRPr="00C80D3A" w:rsidRDefault="002D382F" w:rsidP="00036F45">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 xml:space="preserve"> </w:t>
      </w:r>
    </w:p>
    <w:p w14:paraId="3C46C991" w14:textId="0F11D0ED" w:rsidR="00EA67C0" w:rsidRPr="00C80D3A" w:rsidRDefault="00765C4A" w:rsidP="00EA67C0">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While there are strong arguments </w:t>
      </w:r>
      <w:r w:rsidR="00690482" w:rsidRPr="00C80D3A">
        <w:rPr>
          <w:rFonts w:ascii="Times New Roman" w:hAnsi="Times New Roman" w:cs="Times New Roman"/>
          <w:sz w:val="26"/>
          <w:szCs w:val="26"/>
        </w:rPr>
        <w:t xml:space="preserve">to be made that non-residential classes do benefit from universal services, </w:t>
      </w:r>
      <w:r w:rsidR="00F05394" w:rsidRPr="00C80D3A">
        <w:rPr>
          <w:rFonts w:ascii="Times New Roman" w:hAnsi="Times New Roman" w:cs="Times New Roman"/>
          <w:sz w:val="26"/>
          <w:szCs w:val="26"/>
        </w:rPr>
        <w:t xml:space="preserve">there are also strong arguments to be made </w:t>
      </w:r>
      <w:r w:rsidR="00DF0328" w:rsidRPr="00C80D3A">
        <w:rPr>
          <w:rFonts w:ascii="Times New Roman" w:hAnsi="Times New Roman" w:cs="Times New Roman"/>
          <w:sz w:val="26"/>
          <w:szCs w:val="26"/>
        </w:rPr>
        <w:t>in favor of multi</w:t>
      </w:r>
      <w:r w:rsidR="009D0ED3" w:rsidRPr="00C80D3A">
        <w:rPr>
          <w:rFonts w:ascii="Times New Roman" w:hAnsi="Times New Roman" w:cs="Times New Roman"/>
          <w:sz w:val="26"/>
          <w:szCs w:val="26"/>
        </w:rPr>
        <w:t>-</w:t>
      </w:r>
      <w:r w:rsidR="00DF0328" w:rsidRPr="00C80D3A">
        <w:rPr>
          <w:rFonts w:ascii="Times New Roman" w:hAnsi="Times New Roman" w:cs="Times New Roman"/>
          <w:sz w:val="26"/>
          <w:szCs w:val="26"/>
        </w:rPr>
        <w:t xml:space="preserve">class </w:t>
      </w:r>
      <w:r w:rsidR="009D0ED3" w:rsidRPr="00C80D3A">
        <w:rPr>
          <w:rFonts w:ascii="Times New Roman" w:hAnsi="Times New Roman" w:cs="Times New Roman"/>
          <w:sz w:val="26"/>
          <w:szCs w:val="26"/>
        </w:rPr>
        <w:t xml:space="preserve">allocation even if one discounts any non-residential benefits.  </w:t>
      </w:r>
      <w:r w:rsidR="007C3825" w:rsidRPr="00C80D3A">
        <w:rPr>
          <w:rFonts w:ascii="Times New Roman" w:hAnsi="Times New Roman" w:cs="Times New Roman"/>
          <w:sz w:val="26"/>
          <w:szCs w:val="26"/>
        </w:rPr>
        <w:t>T</w:t>
      </w:r>
      <w:r w:rsidR="00EA67C0" w:rsidRPr="00C80D3A">
        <w:rPr>
          <w:rFonts w:ascii="Times New Roman" w:hAnsi="Times New Roman" w:cs="Times New Roman"/>
          <w:sz w:val="26"/>
          <w:szCs w:val="26"/>
        </w:rPr>
        <w:t xml:space="preserve">he cost of federal LIHEAP funding for home heating and energy assistance to low-income households is not funded only from individual taxpayer dollars but also from businesses and other entities.  </w:t>
      </w:r>
    </w:p>
    <w:p w14:paraId="556BBC7D" w14:textId="6CB7BFB7" w:rsidR="00506216" w:rsidRPr="00C80D3A" w:rsidRDefault="00506216" w:rsidP="00315DBC">
      <w:pPr>
        <w:spacing w:after="0" w:line="360" w:lineRule="auto"/>
        <w:contextualSpacing/>
        <w:rPr>
          <w:rFonts w:ascii="Times New Roman" w:hAnsi="Times New Roman" w:cs="Times New Roman"/>
          <w:sz w:val="26"/>
          <w:szCs w:val="26"/>
        </w:rPr>
      </w:pPr>
    </w:p>
    <w:p w14:paraId="6042B95A" w14:textId="169560B8" w:rsidR="008C2053" w:rsidRPr="00C80D3A" w:rsidRDefault="008C2053"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PSU has asserted that it is the </w:t>
      </w:r>
      <w:r w:rsidR="0021244B" w:rsidRPr="00C80D3A">
        <w:rPr>
          <w:rFonts w:ascii="Times New Roman" w:hAnsi="Times New Roman" w:cs="Times New Roman"/>
          <w:sz w:val="26"/>
          <w:szCs w:val="26"/>
        </w:rPr>
        <w:t xml:space="preserve">role of the General Assembly to determine funding for CAPs.  OSBA argues that universal service cost recovery should follow the Act 129 model </w:t>
      </w:r>
      <w:r w:rsidR="00D42A2F" w:rsidRPr="00C80D3A">
        <w:rPr>
          <w:rFonts w:ascii="Times New Roman" w:hAnsi="Times New Roman" w:cs="Times New Roman"/>
          <w:sz w:val="26"/>
          <w:szCs w:val="26"/>
        </w:rPr>
        <w:t>which mandates matching class</w:t>
      </w:r>
      <w:r w:rsidR="003906F0" w:rsidRPr="00C80D3A">
        <w:rPr>
          <w:rFonts w:ascii="Times New Roman" w:hAnsi="Times New Roman" w:cs="Times New Roman"/>
          <w:sz w:val="26"/>
          <w:szCs w:val="26"/>
        </w:rPr>
        <w:t xml:space="preserve"> costs to class benefits and discounts societal benefits.  </w:t>
      </w:r>
      <w:r w:rsidR="00D74A81" w:rsidRPr="00C80D3A">
        <w:rPr>
          <w:rFonts w:ascii="Times New Roman" w:hAnsi="Times New Roman" w:cs="Times New Roman"/>
          <w:sz w:val="26"/>
          <w:szCs w:val="26"/>
        </w:rPr>
        <w:t>We conclude, instead, that the Ge</w:t>
      </w:r>
      <w:r w:rsidR="00B40361" w:rsidRPr="00C80D3A">
        <w:rPr>
          <w:rFonts w:ascii="Times New Roman" w:hAnsi="Times New Roman" w:cs="Times New Roman"/>
          <w:sz w:val="26"/>
          <w:szCs w:val="26"/>
        </w:rPr>
        <w:t xml:space="preserve">neral Assembly has specifically assigned the role of </w:t>
      </w:r>
      <w:r w:rsidR="00F04A4A" w:rsidRPr="00C80D3A">
        <w:rPr>
          <w:rFonts w:ascii="Times New Roman" w:hAnsi="Times New Roman" w:cs="Times New Roman"/>
          <w:sz w:val="26"/>
          <w:szCs w:val="26"/>
        </w:rPr>
        <w:t xml:space="preserve">allocating CAP costs in particular and universal service costs in general to this Commission.  </w:t>
      </w:r>
      <w:r w:rsidR="000B201E" w:rsidRPr="00C80D3A">
        <w:rPr>
          <w:rFonts w:ascii="Times New Roman" w:hAnsi="Times New Roman" w:cs="Times New Roman"/>
          <w:sz w:val="26"/>
          <w:szCs w:val="26"/>
        </w:rPr>
        <w:t xml:space="preserve">Rate cases are the purview of this Commission, subject to </w:t>
      </w:r>
      <w:r w:rsidR="00105BD0" w:rsidRPr="00C80D3A">
        <w:rPr>
          <w:rFonts w:ascii="Times New Roman" w:hAnsi="Times New Roman" w:cs="Times New Roman"/>
          <w:sz w:val="26"/>
          <w:szCs w:val="26"/>
        </w:rPr>
        <w:t xml:space="preserve">appellate review.  Further, the Act 129 </w:t>
      </w:r>
      <w:r w:rsidR="00A83B7C" w:rsidRPr="00C80D3A">
        <w:rPr>
          <w:rFonts w:ascii="Times New Roman" w:hAnsi="Times New Roman" w:cs="Times New Roman"/>
          <w:sz w:val="26"/>
          <w:szCs w:val="26"/>
        </w:rPr>
        <w:t>restricti</w:t>
      </w:r>
      <w:r w:rsidR="00040AFB" w:rsidRPr="00C80D3A">
        <w:rPr>
          <w:rFonts w:ascii="Times New Roman" w:hAnsi="Times New Roman" w:cs="Times New Roman"/>
          <w:sz w:val="26"/>
          <w:szCs w:val="26"/>
        </w:rPr>
        <w:t>o</w:t>
      </w:r>
      <w:r w:rsidR="00A83B7C" w:rsidRPr="00C80D3A">
        <w:rPr>
          <w:rFonts w:ascii="Times New Roman" w:hAnsi="Times New Roman" w:cs="Times New Roman"/>
          <w:sz w:val="26"/>
          <w:szCs w:val="26"/>
        </w:rPr>
        <w:t>n</w:t>
      </w:r>
      <w:r w:rsidR="00040AFB" w:rsidRPr="00C80D3A">
        <w:rPr>
          <w:rFonts w:ascii="Times New Roman" w:hAnsi="Times New Roman" w:cs="Times New Roman"/>
          <w:sz w:val="26"/>
          <w:szCs w:val="26"/>
        </w:rPr>
        <w:t>s</w:t>
      </w:r>
      <w:r w:rsidR="00A83B7C" w:rsidRPr="00C80D3A">
        <w:rPr>
          <w:rFonts w:ascii="Times New Roman" w:hAnsi="Times New Roman" w:cs="Times New Roman"/>
          <w:sz w:val="26"/>
          <w:szCs w:val="26"/>
        </w:rPr>
        <w:t xml:space="preserve"> clearly indicate that the General Assembly can and will mandate </w:t>
      </w:r>
      <w:r w:rsidR="00A22EC8" w:rsidRPr="00C80D3A">
        <w:rPr>
          <w:rFonts w:ascii="Times New Roman" w:hAnsi="Times New Roman" w:cs="Times New Roman"/>
          <w:sz w:val="26"/>
          <w:szCs w:val="26"/>
        </w:rPr>
        <w:t>class restrictions when it determines that such restrictions are warranted.</w:t>
      </w:r>
      <w:r w:rsidR="00040AFB" w:rsidRPr="00C80D3A">
        <w:rPr>
          <w:rStyle w:val="FootnoteReference"/>
          <w:rFonts w:ascii="Times New Roman" w:hAnsi="Times New Roman" w:cs="Times New Roman"/>
          <w:sz w:val="26"/>
          <w:szCs w:val="26"/>
        </w:rPr>
        <w:footnoteReference w:id="146"/>
      </w:r>
      <w:r w:rsidR="00A22EC8" w:rsidRPr="00C80D3A">
        <w:rPr>
          <w:rFonts w:ascii="Times New Roman" w:hAnsi="Times New Roman" w:cs="Times New Roman"/>
          <w:sz w:val="26"/>
          <w:szCs w:val="26"/>
        </w:rPr>
        <w:t xml:space="preserve">  </w:t>
      </w:r>
      <w:r w:rsidR="00BE62DC" w:rsidRPr="00C80D3A">
        <w:rPr>
          <w:rFonts w:ascii="Times New Roman" w:hAnsi="Times New Roman" w:cs="Times New Roman"/>
          <w:sz w:val="26"/>
          <w:szCs w:val="26"/>
        </w:rPr>
        <w:t xml:space="preserve">In fact, there is specific justification </w:t>
      </w:r>
      <w:r w:rsidR="00A00EC1" w:rsidRPr="00C80D3A">
        <w:rPr>
          <w:rFonts w:ascii="Times New Roman" w:hAnsi="Times New Roman" w:cs="Times New Roman"/>
          <w:sz w:val="26"/>
          <w:szCs w:val="26"/>
        </w:rPr>
        <w:t xml:space="preserve">for the class restrictions in the Act 129 arena.  Act 129 programs are evaluated using a </w:t>
      </w:r>
      <w:r w:rsidR="00932AD5" w:rsidRPr="00C80D3A">
        <w:rPr>
          <w:rFonts w:ascii="Times New Roman" w:hAnsi="Times New Roman" w:cs="Times New Roman"/>
          <w:sz w:val="26"/>
          <w:szCs w:val="26"/>
        </w:rPr>
        <w:t>benefit/cost ratio pursuant to the Commonwealth</w:t>
      </w:r>
      <w:r w:rsidR="001529C6">
        <w:rPr>
          <w:rFonts w:ascii="Times New Roman" w:hAnsi="Times New Roman" w:cs="Times New Roman"/>
          <w:sz w:val="26"/>
          <w:szCs w:val="26"/>
        </w:rPr>
        <w:t>’</w:t>
      </w:r>
      <w:r w:rsidR="00932AD5" w:rsidRPr="00C80D3A">
        <w:rPr>
          <w:rFonts w:ascii="Times New Roman" w:hAnsi="Times New Roman" w:cs="Times New Roman"/>
          <w:sz w:val="26"/>
          <w:szCs w:val="26"/>
        </w:rPr>
        <w:t>s Tot</w:t>
      </w:r>
      <w:r w:rsidR="006F76D6" w:rsidRPr="00C80D3A">
        <w:rPr>
          <w:rFonts w:ascii="Times New Roman" w:hAnsi="Times New Roman" w:cs="Times New Roman"/>
          <w:sz w:val="26"/>
          <w:szCs w:val="26"/>
        </w:rPr>
        <w:t>a</w:t>
      </w:r>
      <w:r w:rsidR="00932AD5" w:rsidRPr="00C80D3A">
        <w:rPr>
          <w:rFonts w:ascii="Times New Roman" w:hAnsi="Times New Roman" w:cs="Times New Roman"/>
          <w:sz w:val="26"/>
          <w:szCs w:val="26"/>
        </w:rPr>
        <w:t xml:space="preserve">l </w:t>
      </w:r>
      <w:r w:rsidR="00014AD5" w:rsidRPr="00C80D3A">
        <w:rPr>
          <w:rFonts w:ascii="Times New Roman" w:hAnsi="Times New Roman" w:cs="Times New Roman"/>
          <w:sz w:val="26"/>
          <w:szCs w:val="26"/>
        </w:rPr>
        <w:t xml:space="preserve">Resource </w:t>
      </w:r>
      <w:r w:rsidR="00932AD5" w:rsidRPr="00C80D3A">
        <w:rPr>
          <w:rFonts w:ascii="Times New Roman" w:hAnsi="Times New Roman" w:cs="Times New Roman"/>
          <w:sz w:val="26"/>
          <w:szCs w:val="26"/>
        </w:rPr>
        <w:t xml:space="preserve">Cost </w:t>
      </w:r>
      <w:r w:rsidR="006F76D6" w:rsidRPr="00C80D3A">
        <w:rPr>
          <w:rFonts w:ascii="Times New Roman" w:hAnsi="Times New Roman" w:cs="Times New Roman"/>
          <w:sz w:val="26"/>
          <w:szCs w:val="26"/>
        </w:rPr>
        <w:t xml:space="preserve">(TRC) </w:t>
      </w:r>
      <w:r w:rsidR="00014AD5" w:rsidRPr="00C80D3A">
        <w:rPr>
          <w:rFonts w:ascii="Times New Roman" w:hAnsi="Times New Roman" w:cs="Times New Roman"/>
          <w:sz w:val="26"/>
          <w:szCs w:val="26"/>
        </w:rPr>
        <w:t>Test.</w:t>
      </w:r>
      <w:r w:rsidR="001201D4" w:rsidRPr="00C80D3A">
        <w:rPr>
          <w:rStyle w:val="FootnoteReference"/>
          <w:rFonts w:ascii="Times New Roman" w:hAnsi="Times New Roman" w:cs="Times New Roman"/>
          <w:sz w:val="26"/>
          <w:szCs w:val="26"/>
        </w:rPr>
        <w:footnoteReference w:id="147"/>
      </w:r>
      <w:r w:rsidR="00014AD5" w:rsidRPr="00C80D3A">
        <w:rPr>
          <w:rFonts w:ascii="Times New Roman" w:hAnsi="Times New Roman" w:cs="Times New Roman"/>
          <w:sz w:val="26"/>
          <w:szCs w:val="26"/>
        </w:rPr>
        <w:t xml:space="preserve">  </w:t>
      </w:r>
      <w:r w:rsidR="00407B8C" w:rsidRPr="00C80D3A">
        <w:rPr>
          <w:rFonts w:ascii="Times New Roman" w:hAnsi="Times New Roman" w:cs="Times New Roman"/>
          <w:sz w:val="26"/>
          <w:szCs w:val="26"/>
        </w:rPr>
        <w:t>Also, societal benefits</w:t>
      </w:r>
      <w:r w:rsidR="001B5784" w:rsidRPr="00C80D3A">
        <w:rPr>
          <w:rFonts w:ascii="Times New Roman" w:hAnsi="Times New Roman" w:cs="Times New Roman"/>
          <w:sz w:val="26"/>
          <w:szCs w:val="26"/>
        </w:rPr>
        <w:t>, specifically including universal service program costs,</w:t>
      </w:r>
      <w:r w:rsidR="006F76D6" w:rsidRPr="00C80D3A">
        <w:rPr>
          <w:rFonts w:ascii="Times New Roman" w:hAnsi="Times New Roman" w:cs="Times New Roman"/>
          <w:sz w:val="26"/>
          <w:szCs w:val="26"/>
        </w:rPr>
        <w:t xml:space="preserve"> </w:t>
      </w:r>
      <w:r w:rsidR="00167197" w:rsidRPr="00C80D3A">
        <w:rPr>
          <w:rFonts w:ascii="Times New Roman" w:hAnsi="Times New Roman" w:cs="Times New Roman"/>
          <w:sz w:val="26"/>
          <w:szCs w:val="26"/>
        </w:rPr>
        <w:t xml:space="preserve">are expressly excluded </w:t>
      </w:r>
      <w:r w:rsidR="004C18FD" w:rsidRPr="00C80D3A">
        <w:rPr>
          <w:rFonts w:ascii="Times New Roman" w:hAnsi="Times New Roman" w:cs="Times New Roman"/>
          <w:sz w:val="26"/>
          <w:szCs w:val="26"/>
        </w:rPr>
        <w:t xml:space="preserve">from the TRC Test calculation. </w:t>
      </w:r>
      <w:r w:rsidR="00407B8C" w:rsidRPr="00C80D3A">
        <w:rPr>
          <w:rFonts w:ascii="Times New Roman" w:hAnsi="Times New Roman" w:cs="Times New Roman"/>
          <w:sz w:val="26"/>
          <w:szCs w:val="26"/>
        </w:rPr>
        <w:t xml:space="preserve"> </w:t>
      </w:r>
      <w:r w:rsidR="00014AD5" w:rsidRPr="00C80D3A">
        <w:rPr>
          <w:rFonts w:ascii="Times New Roman" w:hAnsi="Times New Roman" w:cs="Times New Roman"/>
          <w:sz w:val="26"/>
          <w:szCs w:val="26"/>
        </w:rPr>
        <w:t xml:space="preserve">There </w:t>
      </w:r>
      <w:r w:rsidR="00E20F96" w:rsidRPr="00C80D3A">
        <w:rPr>
          <w:rFonts w:ascii="Times New Roman" w:hAnsi="Times New Roman" w:cs="Times New Roman"/>
          <w:sz w:val="26"/>
          <w:szCs w:val="26"/>
        </w:rPr>
        <w:t>are</w:t>
      </w:r>
      <w:r w:rsidR="00014AD5" w:rsidRPr="00C80D3A">
        <w:rPr>
          <w:rFonts w:ascii="Times New Roman" w:hAnsi="Times New Roman" w:cs="Times New Roman"/>
          <w:sz w:val="26"/>
          <w:szCs w:val="26"/>
        </w:rPr>
        <w:t xml:space="preserve"> no such test requirement</w:t>
      </w:r>
      <w:r w:rsidR="004C18FD" w:rsidRPr="00C80D3A">
        <w:rPr>
          <w:rFonts w:ascii="Times New Roman" w:hAnsi="Times New Roman" w:cs="Times New Roman"/>
          <w:sz w:val="26"/>
          <w:szCs w:val="26"/>
        </w:rPr>
        <w:t>s or exclusions</w:t>
      </w:r>
      <w:r w:rsidR="00014AD5" w:rsidRPr="00C80D3A">
        <w:rPr>
          <w:rFonts w:ascii="Times New Roman" w:hAnsi="Times New Roman" w:cs="Times New Roman"/>
          <w:sz w:val="26"/>
          <w:szCs w:val="26"/>
        </w:rPr>
        <w:t xml:space="preserve"> for CAPs or other universal service benefits.  </w:t>
      </w:r>
    </w:p>
    <w:p w14:paraId="5B538540" w14:textId="77777777" w:rsidR="008C2053" w:rsidRPr="00C80D3A" w:rsidRDefault="008C2053" w:rsidP="00315DBC">
      <w:pPr>
        <w:spacing w:after="0" w:line="360" w:lineRule="auto"/>
        <w:contextualSpacing/>
        <w:rPr>
          <w:rFonts w:ascii="Times New Roman" w:hAnsi="Times New Roman" w:cs="Times New Roman"/>
          <w:sz w:val="26"/>
          <w:szCs w:val="26"/>
        </w:rPr>
      </w:pPr>
    </w:p>
    <w:p w14:paraId="03AFF2CF" w14:textId="136023EC" w:rsidR="00A4377E" w:rsidRPr="00C80D3A" w:rsidRDefault="00EA67C0" w:rsidP="00DF3B18">
      <w:pPr>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OSBA and the Industrial Customers have argued that recovering costs of universal service programs from industrial and commercial customers may negatively impact businesses in the Commonwealth.  However, we have not seen evidence that the economic climate in Philadelphia has been negatively impacted as a result of universal service costs charged by PGW.  Further, </w:t>
      </w:r>
      <w:r w:rsidR="004E4E8B" w:rsidRPr="00C80D3A">
        <w:rPr>
          <w:rFonts w:ascii="Times New Roman" w:hAnsi="Times New Roman" w:cs="Times New Roman"/>
          <w:sz w:val="26"/>
          <w:szCs w:val="26"/>
        </w:rPr>
        <w:t>a</w:t>
      </w:r>
      <w:r w:rsidRPr="00C80D3A">
        <w:rPr>
          <w:rFonts w:ascii="Times New Roman" w:hAnsi="Times New Roman" w:cs="Times New Roman"/>
          <w:sz w:val="26"/>
          <w:szCs w:val="26"/>
        </w:rPr>
        <w:t xml:space="preserve">s noted by multiple parties in the </w:t>
      </w:r>
      <w:r w:rsidRPr="00C80D3A">
        <w:rPr>
          <w:rFonts w:ascii="Times New Roman" w:hAnsi="Times New Roman" w:cs="Times New Roman"/>
          <w:i/>
          <w:sz w:val="26"/>
          <w:szCs w:val="26"/>
        </w:rPr>
        <w:t>Review</w:t>
      </w:r>
      <w:r w:rsidRPr="00C80D3A">
        <w:rPr>
          <w:rFonts w:ascii="Times New Roman" w:hAnsi="Times New Roman" w:cs="Times New Roman"/>
          <w:sz w:val="26"/>
          <w:szCs w:val="26"/>
        </w:rPr>
        <w:t xml:space="preserve"> proceeding, many states recover the cost of utility low-income programs from all ratepayer classes, including </w:t>
      </w:r>
      <w:r w:rsidRPr="00C80D3A">
        <w:rPr>
          <w:rFonts w:ascii="Times New Roman" w:eastAsiaTheme="minorEastAsia" w:hAnsi="Times New Roman" w:cs="Times New Roman"/>
          <w:sz w:val="26"/>
          <w:szCs w:val="26"/>
        </w:rPr>
        <w:t>New York, New Jersey, Ohio, Illinois, Maine, and New Hampshire.</w:t>
      </w:r>
      <w:r w:rsidRPr="00C80D3A">
        <w:rPr>
          <w:rFonts w:ascii="Times New Roman" w:hAnsi="Times New Roman" w:cs="Times New Roman"/>
          <w:sz w:val="26"/>
          <w:szCs w:val="26"/>
          <w:vertAlign w:val="superscript"/>
        </w:rPr>
        <w:footnoteReference w:id="148"/>
      </w:r>
      <w:r w:rsidRPr="00C80D3A">
        <w:rPr>
          <w:rFonts w:ascii="Times New Roman" w:eastAsiaTheme="minorEastAsia" w:hAnsi="Times New Roman" w:cs="Times New Roman"/>
          <w:sz w:val="26"/>
          <w:szCs w:val="26"/>
        </w:rPr>
        <w:t xml:space="preserve">  </w:t>
      </w:r>
      <w:r w:rsidRPr="00C80D3A">
        <w:rPr>
          <w:rFonts w:ascii="Times New Roman" w:hAnsi="Times New Roman" w:cs="Times New Roman"/>
          <w:sz w:val="26"/>
          <w:szCs w:val="26"/>
        </w:rPr>
        <w:t xml:space="preserve">We are not aware that this practice has negatively impacted the business climate of any these states.  </w:t>
      </w:r>
    </w:p>
    <w:p w14:paraId="57E4E6F5" w14:textId="77777777" w:rsidR="00EA67C0" w:rsidRPr="00C80D3A" w:rsidRDefault="00EA67C0" w:rsidP="00315DBC">
      <w:pPr>
        <w:spacing w:after="0" w:line="360" w:lineRule="auto"/>
        <w:contextualSpacing/>
        <w:rPr>
          <w:rFonts w:ascii="Times New Roman" w:hAnsi="Times New Roman" w:cs="Times New Roman"/>
          <w:sz w:val="26"/>
          <w:szCs w:val="26"/>
        </w:rPr>
      </w:pPr>
    </w:p>
    <w:p w14:paraId="212AE081" w14:textId="2F1FD007"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2B15FE" w:rsidRPr="00C80D3A">
        <w:rPr>
          <w:rFonts w:ascii="Times New Roman" w:hAnsi="Times New Roman" w:cs="Times New Roman"/>
          <w:sz w:val="26"/>
          <w:szCs w:val="26"/>
        </w:rPr>
        <w:t>We note</w:t>
      </w:r>
      <w:r w:rsidRPr="00C80D3A">
        <w:rPr>
          <w:rFonts w:ascii="Times New Roman" w:hAnsi="Times New Roman" w:cs="Times New Roman"/>
          <w:sz w:val="26"/>
          <w:szCs w:val="26"/>
        </w:rPr>
        <w:t xml:space="preserve"> there is no statutory or appellate prohibition that limits the recovery of </w:t>
      </w:r>
      <w:r w:rsidR="00C71B0C" w:rsidRPr="00C80D3A">
        <w:rPr>
          <w:rFonts w:ascii="Times New Roman" w:hAnsi="Times New Roman" w:cs="Times New Roman"/>
          <w:sz w:val="26"/>
          <w:szCs w:val="26"/>
        </w:rPr>
        <w:t>CAP</w:t>
      </w:r>
      <w:r w:rsidRPr="00C80D3A">
        <w:rPr>
          <w:rFonts w:ascii="Times New Roman" w:hAnsi="Times New Roman" w:cs="Times New Roman"/>
          <w:sz w:val="26"/>
          <w:szCs w:val="26"/>
        </w:rPr>
        <w:t xml:space="preserve"> costs</w:t>
      </w:r>
      <w:r w:rsidR="00684C5E" w:rsidRPr="00C80D3A">
        <w:rPr>
          <w:rFonts w:ascii="Times New Roman" w:hAnsi="Times New Roman" w:cs="Times New Roman"/>
          <w:sz w:val="26"/>
          <w:szCs w:val="26"/>
        </w:rPr>
        <w:t>, whether specifically calculated or as part of total universal service costs,</w:t>
      </w:r>
      <w:r w:rsidRPr="00C80D3A">
        <w:rPr>
          <w:rFonts w:ascii="Times New Roman" w:hAnsi="Times New Roman" w:cs="Times New Roman"/>
          <w:sz w:val="26"/>
          <w:szCs w:val="26"/>
        </w:rPr>
        <w:t xml:space="preserve"> to funding from the residential class.</w:t>
      </w:r>
      <w:r w:rsidR="006548F7" w:rsidRPr="00C80D3A">
        <w:rPr>
          <w:rStyle w:val="FootnoteReference"/>
          <w:rFonts w:ascii="Times New Roman" w:hAnsi="Times New Roman" w:cs="Times New Roman"/>
          <w:sz w:val="26"/>
          <w:szCs w:val="26"/>
        </w:rPr>
        <w:footnoteReference w:id="149"/>
      </w:r>
      <w:r w:rsidRPr="00C80D3A">
        <w:rPr>
          <w:rFonts w:ascii="Times New Roman" w:hAnsi="Times New Roman" w:cs="Times New Roman"/>
          <w:sz w:val="26"/>
          <w:szCs w:val="26"/>
        </w:rPr>
        <w:t xml:space="preserve">  Universal service funding from non-residential classes, while not mandatory</w:t>
      </w:r>
      <w:r w:rsidR="00E20F96" w:rsidRPr="00C80D3A">
        <w:rPr>
          <w:rFonts w:ascii="Times New Roman" w:hAnsi="Times New Roman" w:cs="Times New Roman"/>
          <w:sz w:val="26"/>
          <w:szCs w:val="26"/>
        </w:rPr>
        <w:t>,</w:t>
      </w:r>
      <w:r w:rsidRPr="00C80D3A">
        <w:rPr>
          <w:rFonts w:ascii="Times New Roman" w:hAnsi="Times New Roman" w:cs="Times New Roman"/>
          <w:sz w:val="26"/>
          <w:szCs w:val="26"/>
        </w:rPr>
        <w:t xml:space="preserve"> is permissible:</w:t>
      </w:r>
    </w:p>
    <w:p w14:paraId="04F36738" w14:textId="77777777" w:rsidR="00506216" w:rsidRPr="00C80D3A" w:rsidRDefault="00506216" w:rsidP="00077463">
      <w:pPr>
        <w:spacing w:after="0" w:line="240" w:lineRule="auto"/>
        <w:contextualSpacing/>
        <w:rPr>
          <w:rFonts w:ascii="Times New Roman" w:hAnsi="Times New Roman" w:cs="Times New Roman"/>
          <w:sz w:val="26"/>
          <w:szCs w:val="26"/>
        </w:rPr>
      </w:pPr>
    </w:p>
    <w:p w14:paraId="08CB8539" w14:textId="77777777" w:rsidR="00506216" w:rsidRPr="00C80D3A" w:rsidRDefault="00506216" w:rsidP="00315DBC">
      <w:pPr>
        <w:spacing w:after="0"/>
        <w:ind w:left="720" w:right="1170" w:hanging="720"/>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Thus, under </w:t>
      </w:r>
      <w:r w:rsidRPr="00C80D3A">
        <w:rPr>
          <w:rFonts w:ascii="Times New Roman" w:hAnsi="Times New Roman" w:cs="Times New Roman"/>
          <w:i/>
          <w:sz w:val="26"/>
          <w:szCs w:val="26"/>
        </w:rPr>
        <w:t>Lloyd</w:t>
      </w:r>
      <w:r w:rsidRPr="00C80D3A">
        <w:rPr>
          <w:rFonts w:ascii="Times New Roman" w:hAnsi="Times New Roman" w:cs="Times New Roman"/>
          <w:sz w:val="26"/>
          <w:szCs w:val="26"/>
        </w:rPr>
        <w:t>, there is no statutory requirement that the funding for special programs come only from those who benefit from the programs.  However, the lack of such a requirement does not mean that funding for special programs must come from those who do not benefit.</w:t>
      </w:r>
    </w:p>
    <w:p w14:paraId="02C27FD4" w14:textId="77777777" w:rsidR="00506216" w:rsidRPr="00C80D3A" w:rsidRDefault="00506216" w:rsidP="00077463">
      <w:pPr>
        <w:spacing w:after="0" w:line="240" w:lineRule="auto"/>
        <w:ind w:left="720" w:right="1166" w:hanging="720"/>
        <w:contextualSpacing/>
        <w:rPr>
          <w:rFonts w:ascii="Times New Roman" w:hAnsi="Times New Roman" w:cs="Times New Roman"/>
          <w:sz w:val="26"/>
          <w:szCs w:val="26"/>
        </w:rPr>
      </w:pPr>
    </w:p>
    <w:p w14:paraId="62C39EB6" w14:textId="51294F29" w:rsidR="00914AEA" w:rsidRPr="00C80D3A" w:rsidRDefault="00506216" w:rsidP="00077463">
      <w:pPr>
        <w:spacing w:after="0" w:line="240" w:lineRule="auto"/>
        <w:contextualSpacing/>
        <w:rPr>
          <w:rFonts w:ascii="Times New Roman" w:hAnsi="Times New Roman" w:cs="Times New Roman"/>
          <w:sz w:val="26"/>
          <w:szCs w:val="26"/>
        </w:rPr>
      </w:pPr>
      <w:r w:rsidRPr="00C80D3A">
        <w:rPr>
          <w:rFonts w:ascii="Times New Roman" w:hAnsi="Times New Roman" w:cs="Times New Roman"/>
          <w:i/>
          <w:sz w:val="26"/>
          <w:szCs w:val="26"/>
        </w:rPr>
        <w:t>MEIUG v. Pa. PUC</w:t>
      </w:r>
      <w:r w:rsidRPr="00C80D3A">
        <w:rPr>
          <w:rFonts w:ascii="Times New Roman" w:hAnsi="Times New Roman" w:cs="Times New Roman"/>
          <w:sz w:val="26"/>
          <w:szCs w:val="26"/>
        </w:rPr>
        <w:t>, 960 A.2d 189</w:t>
      </w:r>
      <w:r w:rsidR="00B3778D">
        <w:rPr>
          <w:rFonts w:ascii="Times New Roman" w:hAnsi="Times New Roman" w:cs="Times New Roman"/>
          <w:sz w:val="26"/>
          <w:szCs w:val="26"/>
        </w:rPr>
        <w:t>, 202</w:t>
      </w:r>
      <w:r w:rsidRPr="00C80D3A">
        <w:rPr>
          <w:rFonts w:ascii="Times New Roman" w:hAnsi="Times New Roman" w:cs="Times New Roman"/>
          <w:sz w:val="26"/>
          <w:szCs w:val="26"/>
        </w:rPr>
        <w:t xml:space="preserve"> (2008), citing </w:t>
      </w:r>
      <w:r w:rsidRPr="00C80D3A">
        <w:rPr>
          <w:rFonts w:ascii="Times New Roman" w:hAnsi="Times New Roman" w:cs="Times New Roman"/>
          <w:i/>
          <w:sz w:val="26"/>
          <w:szCs w:val="26"/>
        </w:rPr>
        <w:t>Lloyd v. Pa. PUC</w:t>
      </w:r>
      <w:r w:rsidRPr="00C80D3A">
        <w:rPr>
          <w:rFonts w:ascii="Times New Roman" w:hAnsi="Times New Roman" w:cs="Times New Roman"/>
          <w:sz w:val="26"/>
          <w:szCs w:val="26"/>
        </w:rPr>
        <w:t>, 904 A.2d 1010 (Pa.</w:t>
      </w:r>
      <w:r w:rsidR="00077463" w:rsidRPr="00C80D3A">
        <w:rPr>
          <w:rFonts w:ascii="Times New Roman" w:hAnsi="Times New Roman" w:cs="Times New Roman"/>
          <w:sz w:val="26"/>
          <w:szCs w:val="26"/>
        </w:rPr>
        <w:t> </w:t>
      </w:r>
      <w:r w:rsidRPr="00C80D3A">
        <w:rPr>
          <w:rFonts w:ascii="Times New Roman" w:hAnsi="Times New Roman" w:cs="Times New Roman"/>
          <w:sz w:val="26"/>
          <w:szCs w:val="26"/>
        </w:rPr>
        <w:t>Cmwlth. 2006).</w:t>
      </w:r>
    </w:p>
    <w:p w14:paraId="7E6FA5A9" w14:textId="77777777" w:rsidR="00CD18A7" w:rsidRPr="00C80D3A" w:rsidRDefault="00CD18A7" w:rsidP="00315DBC">
      <w:pPr>
        <w:spacing w:after="0" w:line="360" w:lineRule="auto"/>
        <w:contextualSpacing/>
        <w:rPr>
          <w:rFonts w:ascii="Times New Roman" w:hAnsi="Times New Roman" w:cs="Times New Roman"/>
          <w:sz w:val="26"/>
          <w:szCs w:val="26"/>
        </w:rPr>
      </w:pPr>
    </w:p>
    <w:p w14:paraId="76DAAC3F" w14:textId="16D88C4A" w:rsidR="00A85991" w:rsidRDefault="00F8425C"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6548F7" w:rsidRPr="00C80D3A">
        <w:rPr>
          <w:rFonts w:ascii="Times New Roman" w:hAnsi="Times New Roman" w:cs="Times New Roman"/>
          <w:sz w:val="26"/>
          <w:szCs w:val="26"/>
        </w:rPr>
        <w:t xml:space="preserve">Consistent with the comments of the Low Income Advocates and OCA, the Commission </w:t>
      </w:r>
      <w:r w:rsidR="00CC59B3" w:rsidRPr="00C80D3A">
        <w:rPr>
          <w:rFonts w:ascii="Times New Roman" w:hAnsi="Times New Roman" w:cs="Times New Roman"/>
          <w:sz w:val="26"/>
          <w:szCs w:val="26"/>
        </w:rPr>
        <w:t xml:space="preserve">concludes that </w:t>
      </w:r>
      <w:r w:rsidR="006548F7" w:rsidRPr="00C80D3A">
        <w:rPr>
          <w:rFonts w:ascii="Times New Roman" w:hAnsi="Times New Roman" w:cs="Times New Roman"/>
          <w:sz w:val="26"/>
          <w:szCs w:val="26"/>
        </w:rPr>
        <w:t>the General Assembly clearly identified the public purpose of these programs in the Competition Acts by requiring that their costs be nonbypassable</w:t>
      </w:r>
      <w:r w:rsidR="000B4E8A" w:rsidRPr="00C80D3A">
        <w:rPr>
          <w:rFonts w:ascii="Times New Roman" w:hAnsi="Times New Roman" w:cs="Times New Roman"/>
          <w:sz w:val="26"/>
          <w:szCs w:val="26"/>
        </w:rPr>
        <w:t>”</w:t>
      </w:r>
      <w:r w:rsidR="000B4E8A" w:rsidRPr="00C80D3A">
        <w:rPr>
          <w:rStyle w:val="FootnoteReference"/>
          <w:rFonts w:ascii="Times New Roman" w:hAnsi="Times New Roman" w:cs="Times New Roman"/>
          <w:sz w:val="26"/>
          <w:szCs w:val="26"/>
        </w:rPr>
        <w:footnoteReference w:id="150"/>
      </w:r>
      <w:r w:rsidR="006548F7" w:rsidRPr="00C80D3A">
        <w:rPr>
          <w:rFonts w:ascii="Times New Roman" w:hAnsi="Times New Roman" w:cs="Times New Roman"/>
          <w:sz w:val="26"/>
          <w:szCs w:val="26"/>
        </w:rPr>
        <w:t xml:space="preserve"> when a customer switches energy providers.</w:t>
      </w:r>
    </w:p>
    <w:p w14:paraId="2DD5CB4F" w14:textId="7DE561BF" w:rsidR="00A85991" w:rsidRDefault="00A85991">
      <w:pPr>
        <w:rPr>
          <w:rFonts w:ascii="Times New Roman" w:hAnsi="Times New Roman" w:cs="Times New Roman"/>
          <w:b/>
          <w:bCs/>
          <w:sz w:val="26"/>
          <w:szCs w:val="26"/>
        </w:rPr>
      </w:pPr>
    </w:p>
    <w:p w14:paraId="69FC9D2A" w14:textId="47F219D5" w:rsidR="00E20F96" w:rsidRDefault="006C10C1" w:rsidP="00504E74">
      <w:pPr>
        <w:keepNext/>
        <w:spacing w:after="120" w:line="240" w:lineRule="auto"/>
        <w:contextualSpacing/>
        <w:rPr>
          <w:rFonts w:ascii="Times New Roman" w:hAnsi="Times New Roman" w:cs="Times New Roman"/>
          <w:b/>
          <w:bCs/>
          <w:sz w:val="26"/>
          <w:szCs w:val="26"/>
        </w:rPr>
      </w:pPr>
      <w:r w:rsidRPr="00A20145">
        <w:rPr>
          <w:rFonts w:ascii="Times New Roman" w:hAnsi="Times New Roman" w:cs="Times New Roman"/>
          <w:b/>
          <w:bCs/>
          <w:sz w:val="26"/>
          <w:szCs w:val="26"/>
        </w:rPr>
        <w:t>Resolution</w:t>
      </w:r>
      <w:r w:rsidR="00506216" w:rsidRPr="00A20145">
        <w:rPr>
          <w:rFonts w:ascii="Times New Roman" w:hAnsi="Times New Roman" w:cs="Times New Roman"/>
          <w:b/>
          <w:bCs/>
          <w:sz w:val="26"/>
          <w:szCs w:val="26"/>
        </w:rPr>
        <w:t xml:space="preserve">: </w:t>
      </w:r>
      <w:r w:rsidR="00E20F96" w:rsidRPr="00A20145">
        <w:rPr>
          <w:rFonts w:ascii="Times New Roman" w:hAnsi="Times New Roman" w:cs="Times New Roman"/>
          <w:b/>
          <w:bCs/>
          <w:sz w:val="26"/>
          <w:szCs w:val="26"/>
        </w:rPr>
        <w:t xml:space="preserve">Amend Section 69.265(1) – Program funding; </w:t>
      </w:r>
      <w:r w:rsidR="00BE08D1">
        <w:rPr>
          <w:rFonts w:ascii="Times New Roman" w:hAnsi="Times New Roman" w:cs="Times New Roman"/>
          <w:b/>
          <w:bCs/>
          <w:sz w:val="26"/>
          <w:szCs w:val="26"/>
        </w:rPr>
        <w:t>a</w:t>
      </w:r>
      <w:r w:rsidR="00E20F96" w:rsidRPr="00A20145">
        <w:rPr>
          <w:rFonts w:ascii="Times New Roman" w:hAnsi="Times New Roman" w:cs="Times New Roman"/>
          <w:b/>
          <w:bCs/>
          <w:sz w:val="26"/>
          <w:szCs w:val="26"/>
        </w:rPr>
        <w:t>dd Section 69.266(b) – Cost recovery.</w:t>
      </w:r>
    </w:p>
    <w:p w14:paraId="338AF99E" w14:textId="77777777" w:rsidR="00504E74" w:rsidRPr="00A20145" w:rsidRDefault="00504E74" w:rsidP="009A3B4B">
      <w:pPr>
        <w:keepNext/>
        <w:spacing w:after="120" w:line="240" w:lineRule="auto"/>
        <w:contextualSpacing/>
        <w:rPr>
          <w:rFonts w:ascii="Times New Roman" w:hAnsi="Times New Roman" w:cs="Times New Roman"/>
          <w:b/>
          <w:bCs/>
          <w:sz w:val="26"/>
          <w:szCs w:val="26"/>
        </w:rPr>
      </w:pPr>
    </w:p>
    <w:p w14:paraId="1D33B8BD" w14:textId="21596594" w:rsidR="00506216" w:rsidRDefault="00E20F9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r>
      <w:r w:rsidR="00116302" w:rsidRPr="00C80D3A">
        <w:rPr>
          <w:rFonts w:ascii="Times New Roman" w:hAnsi="Times New Roman" w:cs="Times New Roman"/>
          <w:sz w:val="26"/>
          <w:szCs w:val="26"/>
        </w:rPr>
        <w:t xml:space="preserve">This Order </w:t>
      </w:r>
      <w:r w:rsidR="003342FD" w:rsidRPr="00C80D3A">
        <w:rPr>
          <w:rFonts w:ascii="Times New Roman" w:hAnsi="Times New Roman" w:cs="Times New Roman"/>
          <w:sz w:val="26"/>
          <w:szCs w:val="26"/>
        </w:rPr>
        <w:t xml:space="preserve">amends </w:t>
      </w:r>
      <w:r w:rsidR="00116302" w:rsidRPr="00C80D3A">
        <w:rPr>
          <w:rFonts w:ascii="Times New Roman" w:hAnsi="Times New Roman" w:cs="Times New Roman"/>
          <w:sz w:val="26"/>
          <w:szCs w:val="26"/>
        </w:rPr>
        <w:t xml:space="preserve">the CAP Policy Statement as indicated in Annex </w:t>
      </w:r>
      <w:r w:rsidR="003342FD" w:rsidRPr="00C80D3A">
        <w:rPr>
          <w:rFonts w:ascii="Times New Roman" w:hAnsi="Times New Roman" w:cs="Times New Roman"/>
          <w:sz w:val="26"/>
          <w:szCs w:val="26"/>
        </w:rPr>
        <w:t>A</w:t>
      </w:r>
      <w:r w:rsidR="00116302" w:rsidRPr="00C80D3A">
        <w:rPr>
          <w:rFonts w:ascii="Times New Roman" w:hAnsi="Times New Roman" w:cs="Times New Roman"/>
          <w:sz w:val="26"/>
          <w:szCs w:val="26"/>
        </w:rPr>
        <w:t xml:space="preserve"> to address </w:t>
      </w:r>
      <w:r w:rsidR="007C4C5D" w:rsidRPr="00C80D3A">
        <w:rPr>
          <w:rFonts w:ascii="Times New Roman" w:hAnsi="Times New Roman" w:cs="Times New Roman"/>
          <w:sz w:val="26"/>
          <w:szCs w:val="26"/>
        </w:rPr>
        <w:t>recovery of CAP costs</w:t>
      </w:r>
      <w:r w:rsidR="00196901" w:rsidRPr="00C80D3A">
        <w:rPr>
          <w:rFonts w:ascii="Times New Roman" w:hAnsi="Times New Roman" w:cs="Times New Roman"/>
          <w:sz w:val="26"/>
          <w:szCs w:val="26"/>
        </w:rPr>
        <w:t>.</w:t>
      </w:r>
      <w:r w:rsidR="00116302" w:rsidRPr="00C80D3A">
        <w:rPr>
          <w:rFonts w:ascii="Times New Roman" w:hAnsi="Times New Roman" w:cs="Times New Roman"/>
          <w:sz w:val="26"/>
          <w:szCs w:val="26"/>
        </w:rPr>
        <w:t xml:space="preserve">  </w:t>
      </w:r>
      <w:r w:rsidR="00AD3822" w:rsidRPr="00C80D3A">
        <w:rPr>
          <w:rFonts w:ascii="Times New Roman" w:hAnsi="Times New Roman" w:cs="Times New Roman"/>
          <w:sz w:val="26"/>
          <w:szCs w:val="26"/>
        </w:rPr>
        <w:t>C</w:t>
      </w:r>
      <w:r w:rsidR="00506216" w:rsidRPr="00C80D3A">
        <w:rPr>
          <w:rFonts w:ascii="Times New Roman" w:hAnsi="Times New Roman" w:cs="Times New Roman"/>
          <w:sz w:val="26"/>
          <w:szCs w:val="26"/>
        </w:rPr>
        <w:t xml:space="preserve">onsistent with the discussion above, </w:t>
      </w:r>
      <w:r w:rsidR="00687B4D" w:rsidRPr="00C80D3A">
        <w:rPr>
          <w:rFonts w:ascii="Times New Roman" w:hAnsi="Times New Roman" w:cs="Times New Roman"/>
          <w:sz w:val="26"/>
          <w:szCs w:val="26"/>
        </w:rPr>
        <w:t xml:space="preserve">the Commission </w:t>
      </w:r>
      <w:r w:rsidR="00754ECF" w:rsidRPr="00C80D3A">
        <w:rPr>
          <w:rFonts w:ascii="Times New Roman" w:hAnsi="Times New Roman" w:cs="Times New Roman"/>
          <w:sz w:val="26"/>
          <w:szCs w:val="26"/>
        </w:rPr>
        <w:t xml:space="preserve">finds it appropriate to </w:t>
      </w:r>
      <w:r w:rsidR="000B4E8A" w:rsidRPr="00C80D3A">
        <w:rPr>
          <w:rFonts w:ascii="Times New Roman" w:hAnsi="Times New Roman" w:cs="Times New Roman"/>
          <w:sz w:val="26"/>
          <w:szCs w:val="26"/>
        </w:rPr>
        <w:t xml:space="preserve">consider </w:t>
      </w:r>
      <w:r w:rsidR="00754ECF" w:rsidRPr="00C80D3A">
        <w:rPr>
          <w:rFonts w:ascii="Times New Roman" w:hAnsi="Times New Roman" w:cs="Times New Roman"/>
          <w:sz w:val="26"/>
          <w:szCs w:val="26"/>
        </w:rPr>
        <w:t>recover</w:t>
      </w:r>
      <w:r w:rsidR="000B4E8A" w:rsidRPr="00C80D3A">
        <w:rPr>
          <w:rFonts w:ascii="Times New Roman" w:hAnsi="Times New Roman" w:cs="Times New Roman"/>
          <w:sz w:val="26"/>
          <w:szCs w:val="26"/>
        </w:rPr>
        <w:t>y</w:t>
      </w:r>
      <w:r w:rsidR="00754ECF" w:rsidRPr="00C80D3A">
        <w:rPr>
          <w:rFonts w:ascii="Times New Roman" w:hAnsi="Times New Roman" w:cs="Times New Roman"/>
          <w:sz w:val="26"/>
          <w:szCs w:val="26"/>
        </w:rPr>
        <w:t xml:space="preserve"> </w:t>
      </w:r>
      <w:r w:rsidR="00F80195" w:rsidRPr="00C80D3A">
        <w:rPr>
          <w:rFonts w:ascii="Times New Roman" w:hAnsi="Times New Roman" w:cs="Times New Roman"/>
          <w:sz w:val="26"/>
          <w:szCs w:val="26"/>
        </w:rPr>
        <w:t xml:space="preserve">of </w:t>
      </w:r>
      <w:r w:rsidR="00754ECF" w:rsidRPr="00C80D3A">
        <w:rPr>
          <w:rFonts w:ascii="Times New Roman" w:hAnsi="Times New Roman" w:cs="Times New Roman"/>
          <w:sz w:val="26"/>
          <w:szCs w:val="26"/>
        </w:rPr>
        <w:t xml:space="preserve">the costs of </w:t>
      </w:r>
      <w:r w:rsidR="009A4725" w:rsidRPr="00C80D3A">
        <w:rPr>
          <w:rFonts w:ascii="Times New Roman" w:hAnsi="Times New Roman" w:cs="Times New Roman"/>
          <w:sz w:val="26"/>
          <w:szCs w:val="26"/>
        </w:rPr>
        <w:t>CAP costs</w:t>
      </w:r>
      <w:r w:rsidR="00754ECF" w:rsidRPr="00C80D3A">
        <w:rPr>
          <w:rFonts w:ascii="Times New Roman" w:hAnsi="Times New Roman" w:cs="Times New Roman"/>
          <w:sz w:val="26"/>
          <w:szCs w:val="26"/>
        </w:rPr>
        <w:t xml:space="preserve"> </w:t>
      </w:r>
      <w:r w:rsidR="00506216" w:rsidRPr="00C80D3A">
        <w:rPr>
          <w:rFonts w:ascii="Times New Roman" w:hAnsi="Times New Roman" w:cs="Times New Roman"/>
          <w:sz w:val="26"/>
          <w:szCs w:val="26"/>
        </w:rPr>
        <w:t>from all ratepayer classes.</w:t>
      </w:r>
      <w:r w:rsidR="00953224" w:rsidRPr="00C80D3A">
        <w:rPr>
          <w:rStyle w:val="FootnoteReference"/>
          <w:rFonts w:ascii="Times New Roman" w:hAnsi="Times New Roman" w:cs="Times New Roman"/>
          <w:bCs/>
          <w:sz w:val="26"/>
          <w:szCs w:val="26"/>
        </w:rPr>
        <w:footnoteReference w:id="151"/>
      </w:r>
      <w:r w:rsidR="000A6A63" w:rsidRPr="00C80D3A">
        <w:rPr>
          <w:rFonts w:ascii="Times New Roman" w:hAnsi="Times New Roman" w:cs="Times New Roman"/>
          <w:sz w:val="26"/>
          <w:szCs w:val="26"/>
        </w:rPr>
        <w:t xml:space="preserve">  </w:t>
      </w:r>
      <w:r w:rsidR="000807C2" w:rsidRPr="00C80D3A">
        <w:rPr>
          <w:rFonts w:ascii="Times New Roman" w:hAnsi="Times New Roman" w:cs="Times New Roman"/>
          <w:sz w:val="26"/>
          <w:szCs w:val="26"/>
        </w:rPr>
        <w:t>U</w:t>
      </w:r>
      <w:r w:rsidR="001B13FB" w:rsidRPr="00C80D3A">
        <w:rPr>
          <w:rFonts w:ascii="Times New Roman" w:hAnsi="Times New Roman" w:cs="Times New Roman"/>
          <w:sz w:val="26"/>
          <w:szCs w:val="26"/>
        </w:rPr>
        <w:t xml:space="preserve">tilities and stakeholders are advised to be prepared to </w:t>
      </w:r>
      <w:r w:rsidR="00D26F4D" w:rsidRPr="00C80D3A">
        <w:rPr>
          <w:rFonts w:ascii="Times New Roman" w:hAnsi="Times New Roman" w:cs="Times New Roman"/>
          <w:sz w:val="26"/>
          <w:szCs w:val="26"/>
        </w:rPr>
        <w:t xml:space="preserve">address </w:t>
      </w:r>
      <w:r w:rsidR="00B42D98" w:rsidRPr="00C80D3A">
        <w:rPr>
          <w:rFonts w:ascii="Times New Roman" w:hAnsi="Times New Roman" w:cs="Times New Roman"/>
          <w:sz w:val="26"/>
          <w:szCs w:val="26"/>
        </w:rPr>
        <w:t>CAP</w:t>
      </w:r>
      <w:r w:rsidR="00D26F4D" w:rsidRPr="00C80D3A">
        <w:rPr>
          <w:rFonts w:ascii="Times New Roman" w:hAnsi="Times New Roman" w:cs="Times New Roman"/>
          <w:sz w:val="26"/>
          <w:szCs w:val="26"/>
        </w:rPr>
        <w:t xml:space="preserve"> cost recovery in </w:t>
      </w:r>
      <w:r w:rsidR="005C4332" w:rsidRPr="00C80D3A">
        <w:rPr>
          <w:rFonts w:ascii="Times New Roman" w:hAnsi="Times New Roman" w:cs="Times New Roman"/>
          <w:sz w:val="26"/>
          <w:szCs w:val="26"/>
        </w:rPr>
        <w:t xml:space="preserve">utility-specific rate cases consistent with the understanding that the Commission will no longer routinely exempt non-residential classes </w:t>
      </w:r>
      <w:r w:rsidR="00364CF8" w:rsidRPr="00C80D3A">
        <w:rPr>
          <w:rFonts w:ascii="Times New Roman" w:hAnsi="Times New Roman" w:cs="Times New Roman"/>
          <w:sz w:val="26"/>
          <w:szCs w:val="26"/>
        </w:rPr>
        <w:t>from universal service obligations.</w:t>
      </w:r>
      <w:r w:rsidR="0089232F" w:rsidRPr="00C80D3A">
        <w:rPr>
          <w:rStyle w:val="FootnoteReference"/>
          <w:rFonts w:ascii="Times New Roman" w:hAnsi="Times New Roman" w:cs="Times New Roman"/>
          <w:sz w:val="26"/>
          <w:szCs w:val="26"/>
        </w:rPr>
        <w:footnoteReference w:id="152"/>
      </w:r>
      <w:r w:rsidR="00506216" w:rsidRPr="00C80D3A">
        <w:rPr>
          <w:rFonts w:ascii="Times New Roman" w:hAnsi="Times New Roman" w:cs="Times New Roman"/>
          <w:sz w:val="26"/>
          <w:szCs w:val="26"/>
        </w:rPr>
        <w:t xml:space="preserve">  </w:t>
      </w:r>
    </w:p>
    <w:p w14:paraId="7D9AB109" w14:textId="3286910B" w:rsidR="00D94EE7" w:rsidRDefault="00D94EE7" w:rsidP="00315DBC">
      <w:pPr>
        <w:spacing w:after="0" w:line="360" w:lineRule="auto"/>
        <w:contextualSpacing/>
        <w:rPr>
          <w:rFonts w:ascii="Times New Roman" w:hAnsi="Times New Roman" w:cs="Times New Roman"/>
          <w:sz w:val="26"/>
          <w:szCs w:val="26"/>
        </w:rPr>
      </w:pPr>
    </w:p>
    <w:p w14:paraId="6F7726B0" w14:textId="578A0C8B" w:rsidR="00D94EE7" w:rsidRPr="00C80D3A" w:rsidRDefault="00D94EE7" w:rsidP="00315DBC">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Pr="00C80D3A">
        <w:rPr>
          <w:rFonts w:ascii="Times New Roman" w:hAnsi="Times New Roman" w:cs="Times New Roman"/>
          <w:sz w:val="26"/>
          <w:szCs w:val="26"/>
        </w:rPr>
        <w:t xml:space="preserve">Further, while it was not expressly addressed in the </w:t>
      </w:r>
      <w:r w:rsidRPr="00C80D3A">
        <w:rPr>
          <w:rFonts w:ascii="Times New Roman" w:hAnsi="Times New Roman" w:cs="Times New Roman"/>
          <w:i/>
          <w:sz w:val="26"/>
          <w:szCs w:val="26"/>
        </w:rPr>
        <w:t>Review</w:t>
      </w:r>
      <w:r w:rsidRPr="00C80D3A">
        <w:rPr>
          <w:rFonts w:ascii="Times New Roman" w:hAnsi="Times New Roman" w:cs="Times New Roman"/>
          <w:sz w:val="26"/>
          <w:szCs w:val="26"/>
        </w:rPr>
        <w:t xml:space="preserve"> and </w:t>
      </w:r>
      <w:r w:rsidRPr="00C80D3A">
        <w:rPr>
          <w:rFonts w:ascii="Times New Roman" w:hAnsi="Times New Roman" w:cs="Times New Roman"/>
          <w:i/>
          <w:sz w:val="26"/>
          <w:szCs w:val="26"/>
        </w:rPr>
        <w:t>Energy Affordability</w:t>
      </w:r>
      <w:r w:rsidRPr="00C80D3A">
        <w:rPr>
          <w:rFonts w:ascii="Times New Roman" w:hAnsi="Times New Roman" w:cs="Times New Roman"/>
          <w:sz w:val="26"/>
          <w:szCs w:val="26"/>
        </w:rPr>
        <w:t xml:space="preserve"> proceedings, as a housekeeping measure, we shall also </w:t>
      </w:r>
      <w:r>
        <w:rPr>
          <w:rFonts w:ascii="Times New Roman" w:hAnsi="Times New Roman" w:cs="Times New Roman"/>
          <w:sz w:val="26"/>
          <w:szCs w:val="26"/>
        </w:rPr>
        <w:t xml:space="preserve">amend </w:t>
      </w:r>
      <w:r w:rsidRPr="00C80D3A">
        <w:rPr>
          <w:rFonts w:ascii="Times New Roman" w:hAnsi="Times New Roman" w:cs="Times New Roman"/>
          <w:sz w:val="26"/>
          <w:szCs w:val="26"/>
        </w:rPr>
        <w:t>Section 69.26</w:t>
      </w:r>
      <w:r>
        <w:rPr>
          <w:rFonts w:ascii="Times New Roman" w:hAnsi="Times New Roman" w:cs="Times New Roman"/>
          <w:sz w:val="26"/>
          <w:szCs w:val="26"/>
        </w:rPr>
        <w:t>5</w:t>
      </w:r>
      <w:r w:rsidRPr="00C80D3A">
        <w:rPr>
          <w:rFonts w:ascii="Times New Roman" w:hAnsi="Times New Roman" w:cs="Times New Roman"/>
          <w:sz w:val="26"/>
          <w:szCs w:val="26"/>
        </w:rPr>
        <w:t>(</w:t>
      </w:r>
      <w:r>
        <w:rPr>
          <w:rFonts w:ascii="Times New Roman" w:hAnsi="Times New Roman" w:cs="Times New Roman"/>
          <w:sz w:val="26"/>
          <w:szCs w:val="26"/>
        </w:rPr>
        <w:t>1</w:t>
      </w:r>
      <w:r w:rsidRPr="00C80D3A">
        <w:rPr>
          <w:rFonts w:ascii="Times New Roman" w:hAnsi="Times New Roman" w:cs="Times New Roman"/>
          <w:sz w:val="26"/>
          <w:szCs w:val="26"/>
        </w:rPr>
        <w:t xml:space="preserve">) </w:t>
      </w:r>
      <w:r>
        <w:rPr>
          <w:rFonts w:ascii="Times New Roman" w:hAnsi="Times New Roman" w:cs="Times New Roman"/>
          <w:sz w:val="26"/>
          <w:szCs w:val="26"/>
        </w:rPr>
        <w:t>to reflect that other sources may be used to fund CAPs.</w:t>
      </w:r>
      <w:r w:rsidRPr="00C80D3A">
        <w:rPr>
          <w:rFonts w:ascii="Times New Roman" w:hAnsi="Times New Roman" w:cs="Times New Roman"/>
          <w:sz w:val="26"/>
          <w:szCs w:val="26"/>
        </w:rPr>
        <w:t xml:space="preserve">  </w:t>
      </w:r>
    </w:p>
    <w:p w14:paraId="6442E088" w14:textId="77777777" w:rsidR="00506216" w:rsidRPr="00C80D3A" w:rsidRDefault="00506216" w:rsidP="00315DBC">
      <w:pPr>
        <w:spacing w:after="0" w:line="360" w:lineRule="auto"/>
        <w:contextualSpacing/>
        <w:rPr>
          <w:rFonts w:ascii="Times New Roman" w:hAnsi="Times New Roman" w:cs="Times New Roman"/>
          <w:sz w:val="26"/>
          <w:szCs w:val="26"/>
        </w:rPr>
      </w:pPr>
    </w:p>
    <w:p w14:paraId="6370B790" w14:textId="03DBFBC3" w:rsidR="00506216" w:rsidRPr="00C80D3A" w:rsidRDefault="00831247" w:rsidP="00831247">
      <w:pPr>
        <w:keepNext/>
        <w:spacing w:after="0" w:line="240" w:lineRule="auto"/>
        <w:contextualSpacing/>
        <w:jc w:val="center"/>
        <w:rPr>
          <w:rFonts w:ascii="Times New Roman" w:hAnsi="Times New Roman" w:cs="Times New Roman"/>
          <w:b/>
          <w:bCs/>
          <w:sz w:val="26"/>
          <w:szCs w:val="26"/>
        </w:rPr>
      </w:pPr>
      <w:r w:rsidRPr="00C80D3A">
        <w:rPr>
          <w:rFonts w:ascii="Times New Roman" w:hAnsi="Times New Roman" w:cs="Times New Roman"/>
          <w:b/>
          <w:bCs/>
          <w:sz w:val="26"/>
          <w:szCs w:val="26"/>
        </w:rPr>
        <w:t>OTHER CAP CHANGES FOR POSSIBLE FUTURE CONSIDERATION</w:t>
      </w:r>
    </w:p>
    <w:p w14:paraId="763EE8D9" w14:textId="77777777" w:rsidR="00506216" w:rsidRPr="00C80D3A" w:rsidRDefault="00506216" w:rsidP="00831247">
      <w:pPr>
        <w:keepNext/>
        <w:spacing w:after="0" w:line="240" w:lineRule="auto"/>
        <w:contextualSpacing/>
        <w:rPr>
          <w:rFonts w:ascii="Times New Roman" w:hAnsi="Times New Roman" w:cs="Times New Roman"/>
          <w:sz w:val="26"/>
          <w:szCs w:val="26"/>
        </w:rPr>
      </w:pPr>
    </w:p>
    <w:p w14:paraId="6677CF5B" w14:textId="540242BA" w:rsidR="00506216" w:rsidRPr="00C80D3A" w:rsidRDefault="00506216" w:rsidP="00315DBC">
      <w:pPr>
        <w:spacing w:after="0" w:line="360" w:lineRule="auto"/>
        <w:contextualSpacing/>
        <w:rPr>
          <w:rFonts w:ascii="Times New Roman" w:hAnsi="Times New Roman" w:cs="Times New Roman"/>
          <w:sz w:val="26"/>
          <w:szCs w:val="26"/>
        </w:rPr>
      </w:pPr>
      <w:r w:rsidRPr="00C80D3A">
        <w:rPr>
          <w:rFonts w:ascii="Times New Roman" w:hAnsi="Times New Roman" w:cs="Times New Roman"/>
          <w:sz w:val="26"/>
          <w:szCs w:val="26"/>
        </w:rPr>
        <w:tab/>
        <w:t xml:space="preserve">There are several other changes to CAPs that </w:t>
      </w:r>
      <w:r w:rsidR="00B80274" w:rsidRPr="00C80D3A">
        <w:rPr>
          <w:rFonts w:ascii="Times New Roman" w:hAnsi="Times New Roman" w:cs="Times New Roman"/>
          <w:sz w:val="26"/>
          <w:szCs w:val="26"/>
        </w:rPr>
        <w:t xml:space="preserve">the Commission </w:t>
      </w:r>
      <w:r w:rsidR="00A57C3F" w:rsidRPr="00C80D3A">
        <w:rPr>
          <w:rFonts w:ascii="Times New Roman" w:hAnsi="Times New Roman" w:cs="Times New Roman"/>
          <w:sz w:val="26"/>
          <w:szCs w:val="26"/>
        </w:rPr>
        <w:t xml:space="preserve">has </w:t>
      </w:r>
      <w:r w:rsidR="00CF0DF4" w:rsidRPr="00C80D3A">
        <w:rPr>
          <w:rFonts w:ascii="Times New Roman" w:hAnsi="Times New Roman" w:cs="Times New Roman"/>
          <w:sz w:val="26"/>
          <w:szCs w:val="26"/>
        </w:rPr>
        <w:t xml:space="preserve">considered </w:t>
      </w:r>
      <w:r w:rsidRPr="00C80D3A">
        <w:rPr>
          <w:rFonts w:ascii="Times New Roman" w:hAnsi="Times New Roman" w:cs="Times New Roman"/>
          <w:sz w:val="26"/>
          <w:szCs w:val="26"/>
        </w:rPr>
        <w:t xml:space="preserve">but which are not part of </w:t>
      </w:r>
      <w:r w:rsidR="00B80274" w:rsidRPr="00C80D3A">
        <w:rPr>
          <w:rFonts w:ascii="Times New Roman" w:hAnsi="Times New Roman" w:cs="Times New Roman"/>
          <w:sz w:val="26"/>
          <w:szCs w:val="26"/>
        </w:rPr>
        <w:t>this Order</w:t>
      </w:r>
      <w:r w:rsidRPr="00C80D3A">
        <w:rPr>
          <w:rFonts w:ascii="Times New Roman" w:hAnsi="Times New Roman" w:cs="Times New Roman"/>
          <w:sz w:val="26"/>
          <w:szCs w:val="26"/>
        </w:rPr>
        <w:t xml:space="preserve">.  At this time, </w:t>
      </w:r>
      <w:r w:rsidR="00CF0DF4" w:rsidRPr="00C80D3A">
        <w:rPr>
          <w:rFonts w:ascii="Times New Roman" w:hAnsi="Times New Roman" w:cs="Times New Roman"/>
          <w:sz w:val="26"/>
          <w:szCs w:val="26"/>
        </w:rPr>
        <w:t>we are</w:t>
      </w:r>
      <w:r w:rsidRPr="00C80D3A">
        <w:rPr>
          <w:rFonts w:ascii="Times New Roman" w:hAnsi="Times New Roman" w:cs="Times New Roman"/>
          <w:sz w:val="26"/>
          <w:szCs w:val="26"/>
        </w:rPr>
        <w:t xml:space="preserve"> not </w:t>
      </w:r>
      <w:r w:rsidR="00CF0DF4" w:rsidRPr="00C80D3A">
        <w:rPr>
          <w:rFonts w:ascii="Times New Roman" w:hAnsi="Times New Roman" w:cs="Times New Roman"/>
          <w:sz w:val="26"/>
          <w:szCs w:val="26"/>
        </w:rPr>
        <w:t xml:space="preserve">persuaded </w:t>
      </w:r>
      <w:r w:rsidRPr="00C80D3A">
        <w:rPr>
          <w:rFonts w:ascii="Times New Roman" w:hAnsi="Times New Roman" w:cs="Times New Roman"/>
          <w:sz w:val="26"/>
          <w:szCs w:val="26"/>
        </w:rPr>
        <w:t xml:space="preserve">that these changes would benefit </w:t>
      </w:r>
      <w:r w:rsidR="00790453" w:rsidRPr="00C80D3A">
        <w:rPr>
          <w:rFonts w:ascii="Times New Roman" w:hAnsi="Times New Roman" w:cs="Times New Roman"/>
          <w:sz w:val="26"/>
          <w:szCs w:val="26"/>
        </w:rPr>
        <w:t>the</w:t>
      </w:r>
      <w:r w:rsidR="00B27442" w:rsidRPr="00C80D3A">
        <w:rPr>
          <w:rFonts w:ascii="Times New Roman" w:hAnsi="Times New Roman" w:cs="Times New Roman"/>
          <w:sz w:val="26"/>
          <w:szCs w:val="26"/>
        </w:rPr>
        <w:t xml:space="preserve"> universal service programs, its pa</w:t>
      </w:r>
      <w:r w:rsidR="00EA3D6C" w:rsidRPr="00C80D3A">
        <w:rPr>
          <w:rFonts w:ascii="Times New Roman" w:hAnsi="Times New Roman" w:cs="Times New Roman"/>
          <w:sz w:val="26"/>
          <w:szCs w:val="26"/>
        </w:rPr>
        <w:t xml:space="preserve">rticipants, or </w:t>
      </w:r>
      <w:r w:rsidR="00D93B05" w:rsidRPr="00C80D3A">
        <w:rPr>
          <w:rFonts w:ascii="Times New Roman" w:hAnsi="Times New Roman" w:cs="Times New Roman"/>
          <w:sz w:val="26"/>
          <w:szCs w:val="26"/>
        </w:rPr>
        <w:t xml:space="preserve">other </w:t>
      </w:r>
      <w:r w:rsidR="00EA3D6C" w:rsidRPr="00C80D3A">
        <w:rPr>
          <w:rFonts w:ascii="Times New Roman" w:hAnsi="Times New Roman" w:cs="Times New Roman"/>
          <w:sz w:val="26"/>
          <w:szCs w:val="26"/>
        </w:rPr>
        <w:t>ratepayers</w:t>
      </w:r>
      <w:r w:rsidRPr="00C80D3A">
        <w:rPr>
          <w:rFonts w:ascii="Times New Roman" w:hAnsi="Times New Roman" w:cs="Times New Roman"/>
          <w:sz w:val="26"/>
          <w:szCs w:val="26"/>
        </w:rPr>
        <w:t xml:space="preserve">.  Nevertheless, </w:t>
      </w:r>
      <w:r w:rsidR="001F4AE7" w:rsidRPr="00C80D3A">
        <w:rPr>
          <w:rFonts w:ascii="Times New Roman" w:hAnsi="Times New Roman" w:cs="Times New Roman"/>
          <w:sz w:val="26"/>
          <w:szCs w:val="26"/>
        </w:rPr>
        <w:t xml:space="preserve">the Commission </w:t>
      </w:r>
      <w:r w:rsidR="00F9238F" w:rsidRPr="00C80D3A">
        <w:rPr>
          <w:rFonts w:ascii="Times New Roman" w:hAnsi="Times New Roman" w:cs="Times New Roman"/>
          <w:sz w:val="26"/>
          <w:szCs w:val="26"/>
        </w:rPr>
        <w:t>may further explore</w:t>
      </w:r>
      <w:r w:rsidRPr="00C80D3A">
        <w:rPr>
          <w:rFonts w:ascii="Times New Roman" w:hAnsi="Times New Roman" w:cs="Times New Roman"/>
          <w:sz w:val="26"/>
          <w:szCs w:val="26"/>
        </w:rPr>
        <w:t xml:space="preserve"> the following policies in future </w:t>
      </w:r>
      <w:r w:rsidR="00AE1386" w:rsidRPr="00C80D3A">
        <w:rPr>
          <w:rFonts w:ascii="Times New Roman" w:hAnsi="Times New Roman" w:cs="Times New Roman"/>
          <w:sz w:val="26"/>
          <w:szCs w:val="26"/>
        </w:rPr>
        <w:t>utility</w:t>
      </w:r>
      <w:r w:rsidR="00D626AF" w:rsidRPr="00C80D3A">
        <w:rPr>
          <w:rFonts w:ascii="Times New Roman" w:hAnsi="Times New Roman" w:cs="Times New Roman"/>
          <w:sz w:val="26"/>
          <w:szCs w:val="26"/>
        </w:rPr>
        <w:t xml:space="preserve">-specific </w:t>
      </w:r>
      <w:r w:rsidRPr="00C80D3A">
        <w:rPr>
          <w:rFonts w:ascii="Times New Roman" w:hAnsi="Times New Roman" w:cs="Times New Roman"/>
          <w:sz w:val="26"/>
          <w:szCs w:val="26"/>
        </w:rPr>
        <w:t>or other Commission proceedings.  This list is not exhaustive:</w:t>
      </w:r>
    </w:p>
    <w:p w14:paraId="1D5AC016" w14:textId="77777777" w:rsidR="00506216" w:rsidRPr="00C80D3A" w:rsidRDefault="00506216" w:rsidP="00094640">
      <w:pPr>
        <w:tabs>
          <w:tab w:val="left" w:pos="4860"/>
        </w:tabs>
        <w:spacing w:after="0" w:line="360" w:lineRule="auto"/>
        <w:contextualSpacing/>
        <w:rPr>
          <w:rFonts w:ascii="Times New Roman" w:hAnsi="Times New Roman" w:cs="Times New Roman"/>
          <w:sz w:val="26"/>
          <w:szCs w:val="26"/>
        </w:rPr>
      </w:pPr>
    </w:p>
    <w:p w14:paraId="3D330514" w14:textId="77777777" w:rsidR="00831247" w:rsidRPr="00C80D3A" w:rsidRDefault="00506216" w:rsidP="00094640">
      <w:pPr>
        <w:pStyle w:val="ListParagraph"/>
        <w:numPr>
          <w:ilvl w:val="0"/>
          <w:numId w:val="32"/>
        </w:numPr>
        <w:tabs>
          <w:tab w:val="left" w:pos="4860"/>
        </w:tabs>
        <w:spacing w:line="360" w:lineRule="auto"/>
        <w:ind w:left="1440" w:hanging="720"/>
        <w:rPr>
          <w:bCs/>
          <w:sz w:val="26"/>
          <w:szCs w:val="26"/>
        </w:rPr>
      </w:pPr>
      <w:r w:rsidRPr="00C80D3A">
        <w:rPr>
          <w:bCs/>
          <w:sz w:val="26"/>
          <w:szCs w:val="26"/>
        </w:rPr>
        <w:t>Establishing standard payment requirements for CAP re-enrollment.</w:t>
      </w:r>
    </w:p>
    <w:p w14:paraId="296C725A" w14:textId="4B9C3EF1" w:rsidR="009E235E" w:rsidRPr="00457872" w:rsidRDefault="00506216" w:rsidP="00094640">
      <w:pPr>
        <w:pStyle w:val="ListParagraph"/>
        <w:numPr>
          <w:ilvl w:val="0"/>
          <w:numId w:val="32"/>
        </w:numPr>
        <w:tabs>
          <w:tab w:val="left" w:pos="4860"/>
        </w:tabs>
        <w:spacing w:line="360" w:lineRule="auto"/>
        <w:ind w:left="1440" w:hanging="720"/>
        <w:rPr>
          <w:bCs/>
          <w:sz w:val="26"/>
          <w:szCs w:val="26"/>
        </w:rPr>
      </w:pPr>
      <w:r w:rsidRPr="00457872">
        <w:rPr>
          <w:bCs/>
          <w:sz w:val="26"/>
          <w:szCs w:val="26"/>
        </w:rPr>
        <w:t>Excluding recipients of energy bill subsidies from receiving CAP credits.</w:t>
      </w:r>
    </w:p>
    <w:p w14:paraId="76E96FE1" w14:textId="77777777" w:rsidR="00E670ED" w:rsidRPr="00C80D3A" w:rsidRDefault="00E670ED" w:rsidP="00457872">
      <w:pPr>
        <w:spacing w:after="0" w:line="360" w:lineRule="auto"/>
        <w:ind w:left="1440" w:hanging="720"/>
        <w:contextualSpacing/>
        <w:rPr>
          <w:rFonts w:ascii="Times New Roman" w:hAnsi="Times New Roman" w:cs="Times New Roman"/>
          <w:bCs/>
          <w:sz w:val="26"/>
          <w:szCs w:val="26"/>
        </w:rPr>
      </w:pPr>
    </w:p>
    <w:p w14:paraId="38F95C41" w14:textId="08A1C9B5" w:rsidR="00965601" w:rsidRPr="009A3B4B" w:rsidRDefault="00965601" w:rsidP="009A3B4B">
      <w:pPr>
        <w:keepNext/>
        <w:spacing w:after="0" w:line="240" w:lineRule="auto"/>
        <w:contextualSpacing/>
        <w:jc w:val="center"/>
        <w:rPr>
          <w:rFonts w:ascii="Times New Roman" w:hAnsi="Times New Roman" w:cs="Times New Roman"/>
          <w:b/>
          <w:bCs/>
          <w:sz w:val="26"/>
          <w:szCs w:val="26"/>
        </w:rPr>
      </w:pPr>
      <w:r w:rsidRPr="009A3B4B">
        <w:rPr>
          <w:rFonts w:ascii="Times New Roman" w:hAnsi="Times New Roman" w:cs="Times New Roman"/>
          <w:b/>
          <w:bCs/>
          <w:sz w:val="26"/>
          <w:szCs w:val="26"/>
        </w:rPr>
        <w:t>HOUSEKEEPING</w:t>
      </w:r>
    </w:p>
    <w:p w14:paraId="41C3D2D6" w14:textId="77777777" w:rsidR="009E235E" w:rsidRPr="009A3B4B" w:rsidRDefault="009E235E" w:rsidP="009A3B4B">
      <w:pPr>
        <w:keepNext/>
        <w:spacing w:after="0" w:line="240" w:lineRule="auto"/>
        <w:contextualSpacing/>
        <w:jc w:val="center"/>
        <w:rPr>
          <w:rFonts w:ascii="Times New Roman" w:hAnsi="Times New Roman" w:cs="Times New Roman"/>
          <w:b/>
          <w:bCs/>
          <w:sz w:val="26"/>
          <w:szCs w:val="26"/>
        </w:rPr>
      </w:pPr>
    </w:p>
    <w:p w14:paraId="2A1D169D" w14:textId="488E788F" w:rsidR="00A56090" w:rsidRPr="00C80D3A" w:rsidRDefault="00965601" w:rsidP="00831247">
      <w:pPr>
        <w:keepNext/>
        <w:keepLines/>
        <w:spacing w:after="0" w:line="360" w:lineRule="auto"/>
        <w:ind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We are </w:t>
      </w:r>
      <w:r w:rsidR="00880867" w:rsidRPr="00C80D3A">
        <w:rPr>
          <w:rFonts w:ascii="Times New Roman" w:hAnsi="Times New Roman" w:cs="Times New Roman"/>
          <w:sz w:val="26"/>
          <w:szCs w:val="26"/>
        </w:rPr>
        <w:t>also</w:t>
      </w:r>
      <w:r w:rsidRPr="00C80D3A">
        <w:rPr>
          <w:rFonts w:ascii="Times New Roman" w:hAnsi="Times New Roman" w:cs="Times New Roman"/>
          <w:sz w:val="26"/>
          <w:szCs w:val="26"/>
        </w:rPr>
        <w:t xml:space="preserve"> making </w:t>
      </w:r>
      <w:r w:rsidR="00E405E5" w:rsidRPr="00C80D3A">
        <w:rPr>
          <w:rFonts w:ascii="Times New Roman" w:hAnsi="Times New Roman" w:cs="Times New Roman"/>
          <w:sz w:val="26"/>
          <w:szCs w:val="26"/>
        </w:rPr>
        <w:t>several housekeeping revisions to the CAP Policy Statement</w:t>
      </w:r>
      <w:r w:rsidR="00685AFE" w:rsidRPr="00C80D3A">
        <w:rPr>
          <w:rFonts w:ascii="Times New Roman" w:hAnsi="Times New Roman" w:cs="Times New Roman"/>
          <w:sz w:val="26"/>
          <w:szCs w:val="26"/>
        </w:rPr>
        <w:t xml:space="preserve"> including</w:t>
      </w:r>
      <w:r w:rsidR="00E405E5" w:rsidRPr="00C80D3A">
        <w:rPr>
          <w:rFonts w:ascii="Times New Roman" w:hAnsi="Times New Roman" w:cs="Times New Roman"/>
          <w:sz w:val="26"/>
          <w:szCs w:val="26"/>
        </w:rPr>
        <w:t>:</w:t>
      </w:r>
    </w:p>
    <w:p w14:paraId="1332B816" w14:textId="77777777" w:rsidR="00880867" w:rsidRPr="00C80D3A" w:rsidRDefault="00880867" w:rsidP="00F2127A">
      <w:pPr>
        <w:keepNext/>
        <w:keepLines/>
        <w:spacing w:after="0" w:line="360" w:lineRule="auto"/>
        <w:ind w:firstLine="720"/>
        <w:contextualSpacing/>
        <w:rPr>
          <w:rFonts w:ascii="Times New Roman" w:hAnsi="Times New Roman" w:cs="Times New Roman"/>
          <w:sz w:val="26"/>
          <w:szCs w:val="26"/>
        </w:rPr>
      </w:pPr>
    </w:p>
    <w:p w14:paraId="71AE00EF" w14:textId="45E6096D" w:rsidR="00E405E5" w:rsidRPr="00C80D3A" w:rsidRDefault="00654204" w:rsidP="00F2127A">
      <w:pPr>
        <w:pStyle w:val="ListParagraph"/>
        <w:keepNext/>
        <w:keepLines/>
        <w:numPr>
          <w:ilvl w:val="0"/>
          <w:numId w:val="27"/>
        </w:numPr>
        <w:spacing w:line="360" w:lineRule="auto"/>
        <w:ind w:left="1440" w:hanging="720"/>
        <w:rPr>
          <w:sz w:val="26"/>
          <w:szCs w:val="26"/>
        </w:rPr>
      </w:pPr>
      <w:r w:rsidRPr="00C80D3A">
        <w:rPr>
          <w:sz w:val="26"/>
          <w:szCs w:val="26"/>
        </w:rPr>
        <w:t>Clari</w:t>
      </w:r>
      <w:r w:rsidR="004B2E15" w:rsidRPr="00C80D3A">
        <w:rPr>
          <w:sz w:val="26"/>
          <w:szCs w:val="26"/>
        </w:rPr>
        <w:t>fy</w:t>
      </w:r>
      <w:r w:rsidR="00A92924" w:rsidRPr="00C80D3A">
        <w:rPr>
          <w:sz w:val="26"/>
          <w:szCs w:val="26"/>
        </w:rPr>
        <w:t>ing</w:t>
      </w:r>
      <w:r w:rsidR="004B2E15" w:rsidRPr="00C80D3A">
        <w:rPr>
          <w:sz w:val="26"/>
          <w:szCs w:val="26"/>
        </w:rPr>
        <w:t xml:space="preserve"> </w:t>
      </w:r>
      <w:r w:rsidR="001F4F84">
        <w:rPr>
          <w:sz w:val="26"/>
          <w:szCs w:val="26"/>
        </w:rPr>
        <w:t xml:space="preserve">69.261: </w:t>
      </w:r>
      <w:r w:rsidR="005B3843">
        <w:rPr>
          <w:sz w:val="26"/>
          <w:szCs w:val="26"/>
        </w:rPr>
        <w:t xml:space="preserve">Specifying that </w:t>
      </w:r>
      <w:r w:rsidR="00D355A4" w:rsidRPr="00C80D3A">
        <w:rPr>
          <w:sz w:val="26"/>
          <w:szCs w:val="26"/>
        </w:rPr>
        <w:t>CAP customers make regular monthly payments, which may be for an amount that is less than the current tariff bill for utility service including pre-CAP arrearages, in exchange for continued provision of the service.</w:t>
      </w:r>
    </w:p>
    <w:p w14:paraId="711D7A7E" w14:textId="12F130E8" w:rsidR="00E405E5" w:rsidRPr="00C80D3A" w:rsidRDefault="00E405E5" w:rsidP="00F2127A">
      <w:pPr>
        <w:spacing w:after="0" w:line="360" w:lineRule="auto"/>
        <w:ind w:left="1440" w:hanging="720"/>
        <w:contextualSpacing/>
        <w:rPr>
          <w:rFonts w:ascii="Times New Roman" w:hAnsi="Times New Roman" w:cs="Times New Roman"/>
          <w:sz w:val="26"/>
          <w:szCs w:val="26"/>
        </w:rPr>
      </w:pPr>
    </w:p>
    <w:p w14:paraId="49EDF4F2" w14:textId="30F5275A" w:rsidR="00E405E5" w:rsidRPr="00C80D3A" w:rsidRDefault="001F4F84" w:rsidP="00F2127A">
      <w:pPr>
        <w:pStyle w:val="ListParagraph"/>
        <w:numPr>
          <w:ilvl w:val="0"/>
          <w:numId w:val="27"/>
        </w:numPr>
        <w:spacing w:line="360" w:lineRule="auto"/>
        <w:ind w:left="1440" w:hanging="720"/>
        <w:rPr>
          <w:sz w:val="26"/>
          <w:szCs w:val="26"/>
        </w:rPr>
      </w:pPr>
      <w:r>
        <w:rPr>
          <w:sz w:val="26"/>
          <w:szCs w:val="26"/>
        </w:rPr>
        <w:t xml:space="preserve">Updating </w:t>
      </w:r>
      <w:r w:rsidR="00E613B5">
        <w:rPr>
          <w:sz w:val="26"/>
          <w:szCs w:val="26"/>
        </w:rPr>
        <w:t>Section 69.262</w:t>
      </w:r>
      <w:r>
        <w:rPr>
          <w:sz w:val="26"/>
          <w:szCs w:val="26"/>
        </w:rPr>
        <w:t xml:space="preserve"> and throughout</w:t>
      </w:r>
      <w:r w:rsidR="00E613B5">
        <w:rPr>
          <w:sz w:val="26"/>
          <w:szCs w:val="26"/>
        </w:rPr>
        <w:t xml:space="preserve">: </w:t>
      </w:r>
      <w:r w:rsidR="002D4EE7" w:rsidRPr="00C80D3A">
        <w:rPr>
          <w:sz w:val="26"/>
          <w:szCs w:val="26"/>
        </w:rPr>
        <w:t>Add</w:t>
      </w:r>
      <w:r w:rsidR="00A92924" w:rsidRPr="00C80D3A">
        <w:rPr>
          <w:sz w:val="26"/>
          <w:szCs w:val="26"/>
        </w:rPr>
        <w:t>ing</w:t>
      </w:r>
      <w:r w:rsidR="002D4EE7" w:rsidRPr="00C80D3A">
        <w:rPr>
          <w:sz w:val="26"/>
          <w:szCs w:val="26"/>
        </w:rPr>
        <w:t xml:space="preserve"> </w:t>
      </w:r>
      <w:r w:rsidR="003034EF" w:rsidRPr="00C80D3A">
        <w:rPr>
          <w:sz w:val="26"/>
          <w:szCs w:val="26"/>
        </w:rPr>
        <w:t xml:space="preserve">the definition of </w:t>
      </w:r>
      <w:r w:rsidR="00E82140">
        <w:rPr>
          <w:sz w:val="26"/>
          <w:szCs w:val="26"/>
        </w:rPr>
        <w:t>“</w:t>
      </w:r>
      <w:r w:rsidR="00724406">
        <w:rPr>
          <w:sz w:val="26"/>
          <w:szCs w:val="26"/>
        </w:rPr>
        <w:t xml:space="preserve">NGDC – </w:t>
      </w:r>
      <w:r>
        <w:rPr>
          <w:sz w:val="26"/>
          <w:szCs w:val="26"/>
        </w:rPr>
        <w:t>natural gas distribution company</w:t>
      </w:r>
      <w:r w:rsidR="00E82140">
        <w:rPr>
          <w:sz w:val="26"/>
          <w:szCs w:val="26"/>
        </w:rPr>
        <w:t>”</w:t>
      </w:r>
      <w:r w:rsidR="00494611" w:rsidRPr="00C80D3A">
        <w:rPr>
          <w:sz w:val="26"/>
          <w:szCs w:val="26"/>
        </w:rPr>
        <w:t xml:space="preserve"> </w:t>
      </w:r>
      <w:r w:rsidR="00982A6E" w:rsidRPr="00C80D3A">
        <w:rPr>
          <w:sz w:val="26"/>
          <w:szCs w:val="26"/>
        </w:rPr>
        <w:t>and incorporat</w:t>
      </w:r>
      <w:r w:rsidR="002A39DD" w:rsidRPr="00C80D3A">
        <w:rPr>
          <w:sz w:val="26"/>
          <w:szCs w:val="26"/>
        </w:rPr>
        <w:t>ing</w:t>
      </w:r>
      <w:r w:rsidR="00982A6E" w:rsidRPr="00C80D3A">
        <w:rPr>
          <w:sz w:val="26"/>
          <w:szCs w:val="26"/>
        </w:rPr>
        <w:t xml:space="preserve"> </w:t>
      </w:r>
      <w:r>
        <w:rPr>
          <w:sz w:val="26"/>
          <w:szCs w:val="26"/>
        </w:rPr>
        <w:t xml:space="preserve">NGDC regulatory </w:t>
      </w:r>
      <w:r w:rsidR="00C812A1" w:rsidRPr="00C80D3A">
        <w:rPr>
          <w:sz w:val="26"/>
          <w:szCs w:val="26"/>
        </w:rPr>
        <w:t>references</w:t>
      </w:r>
      <w:r>
        <w:rPr>
          <w:sz w:val="26"/>
          <w:szCs w:val="26"/>
        </w:rPr>
        <w:t xml:space="preserve"> throughout</w:t>
      </w:r>
      <w:r w:rsidR="009E235E">
        <w:rPr>
          <w:sz w:val="26"/>
          <w:szCs w:val="26"/>
        </w:rPr>
        <w:t xml:space="preserve"> the </w:t>
      </w:r>
      <w:r w:rsidR="00E82140">
        <w:rPr>
          <w:sz w:val="26"/>
          <w:szCs w:val="26"/>
        </w:rPr>
        <w:t>CAP P</w:t>
      </w:r>
      <w:r w:rsidR="009E235E">
        <w:rPr>
          <w:sz w:val="26"/>
          <w:szCs w:val="26"/>
        </w:rPr>
        <w:t xml:space="preserve">olicy </w:t>
      </w:r>
      <w:r w:rsidR="00E82140">
        <w:rPr>
          <w:sz w:val="26"/>
          <w:szCs w:val="26"/>
        </w:rPr>
        <w:t>S</w:t>
      </w:r>
      <w:r w:rsidR="009E235E">
        <w:rPr>
          <w:sz w:val="26"/>
          <w:szCs w:val="26"/>
        </w:rPr>
        <w:t xml:space="preserve">tatement; adding the definition of </w:t>
      </w:r>
      <w:r w:rsidR="00E82140">
        <w:rPr>
          <w:sz w:val="26"/>
          <w:szCs w:val="26"/>
        </w:rPr>
        <w:t>“</w:t>
      </w:r>
      <w:r w:rsidR="00724406">
        <w:rPr>
          <w:sz w:val="26"/>
          <w:szCs w:val="26"/>
        </w:rPr>
        <w:t xml:space="preserve">CBO – </w:t>
      </w:r>
      <w:r w:rsidR="009E235E">
        <w:rPr>
          <w:sz w:val="26"/>
          <w:szCs w:val="26"/>
        </w:rPr>
        <w:t>community-based organization</w:t>
      </w:r>
      <w:r w:rsidR="00E82140">
        <w:rPr>
          <w:sz w:val="26"/>
          <w:szCs w:val="26"/>
        </w:rPr>
        <w:t xml:space="preserve"> ”</w:t>
      </w:r>
      <w:r w:rsidR="009E235E">
        <w:rPr>
          <w:sz w:val="26"/>
          <w:szCs w:val="26"/>
        </w:rPr>
        <w:t xml:space="preserve"> and updating the references throughout the </w:t>
      </w:r>
      <w:r w:rsidR="00724406">
        <w:rPr>
          <w:sz w:val="26"/>
          <w:szCs w:val="26"/>
        </w:rPr>
        <w:t>CAP P</w:t>
      </w:r>
      <w:r w:rsidR="009E235E">
        <w:rPr>
          <w:sz w:val="26"/>
          <w:szCs w:val="26"/>
        </w:rPr>
        <w:t xml:space="preserve">olicy </w:t>
      </w:r>
      <w:r w:rsidR="00724406">
        <w:rPr>
          <w:sz w:val="26"/>
          <w:szCs w:val="26"/>
        </w:rPr>
        <w:t>S</w:t>
      </w:r>
      <w:r w:rsidR="009E235E">
        <w:rPr>
          <w:sz w:val="26"/>
          <w:szCs w:val="26"/>
        </w:rPr>
        <w:t>tatement; a</w:t>
      </w:r>
      <w:r w:rsidR="009E235E" w:rsidRPr="00C80D3A">
        <w:rPr>
          <w:sz w:val="26"/>
          <w:szCs w:val="26"/>
        </w:rPr>
        <w:t xml:space="preserve">dding </w:t>
      </w:r>
      <w:r w:rsidR="00E82140">
        <w:rPr>
          <w:sz w:val="26"/>
          <w:szCs w:val="26"/>
        </w:rPr>
        <w:t xml:space="preserve">the </w:t>
      </w:r>
      <w:r w:rsidR="009E235E" w:rsidRPr="00C80D3A">
        <w:rPr>
          <w:sz w:val="26"/>
          <w:szCs w:val="26"/>
        </w:rPr>
        <w:t xml:space="preserve">definition </w:t>
      </w:r>
      <w:r w:rsidR="00E82140">
        <w:rPr>
          <w:sz w:val="26"/>
          <w:szCs w:val="26"/>
        </w:rPr>
        <w:t>o</w:t>
      </w:r>
      <w:r w:rsidR="009E235E" w:rsidRPr="00C80D3A">
        <w:rPr>
          <w:sz w:val="26"/>
          <w:szCs w:val="26"/>
        </w:rPr>
        <w:t xml:space="preserve">f </w:t>
      </w:r>
      <w:r w:rsidR="00E82140">
        <w:rPr>
          <w:sz w:val="26"/>
          <w:szCs w:val="26"/>
        </w:rPr>
        <w:t>“</w:t>
      </w:r>
      <w:r w:rsidR="00724406">
        <w:rPr>
          <w:sz w:val="26"/>
          <w:szCs w:val="26"/>
        </w:rPr>
        <w:t xml:space="preserve">USAC – </w:t>
      </w:r>
      <w:r w:rsidR="009E235E" w:rsidRPr="00C80D3A">
        <w:rPr>
          <w:sz w:val="26"/>
          <w:szCs w:val="26"/>
        </w:rPr>
        <w:t>universal service advisory committee</w:t>
      </w:r>
      <w:r w:rsidR="00E82140">
        <w:rPr>
          <w:sz w:val="26"/>
          <w:szCs w:val="26"/>
        </w:rPr>
        <w:t>”</w:t>
      </w:r>
      <w:r w:rsidR="009E235E" w:rsidRPr="00C80D3A">
        <w:rPr>
          <w:sz w:val="26"/>
          <w:szCs w:val="26"/>
        </w:rPr>
        <w:t xml:space="preserve"> to reflect the use of such stakeholder groups</w:t>
      </w:r>
      <w:r w:rsidR="009E235E">
        <w:rPr>
          <w:sz w:val="26"/>
          <w:szCs w:val="26"/>
        </w:rPr>
        <w:t xml:space="preserve">; adding </w:t>
      </w:r>
      <w:r w:rsidR="00E82140">
        <w:rPr>
          <w:sz w:val="26"/>
          <w:szCs w:val="26"/>
        </w:rPr>
        <w:t xml:space="preserve">the </w:t>
      </w:r>
      <w:r w:rsidR="009E235E">
        <w:rPr>
          <w:sz w:val="26"/>
          <w:szCs w:val="26"/>
        </w:rPr>
        <w:t xml:space="preserve">definition </w:t>
      </w:r>
      <w:r w:rsidR="00E82140">
        <w:rPr>
          <w:sz w:val="26"/>
          <w:szCs w:val="26"/>
        </w:rPr>
        <w:t>o</w:t>
      </w:r>
      <w:r w:rsidR="009E235E">
        <w:rPr>
          <w:sz w:val="26"/>
          <w:szCs w:val="26"/>
        </w:rPr>
        <w:t xml:space="preserve">f </w:t>
      </w:r>
      <w:r w:rsidR="00E82140">
        <w:rPr>
          <w:sz w:val="26"/>
          <w:szCs w:val="26"/>
        </w:rPr>
        <w:t>“</w:t>
      </w:r>
      <w:r w:rsidR="00724406">
        <w:rPr>
          <w:sz w:val="26"/>
          <w:szCs w:val="26"/>
        </w:rPr>
        <w:t xml:space="preserve">USECP – </w:t>
      </w:r>
      <w:r w:rsidR="009E235E">
        <w:rPr>
          <w:sz w:val="26"/>
          <w:szCs w:val="26"/>
        </w:rPr>
        <w:t>universal service and energy conservation plan</w:t>
      </w:r>
      <w:r w:rsidR="009E235E" w:rsidRPr="00C80D3A">
        <w:rPr>
          <w:sz w:val="26"/>
          <w:szCs w:val="26"/>
        </w:rPr>
        <w:t>.</w:t>
      </w:r>
      <w:r w:rsidR="00E82140">
        <w:rPr>
          <w:sz w:val="26"/>
          <w:szCs w:val="26"/>
        </w:rPr>
        <w:t>”</w:t>
      </w:r>
      <w:r w:rsidR="009E235E">
        <w:rPr>
          <w:sz w:val="26"/>
          <w:szCs w:val="26"/>
        </w:rPr>
        <w:t xml:space="preserve"> </w:t>
      </w:r>
    </w:p>
    <w:p w14:paraId="09E08AF4" w14:textId="6EB08D01" w:rsidR="00E405E5" w:rsidRPr="00C80D3A" w:rsidRDefault="00E405E5" w:rsidP="00F2127A">
      <w:pPr>
        <w:spacing w:after="0" w:line="360" w:lineRule="auto"/>
        <w:ind w:left="1440" w:hanging="720"/>
        <w:contextualSpacing/>
        <w:rPr>
          <w:rFonts w:ascii="Times New Roman" w:hAnsi="Times New Roman" w:cs="Times New Roman"/>
          <w:sz w:val="26"/>
          <w:szCs w:val="26"/>
        </w:rPr>
      </w:pPr>
    </w:p>
    <w:p w14:paraId="061E5741" w14:textId="2D84897E" w:rsidR="00461783" w:rsidRPr="00C80D3A" w:rsidRDefault="001F4F84" w:rsidP="00F2127A">
      <w:pPr>
        <w:pStyle w:val="ListParagraph"/>
        <w:numPr>
          <w:ilvl w:val="0"/>
          <w:numId w:val="27"/>
        </w:numPr>
        <w:spacing w:line="360" w:lineRule="auto"/>
        <w:ind w:left="1440" w:hanging="720"/>
        <w:rPr>
          <w:sz w:val="26"/>
          <w:szCs w:val="26"/>
        </w:rPr>
      </w:pPr>
      <w:r>
        <w:rPr>
          <w:sz w:val="26"/>
          <w:szCs w:val="26"/>
        </w:rPr>
        <w:t>Upda</w:t>
      </w:r>
      <w:r w:rsidR="00E613B5">
        <w:rPr>
          <w:sz w:val="26"/>
          <w:szCs w:val="26"/>
        </w:rPr>
        <w:t>ting Section</w:t>
      </w:r>
      <w:r w:rsidR="0045077A">
        <w:rPr>
          <w:sz w:val="26"/>
          <w:szCs w:val="26"/>
        </w:rPr>
        <w:t>s</w:t>
      </w:r>
      <w:r w:rsidR="00E613B5">
        <w:rPr>
          <w:sz w:val="26"/>
          <w:szCs w:val="26"/>
        </w:rPr>
        <w:t xml:space="preserve"> 69.263</w:t>
      </w:r>
      <w:r w:rsidR="00E82140">
        <w:rPr>
          <w:sz w:val="26"/>
          <w:szCs w:val="26"/>
        </w:rPr>
        <w:t>-</w:t>
      </w:r>
      <w:r w:rsidR="0045077A">
        <w:rPr>
          <w:sz w:val="26"/>
          <w:szCs w:val="26"/>
        </w:rPr>
        <w:t>69.267</w:t>
      </w:r>
      <w:r w:rsidR="00E613B5">
        <w:rPr>
          <w:sz w:val="26"/>
          <w:szCs w:val="26"/>
        </w:rPr>
        <w:t xml:space="preserve">: </w:t>
      </w:r>
      <w:r w:rsidR="0053148D" w:rsidRPr="00C80D3A">
        <w:rPr>
          <w:sz w:val="26"/>
          <w:szCs w:val="26"/>
        </w:rPr>
        <w:t>Incorporating the current USECP review process</w:t>
      </w:r>
      <w:r w:rsidR="0045077A">
        <w:rPr>
          <w:sz w:val="26"/>
          <w:szCs w:val="26"/>
        </w:rPr>
        <w:t>es</w:t>
      </w:r>
      <w:r w:rsidR="0053148D" w:rsidRPr="00C80D3A">
        <w:rPr>
          <w:sz w:val="26"/>
          <w:szCs w:val="26"/>
        </w:rPr>
        <w:t xml:space="preserve"> since we are past the initial USECP development stage.</w:t>
      </w:r>
    </w:p>
    <w:p w14:paraId="00CDB54A" w14:textId="1A0F2259" w:rsidR="00461783" w:rsidRPr="00C80D3A" w:rsidRDefault="00461783" w:rsidP="00F2127A">
      <w:pPr>
        <w:spacing w:after="0" w:line="360" w:lineRule="auto"/>
        <w:ind w:left="1440" w:hanging="720"/>
        <w:contextualSpacing/>
        <w:rPr>
          <w:rFonts w:ascii="Times New Roman" w:hAnsi="Times New Roman" w:cs="Times New Roman"/>
          <w:sz w:val="26"/>
          <w:szCs w:val="26"/>
        </w:rPr>
      </w:pPr>
    </w:p>
    <w:p w14:paraId="51A56C6C" w14:textId="34B5A7E0" w:rsidR="00A956D9" w:rsidRPr="00C80D3A" w:rsidRDefault="00E613B5" w:rsidP="00F2127A">
      <w:pPr>
        <w:pStyle w:val="ListParagraph"/>
        <w:numPr>
          <w:ilvl w:val="0"/>
          <w:numId w:val="27"/>
        </w:numPr>
        <w:spacing w:line="360" w:lineRule="auto"/>
        <w:ind w:left="1440" w:hanging="720"/>
        <w:rPr>
          <w:sz w:val="26"/>
          <w:szCs w:val="26"/>
        </w:rPr>
      </w:pPr>
      <w:r>
        <w:rPr>
          <w:sz w:val="26"/>
          <w:szCs w:val="26"/>
        </w:rPr>
        <w:t xml:space="preserve">Updating </w:t>
      </w:r>
      <w:r w:rsidR="00A550A9" w:rsidRPr="00C80D3A">
        <w:rPr>
          <w:sz w:val="26"/>
          <w:szCs w:val="26"/>
        </w:rPr>
        <w:t xml:space="preserve">Section 69.265(1): </w:t>
      </w:r>
      <w:r w:rsidR="00A956D9" w:rsidRPr="00C80D3A">
        <w:rPr>
          <w:sz w:val="26"/>
          <w:szCs w:val="26"/>
        </w:rPr>
        <w:t>Eliminat</w:t>
      </w:r>
      <w:r w:rsidR="00A92924" w:rsidRPr="00C80D3A">
        <w:rPr>
          <w:sz w:val="26"/>
          <w:szCs w:val="26"/>
        </w:rPr>
        <w:t>ing</w:t>
      </w:r>
      <w:r w:rsidR="00A956D9" w:rsidRPr="00C80D3A">
        <w:rPr>
          <w:sz w:val="26"/>
          <w:szCs w:val="26"/>
        </w:rPr>
        <w:t xml:space="preserve"> the provision</w:t>
      </w:r>
      <w:r w:rsidR="00026401" w:rsidRPr="00C80D3A">
        <w:rPr>
          <w:sz w:val="26"/>
          <w:szCs w:val="26"/>
        </w:rPr>
        <w:t>s</w:t>
      </w:r>
      <w:r w:rsidR="00A956D9" w:rsidRPr="00C80D3A">
        <w:rPr>
          <w:sz w:val="26"/>
          <w:szCs w:val="26"/>
        </w:rPr>
        <w:t xml:space="preserve"> that LIHEAP grants provide CAP program funding</w:t>
      </w:r>
      <w:r w:rsidR="00026401" w:rsidRPr="00C80D3A">
        <w:rPr>
          <w:sz w:val="26"/>
          <w:szCs w:val="26"/>
        </w:rPr>
        <w:t xml:space="preserve"> and that they should be applied to </w:t>
      </w:r>
      <w:r w:rsidR="00672143" w:rsidRPr="00C80D3A">
        <w:rPr>
          <w:sz w:val="26"/>
          <w:szCs w:val="26"/>
        </w:rPr>
        <w:t>reduce the amount of CAP credits</w:t>
      </w:r>
      <w:r w:rsidR="00A956D9" w:rsidRPr="00C80D3A">
        <w:rPr>
          <w:sz w:val="26"/>
          <w:szCs w:val="26"/>
        </w:rPr>
        <w:t xml:space="preserve">.  If the current DHS policy is revised to reflect </w:t>
      </w:r>
      <w:r w:rsidR="00E9372B" w:rsidRPr="00C80D3A">
        <w:rPr>
          <w:sz w:val="26"/>
          <w:szCs w:val="26"/>
        </w:rPr>
        <w:t>pre-2009 use of LIHEAP grants, this provision can be reinstated.</w:t>
      </w:r>
    </w:p>
    <w:p w14:paraId="746BFFBB" w14:textId="77777777" w:rsidR="006D3009" w:rsidRDefault="006D3009" w:rsidP="006D3009">
      <w:pPr>
        <w:pStyle w:val="ListParagraph"/>
        <w:spacing w:line="360" w:lineRule="auto"/>
        <w:rPr>
          <w:sz w:val="26"/>
          <w:szCs w:val="26"/>
        </w:rPr>
      </w:pPr>
    </w:p>
    <w:p w14:paraId="6E3EA4F0" w14:textId="6D9F660A" w:rsidR="006D3009" w:rsidRPr="000B3D37" w:rsidRDefault="006D3009" w:rsidP="006D3009">
      <w:pPr>
        <w:pStyle w:val="ListParagraph"/>
        <w:numPr>
          <w:ilvl w:val="0"/>
          <w:numId w:val="27"/>
        </w:numPr>
        <w:spacing w:line="360" w:lineRule="auto"/>
        <w:ind w:left="1440" w:hanging="720"/>
        <w:rPr>
          <w:sz w:val="26"/>
          <w:szCs w:val="26"/>
        </w:rPr>
      </w:pPr>
      <w:r w:rsidRPr="000B3D37">
        <w:rPr>
          <w:sz w:val="26"/>
          <w:szCs w:val="26"/>
        </w:rPr>
        <w:t xml:space="preserve">Updating Section 69.265(2)(i)(B) and (C): </w:t>
      </w:r>
      <w:r w:rsidR="00414BC8">
        <w:rPr>
          <w:sz w:val="26"/>
          <w:szCs w:val="26"/>
        </w:rPr>
        <w:t>Referring</w:t>
      </w:r>
      <w:r w:rsidRPr="000B3D37">
        <w:rPr>
          <w:sz w:val="26"/>
          <w:szCs w:val="26"/>
        </w:rPr>
        <w:t xml:space="preserve"> to “natural gas” rather than “gas.”</w:t>
      </w:r>
    </w:p>
    <w:p w14:paraId="00B9D6A4" w14:textId="77777777" w:rsidR="006D3009" w:rsidRPr="00D35363" w:rsidRDefault="006D3009" w:rsidP="00F2127A">
      <w:pPr>
        <w:pStyle w:val="ListParagraph"/>
        <w:spacing w:line="360" w:lineRule="auto"/>
        <w:rPr>
          <w:sz w:val="26"/>
          <w:szCs w:val="26"/>
        </w:rPr>
      </w:pPr>
    </w:p>
    <w:p w14:paraId="077A8158" w14:textId="7FE41FA8" w:rsidR="00D35363" w:rsidRDefault="00D35363" w:rsidP="00F2127A">
      <w:pPr>
        <w:pStyle w:val="ListParagraph"/>
        <w:numPr>
          <w:ilvl w:val="0"/>
          <w:numId w:val="27"/>
        </w:numPr>
        <w:spacing w:line="360" w:lineRule="auto"/>
        <w:ind w:left="1440" w:hanging="720"/>
        <w:rPr>
          <w:sz w:val="26"/>
          <w:szCs w:val="26"/>
        </w:rPr>
      </w:pPr>
      <w:r>
        <w:rPr>
          <w:sz w:val="26"/>
          <w:szCs w:val="26"/>
        </w:rPr>
        <w:t xml:space="preserve">Updating Section 69.265(3)(vi): </w:t>
      </w:r>
      <w:r w:rsidR="004504DE">
        <w:rPr>
          <w:sz w:val="26"/>
          <w:szCs w:val="26"/>
        </w:rPr>
        <w:t xml:space="preserve">Referring to </w:t>
      </w:r>
      <w:r>
        <w:rPr>
          <w:sz w:val="26"/>
          <w:szCs w:val="26"/>
        </w:rPr>
        <w:t>exemptions as “maximum CAP credit or consumption limits” rather than “CAP control feature.”</w:t>
      </w:r>
    </w:p>
    <w:p w14:paraId="127263DD" w14:textId="77777777" w:rsidR="009877B3" w:rsidRPr="00EB77EC" w:rsidRDefault="009877B3" w:rsidP="00EB77EC">
      <w:pPr>
        <w:pStyle w:val="ListParagraph"/>
        <w:rPr>
          <w:sz w:val="26"/>
          <w:szCs w:val="26"/>
        </w:rPr>
      </w:pPr>
    </w:p>
    <w:p w14:paraId="4A2BEEBB" w14:textId="5F37F78E" w:rsidR="009877B3" w:rsidRPr="00C80D3A" w:rsidRDefault="00B1426B" w:rsidP="00F2127A">
      <w:pPr>
        <w:pStyle w:val="ListParagraph"/>
        <w:numPr>
          <w:ilvl w:val="0"/>
          <w:numId w:val="27"/>
        </w:numPr>
        <w:spacing w:line="360" w:lineRule="auto"/>
        <w:ind w:left="1440" w:hanging="720"/>
        <w:rPr>
          <w:sz w:val="26"/>
          <w:szCs w:val="26"/>
        </w:rPr>
      </w:pPr>
      <w:r>
        <w:rPr>
          <w:sz w:val="26"/>
          <w:szCs w:val="26"/>
        </w:rPr>
        <w:t>Updating Section 69.261 and Section</w:t>
      </w:r>
      <w:r w:rsidR="00B75266">
        <w:rPr>
          <w:sz w:val="26"/>
          <w:szCs w:val="26"/>
        </w:rPr>
        <w:t xml:space="preserve"> 69.265(2)(i)</w:t>
      </w:r>
      <w:r w:rsidR="002862D4">
        <w:rPr>
          <w:sz w:val="26"/>
          <w:szCs w:val="26"/>
        </w:rPr>
        <w:t xml:space="preserve">, (3)(vii), (8)(ii)(C), </w:t>
      </w:r>
      <w:r w:rsidR="00CC6837">
        <w:rPr>
          <w:sz w:val="26"/>
          <w:szCs w:val="26"/>
        </w:rPr>
        <w:t xml:space="preserve">and (9)(iii): </w:t>
      </w:r>
      <w:r w:rsidR="00414BC8">
        <w:rPr>
          <w:sz w:val="26"/>
          <w:szCs w:val="26"/>
        </w:rPr>
        <w:t>Reflecting</w:t>
      </w:r>
      <w:r w:rsidR="00CC6837">
        <w:rPr>
          <w:sz w:val="26"/>
          <w:szCs w:val="26"/>
        </w:rPr>
        <w:t xml:space="preserve"> usage of “household” instead of “family.”</w:t>
      </w:r>
    </w:p>
    <w:p w14:paraId="54408ED0" w14:textId="791BC0C9" w:rsidR="00A956D9" w:rsidRPr="00C80D3A" w:rsidRDefault="00A956D9" w:rsidP="00F2127A">
      <w:pPr>
        <w:pStyle w:val="ListParagraph"/>
        <w:tabs>
          <w:tab w:val="left" w:pos="270"/>
        </w:tabs>
        <w:spacing w:line="360" w:lineRule="auto"/>
        <w:ind w:left="0"/>
        <w:rPr>
          <w:sz w:val="26"/>
          <w:szCs w:val="26"/>
        </w:rPr>
      </w:pPr>
    </w:p>
    <w:p w14:paraId="49DAA966" w14:textId="306E86D5" w:rsidR="00506216" w:rsidRDefault="00690ACE" w:rsidP="00405889">
      <w:pPr>
        <w:pStyle w:val="ListParagraph"/>
        <w:keepNext/>
        <w:tabs>
          <w:tab w:val="left" w:pos="270"/>
        </w:tabs>
        <w:ind w:left="0"/>
        <w:jc w:val="center"/>
        <w:rPr>
          <w:b/>
          <w:bCs/>
          <w:sz w:val="26"/>
          <w:szCs w:val="26"/>
        </w:rPr>
      </w:pPr>
      <w:r w:rsidRPr="00C80D3A">
        <w:rPr>
          <w:b/>
          <w:bCs/>
          <w:sz w:val="26"/>
          <w:szCs w:val="26"/>
        </w:rPr>
        <w:t>CONCLUSION</w:t>
      </w:r>
    </w:p>
    <w:p w14:paraId="1B3775EB" w14:textId="77777777" w:rsidR="00405889" w:rsidRPr="00C80D3A" w:rsidRDefault="00405889" w:rsidP="009A3B4B">
      <w:pPr>
        <w:pStyle w:val="ListParagraph"/>
        <w:keepNext/>
        <w:tabs>
          <w:tab w:val="left" w:pos="270"/>
        </w:tabs>
        <w:ind w:left="0"/>
        <w:jc w:val="center"/>
        <w:rPr>
          <w:b/>
          <w:bCs/>
          <w:sz w:val="26"/>
          <w:szCs w:val="26"/>
        </w:rPr>
      </w:pPr>
    </w:p>
    <w:p w14:paraId="478508B6" w14:textId="32E78B63" w:rsidR="00601525" w:rsidRDefault="00506216" w:rsidP="00315DBC">
      <w:pPr>
        <w:pStyle w:val="ListParagraph"/>
        <w:tabs>
          <w:tab w:val="left" w:pos="720"/>
        </w:tabs>
        <w:spacing w:line="360" w:lineRule="auto"/>
        <w:ind w:left="0"/>
        <w:rPr>
          <w:color w:val="212121"/>
          <w:sz w:val="26"/>
          <w:szCs w:val="26"/>
        </w:rPr>
      </w:pPr>
      <w:r w:rsidRPr="00C80D3A">
        <w:rPr>
          <w:sz w:val="26"/>
          <w:szCs w:val="26"/>
        </w:rPr>
        <w:tab/>
      </w:r>
      <w:r w:rsidR="00FA3519" w:rsidRPr="00C80D3A">
        <w:rPr>
          <w:color w:val="212121"/>
          <w:sz w:val="26"/>
          <w:szCs w:val="26"/>
        </w:rPr>
        <w:t xml:space="preserve">The Commission reviewed and addressed comments relating to the CAP Policy Statement as part of its </w:t>
      </w:r>
      <w:r w:rsidR="00F41C93" w:rsidRPr="00C80D3A">
        <w:rPr>
          <w:i/>
          <w:color w:val="212121"/>
          <w:sz w:val="26"/>
          <w:szCs w:val="26"/>
        </w:rPr>
        <w:t>Review</w:t>
      </w:r>
      <w:r w:rsidR="00F41C93" w:rsidRPr="00C80D3A">
        <w:rPr>
          <w:color w:val="212121"/>
          <w:sz w:val="26"/>
          <w:szCs w:val="26"/>
        </w:rPr>
        <w:t xml:space="preserve"> proceeding at </w:t>
      </w:r>
      <w:r w:rsidR="006C1DAF" w:rsidRPr="00C80D3A">
        <w:rPr>
          <w:color w:val="212121"/>
          <w:sz w:val="26"/>
          <w:szCs w:val="26"/>
        </w:rPr>
        <w:t>D</w:t>
      </w:r>
      <w:r w:rsidR="00F41C93" w:rsidRPr="00C80D3A">
        <w:rPr>
          <w:color w:val="212121"/>
          <w:sz w:val="26"/>
          <w:szCs w:val="26"/>
        </w:rPr>
        <w:t xml:space="preserve">ocket No. </w:t>
      </w:r>
      <w:r w:rsidR="00415B21" w:rsidRPr="00C80D3A">
        <w:rPr>
          <w:color w:val="212121"/>
          <w:sz w:val="26"/>
          <w:szCs w:val="26"/>
        </w:rPr>
        <w:t xml:space="preserve">M-2017-2596907 </w:t>
      </w:r>
      <w:r w:rsidR="00F41C93" w:rsidRPr="00C80D3A">
        <w:rPr>
          <w:color w:val="212121"/>
          <w:sz w:val="26"/>
          <w:szCs w:val="26"/>
        </w:rPr>
        <w:t>and</w:t>
      </w:r>
      <w:r w:rsidR="00415B21" w:rsidRPr="00C80D3A">
        <w:rPr>
          <w:color w:val="212121"/>
          <w:sz w:val="26"/>
          <w:szCs w:val="26"/>
        </w:rPr>
        <w:t xml:space="preserve"> its</w:t>
      </w:r>
      <w:r w:rsidR="00F41C93" w:rsidRPr="00C80D3A">
        <w:rPr>
          <w:color w:val="212121"/>
          <w:sz w:val="26"/>
          <w:szCs w:val="26"/>
        </w:rPr>
        <w:t xml:space="preserve"> </w:t>
      </w:r>
      <w:r w:rsidR="00F41C93" w:rsidRPr="00C80D3A">
        <w:rPr>
          <w:i/>
          <w:color w:val="212121"/>
          <w:sz w:val="26"/>
          <w:szCs w:val="26"/>
        </w:rPr>
        <w:t>Energy Affordability</w:t>
      </w:r>
      <w:r w:rsidR="00F41C93" w:rsidRPr="00C80D3A">
        <w:rPr>
          <w:color w:val="212121"/>
          <w:sz w:val="26"/>
          <w:szCs w:val="26"/>
        </w:rPr>
        <w:t xml:space="preserve"> proceeding</w:t>
      </w:r>
      <w:r w:rsidR="00415B21" w:rsidRPr="00C80D3A">
        <w:rPr>
          <w:color w:val="212121"/>
          <w:sz w:val="26"/>
          <w:szCs w:val="26"/>
        </w:rPr>
        <w:t xml:space="preserve"> at Docket No. M-2017-2587711</w:t>
      </w:r>
      <w:r w:rsidR="00F41C93" w:rsidRPr="00C80D3A">
        <w:rPr>
          <w:color w:val="212121"/>
          <w:sz w:val="26"/>
          <w:szCs w:val="26"/>
        </w:rPr>
        <w:t xml:space="preserve">.  </w:t>
      </w:r>
    </w:p>
    <w:p w14:paraId="44160F8A" w14:textId="77777777" w:rsidR="00601525" w:rsidRDefault="00601525" w:rsidP="00315DBC">
      <w:pPr>
        <w:pStyle w:val="ListParagraph"/>
        <w:tabs>
          <w:tab w:val="left" w:pos="720"/>
        </w:tabs>
        <w:spacing w:line="360" w:lineRule="auto"/>
        <w:ind w:left="0"/>
        <w:rPr>
          <w:color w:val="212121"/>
          <w:sz w:val="26"/>
          <w:szCs w:val="26"/>
        </w:rPr>
      </w:pPr>
    </w:p>
    <w:p w14:paraId="5D39D1DF" w14:textId="5C7777A6" w:rsidR="00601525" w:rsidRDefault="00601525" w:rsidP="00315DBC">
      <w:pPr>
        <w:pStyle w:val="ListParagraph"/>
        <w:tabs>
          <w:tab w:val="left" w:pos="720"/>
        </w:tabs>
        <w:spacing w:line="360" w:lineRule="auto"/>
        <w:ind w:left="0"/>
        <w:rPr>
          <w:color w:val="212121"/>
          <w:sz w:val="26"/>
          <w:szCs w:val="26"/>
        </w:rPr>
      </w:pPr>
      <w:r>
        <w:rPr>
          <w:sz w:val="26"/>
          <w:szCs w:val="26"/>
        </w:rPr>
        <w:tab/>
        <w:t xml:space="preserve">As noted above, </w:t>
      </w:r>
      <w:r w:rsidR="00662809">
        <w:rPr>
          <w:sz w:val="26"/>
          <w:szCs w:val="26"/>
        </w:rPr>
        <w:t xml:space="preserve">we </w:t>
      </w:r>
      <w:r w:rsidR="008F4DB3">
        <w:rPr>
          <w:sz w:val="26"/>
          <w:szCs w:val="26"/>
        </w:rPr>
        <w:t>appreciate the input fr</w:t>
      </w:r>
      <w:r w:rsidR="000E250E">
        <w:rPr>
          <w:sz w:val="26"/>
          <w:szCs w:val="26"/>
        </w:rPr>
        <w:t>o</w:t>
      </w:r>
      <w:r w:rsidR="008F4DB3">
        <w:rPr>
          <w:sz w:val="26"/>
          <w:szCs w:val="26"/>
        </w:rPr>
        <w:t xml:space="preserve">m </w:t>
      </w:r>
      <w:r w:rsidR="008F4DB3" w:rsidRPr="00A756DF">
        <w:rPr>
          <w:sz w:val="26"/>
          <w:szCs w:val="26"/>
        </w:rPr>
        <w:t xml:space="preserve">the </w:t>
      </w:r>
      <w:r w:rsidR="00125A43" w:rsidRPr="00A756DF">
        <w:rPr>
          <w:sz w:val="26"/>
          <w:szCs w:val="26"/>
        </w:rPr>
        <w:t xml:space="preserve">utilities and the </w:t>
      </w:r>
      <w:r w:rsidRPr="00A756DF">
        <w:rPr>
          <w:sz w:val="26"/>
          <w:szCs w:val="26"/>
        </w:rPr>
        <w:t xml:space="preserve">many </w:t>
      </w:r>
      <w:r w:rsidR="00125A43" w:rsidRPr="00A756DF">
        <w:rPr>
          <w:sz w:val="26"/>
          <w:szCs w:val="26"/>
        </w:rPr>
        <w:t xml:space="preserve">other </w:t>
      </w:r>
      <w:r w:rsidRPr="00A756DF">
        <w:rPr>
          <w:sz w:val="26"/>
          <w:szCs w:val="26"/>
        </w:rPr>
        <w:t>stakeholders</w:t>
      </w:r>
      <w:r w:rsidR="009C40A7" w:rsidRPr="00A756DF">
        <w:rPr>
          <w:rStyle w:val="FootnoteReference"/>
          <w:sz w:val="26"/>
          <w:szCs w:val="26"/>
        </w:rPr>
        <w:footnoteReference w:id="153"/>
      </w:r>
      <w:r w:rsidRPr="00A756DF">
        <w:rPr>
          <w:sz w:val="26"/>
          <w:szCs w:val="26"/>
        </w:rPr>
        <w:t xml:space="preserve"> who participated in workgroup meetings</w:t>
      </w:r>
      <w:r w:rsidR="003740D7" w:rsidRPr="00A756DF">
        <w:rPr>
          <w:sz w:val="26"/>
          <w:szCs w:val="26"/>
        </w:rPr>
        <w:t xml:space="preserve"> and</w:t>
      </w:r>
      <w:r w:rsidRPr="00A756DF">
        <w:rPr>
          <w:sz w:val="26"/>
          <w:szCs w:val="26"/>
        </w:rPr>
        <w:t xml:space="preserve"> stakeholder meetings and who submitted comments and information </w:t>
      </w:r>
      <w:r w:rsidR="003740D7" w:rsidRPr="00A756DF">
        <w:rPr>
          <w:sz w:val="26"/>
          <w:szCs w:val="26"/>
        </w:rPr>
        <w:t xml:space="preserve">in the </w:t>
      </w:r>
      <w:r w:rsidR="003740D7" w:rsidRPr="00A756DF">
        <w:rPr>
          <w:i/>
          <w:sz w:val="26"/>
          <w:szCs w:val="26"/>
        </w:rPr>
        <w:t>Review</w:t>
      </w:r>
      <w:r w:rsidR="003740D7" w:rsidRPr="00A756DF">
        <w:rPr>
          <w:sz w:val="26"/>
          <w:szCs w:val="26"/>
        </w:rPr>
        <w:t xml:space="preserve"> and </w:t>
      </w:r>
      <w:r w:rsidR="003740D7" w:rsidRPr="00A756DF">
        <w:rPr>
          <w:i/>
          <w:sz w:val="26"/>
          <w:szCs w:val="26"/>
        </w:rPr>
        <w:t>Energy Affordability</w:t>
      </w:r>
      <w:r w:rsidR="003740D7" w:rsidRPr="00A756DF">
        <w:rPr>
          <w:sz w:val="26"/>
          <w:szCs w:val="26"/>
        </w:rPr>
        <w:t xml:space="preserve"> proceedings as well as the various utility-specific USECP dockets</w:t>
      </w:r>
      <w:r w:rsidRPr="00A756DF">
        <w:rPr>
          <w:sz w:val="26"/>
          <w:szCs w:val="26"/>
        </w:rPr>
        <w:t>.  The stakeholders</w:t>
      </w:r>
      <w:r>
        <w:rPr>
          <w:sz w:val="26"/>
          <w:szCs w:val="26"/>
        </w:rPr>
        <w:t xml:space="preserve"> </w:t>
      </w:r>
      <w:r w:rsidRPr="002826DF">
        <w:rPr>
          <w:sz w:val="26"/>
          <w:szCs w:val="26"/>
        </w:rPr>
        <w:t xml:space="preserve">are engaged in these fundamental </w:t>
      </w:r>
      <w:r w:rsidR="000E250E">
        <w:rPr>
          <w:sz w:val="26"/>
          <w:szCs w:val="26"/>
        </w:rPr>
        <w:t xml:space="preserve">universal service </w:t>
      </w:r>
      <w:r w:rsidRPr="002826DF">
        <w:rPr>
          <w:sz w:val="26"/>
          <w:szCs w:val="26"/>
        </w:rPr>
        <w:t>issues daily</w:t>
      </w:r>
      <w:r w:rsidR="001E07B9">
        <w:rPr>
          <w:sz w:val="26"/>
          <w:szCs w:val="26"/>
        </w:rPr>
        <w:t xml:space="preserve">.  Their input has </w:t>
      </w:r>
      <w:r w:rsidRPr="002826DF">
        <w:rPr>
          <w:sz w:val="26"/>
          <w:szCs w:val="26"/>
        </w:rPr>
        <w:t xml:space="preserve">ultimately delivered empirically derived results that have informed our decision making and the </w:t>
      </w:r>
      <w:r w:rsidR="00A918C2">
        <w:rPr>
          <w:sz w:val="26"/>
          <w:szCs w:val="26"/>
        </w:rPr>
        <w:t xml:space="preserve">CAP </w:t>
      </w:r>
      <w:r w:rsidRPr="002826DF">
        <w:rPr>
          <w:sz w:val="26"/>
          <w:szCs w:val="26"/>
        </w:rPr>
        <w:t xml:space="preserve">policies we </w:t>
      </w:r>
      <w:r>
        <w:rPr>
          <w:sz w:val="26"/>
          <w:szCs w:val="26"/>
        </w:rPr>
        <w:t xml:space="preserve">hereby </w:t>
      </w:r>
      <w:r w:rsidRPr="002826DF">
        <w:rPr>
          <w:sz w:val="26"/>
          <w:szCs w:val="26"/>
        </w:rPr>
        <w:t>adopt.</w:t>
      </w:r>
    </w:p>
    <w:p w14:paraId="2DC59BD4" w14:textId="77777777" w:rsidR="00601525" w:rsidRDefault="00601525" w:rsidP="00315DBC">
      <w:pPr>
        <w:pStyle w:val="ListParagraph"/>
        <w:tabs>
          <w:tab w:val="left" w:pos="720"/>
        </w:tabs>
        <w:spacing w:line="360" w:lineRule="auto"/>
        <w:ind w:left="0"/>
        <w:rPr>
          <w:color w:val="212121"/>
          <w:sz w:val="26"/>
          <w:szCs w:val="26"/>
        </w:rPr>
      </w:pPr>
    </w:p>
    <w:p w14:paraId="1C437A50" w14:textId="0C40F8B0" w:rsidR="00B96A0F" w:rsidRDefault="00601525" w:rsidP="00315DBC">
      <w:pPr>
        <w:pStyle w:val="ListParagraph"/>
        <w:tabs>
          <w:tab w:val="left" w:pos="720"/>
        </w:tabs>
        <w:spacing w:line="360" w:lineRule="auto"/>
        <w:ind w:left="0"/>
        <w:rPr>
          <w:sz w:val="26"/>
          <w:szCs w:val="26"/>
        </w:rPr>
      </w:pPr>
      <w:r>
        <w:rPr>
          <w:color w:val="212121"/>
          <w:sz w:val="26"/>
          <w:szCs w:val="26"/>
        </w:rPr>
        <w:tab/>
      </w:r>
      <w:r w:rsidR="00FA3519" w:rsidRPr="00C80D3A">
        <w:rPr>
          <w:color w:val="212121"/>
          <w:sz w:val="26"/>
          <w:szCs w:val="26"/>
        </w:rPr>
        <w:t xml:space="preserve">Because interested parties have been given an opportunity to comment </w:t>
      </w:r>
      <w:r w:rsidR="00DA42DB" w:rsidRPr="00C80D3A">
        <w:rPr>
          <w:color w:val="212121"/>
          <w:sz w:val="26"/>
          <w:szCs w:val="26"/>
        </w:rPr>
        <w:t xml:space="preserve">in the </w:t>
      </w:r>
      <w:r w:rsidR="00A918C2" w:rsidRPr="0031420D">
        <w:rPr>
          <w:i/>
          <w:sz w:val="26"/>
          <w:szCs w:val="26"/>
        </w:rPr>
        <w:t>Review</w:t>
      </w:r>
      <w:r w:rsidR="00A918C2">
        <w:rPr>
          <w:sz w:val="26"/>
          <w:szCs w:val="26"/>
        </w:rPr>
        <w:t xml:space="preserve"> and </w:t>
      </w:r>
      <w:r w:rsidR="00A918C2" w:rsidRPr="0031420D">
        <w:rPr>
          <w:i/>
          <w:sz w:val="26"/>
          <w:szCs w:val="26"/>
        </w:rPr>
        <w:t>Energy Affordability</w:t>
      </w:r>
      <w:r w:rsidR="00A918C2">
        <w:rPr>
          <w:sz w:val="26"/>
          <w:szCs w:val="26"/>
        </w:rPr>
        <w:t xml:space="preserve"> proceedings</w:t>
      </w:r>
      <w:r w:rsidR="00E33D45">
        <w:rPr>
          <w:color w:val="212121"/>
          <w:sz w:val="26"/>
          <w:szCs w:val="26"/>
        </w:rPr>
        <w:t>, as well as the various utility-specific USECP proceedings</w:t>
      </w:r>
      <w:r w:rsidR="00DA42DB" w:rsidRPr="00C80D3A">
        <w:rPr>
          <w:color w:val="212121"/>
          <w:sz w:val="26"/>
          <w:szCs w:val="26"/>
        </w:rPr>
        <w:t xml:space="preserve">, </w:t>
      </w:r>
      <w:r w:rsidR="00FA3519" w:rsidRPr="00C80D3A">
        <w:rPr>
          <w:color w:val="212121"/>
          <w:sz w:val="26"/>
          <w:szCs w:val="26"/>
        </w:rPr>
        <w:t xml:space="preserve">we are directing that the </w:t>
      </w:r>
      <w:r w:rsidR="001D385D" w:rsidRPr="00C80D3A">
        <w:rPr>
          <w:color w:val="212121"/>
          <w:sz w:val="26"/>
          <w:szCs w:val="26"/>
        </w:rPr>
        <w:t xml:space="preserve">amendments </w:t>
      </w:r>
      <w:r w:rsidR="00FA3519" w:rsidRPr="00C80D3A">
        <w:rPr>
          <w:color w:val="212121"/>
          <w:sz w:val="26"/>
          <w:szCs w:val="26"/>
        </w:rPr>
        <w:t xml:space="preserve">to the CAP Policy Statement </w:t>
      </w:r>
      <w:r w:rsidR="00AA3461" w:rsidRPr="00C80D3A">
        <w:rPr>
          <w:color w:val="212121"/>
          <w:sz w:val="26"/>
          <w:szCs w:val="26"/>
        </w:rPr>
        <w:t xml:space="preserve">as noted in Annex </w:t>
      </w:r>
      <w:r w:rsidR="001D385D" w:rsidRPr="00C80D3A">
        <w:rPr>
          <w:color w:val="212121"/>
          <w:sz w:val="26"/>
          <w:szCs w:val="26"/>
        </w:rPr>
        <w:t xml:space="preserve">A </w:t>
      </w:r>
      <w:r w:rsidR="00AA3461" w:rsidRPr="00C80D3A">
        <w:rPr>
          <w:color w:val="212121"/>
          <w:sz w:val="26"/>
          <w:szCs w:val="26"/>
        </w:rPr>
        <w:t xml:space="preserve">to this Order </w:t>
      </w:r>
      <w:r w:rsidR="00FA3519" w:rsidRPr="00C80D3A">
        <w:rPr>
          <w:color w:val="212121"/>
          <w:sz w:val="26"/>
          <w:szCs w:val="26"/>
        </w:rPr>
        <w:t xml:space="preserve">shall become effective upon publication in the </w:t>
      </w:r>
      <w:r w:rsidR="00FA3519" w:rsidRPr="00C80D3A">
        <w:rPr>
          <w:i/>
          <w:color w:val="212121"/>
          <w:sz w:val="26"/>
          <w:szCs w:val="26"/>
        </w:rPr>
        <w:t>Pennsylvania Bulletin</w:t>
      </w:r>
      <w:r w:rsidR="00CD6D41" w:rsidRPr="00C80D3A">
        <w:rPr>
          <w:sz w:val="26"/>
          <w:szCs w:val="26"/>
        </w:rPr>
        <w:t>.</w:t>
      </w:r>
      <w:r w:rsidR="001D385D" w:rsidRPr="00C80D3A">
        <w:rPr>
          <w:sz w:val="26"/>
          <w:szCs w:val="26"/>
        </w:rPr>
        <w:t xml:space="preserve"> </w:t>
      </w:r>
      <w:r w:rsidR="00EF47F3" w:rsidRPr="00C80D3A">
        <w:rPr>
          <w:sz w:val="26"/>
          <w:szCs w:val="26"/>
        </w:rPr>
        <w:t xml:space="preserve"> </w:t>
      </w:r>
      <w:r w:rsidR="00B96A0F" w:rsidRPr="00C80D3A">
        <w:rPr>
          <w:sz w:val="26"/>
          <w:szCs w:val="26"/>
        </w:rPr>
        <w:t xml:space="preserve">We </w:t>
      </w:r>
      <w:r w:rsidR="007C6B40" w:rsidRPr="00C80D3A">
        <w:rPr>
          <w:sz w:val="26"/>
          <w:szCs w:val="26"/>
        </w:rPr>
        <w:t xml:space="preserve">are </w:t>
      </w:r>
      <w:r w:rsidR="00476655" w:rsidRPr="00C80D3A">
        <w:rPr>
          <w:sz w:val="26"/>
          <w:szCs w:val="26"/>
        </w:rPr>
        <w:t>making</w:t>
      </w:r>
      <w:r w:rsidR="00B96A0F" w:rsidRPr="00C80D3A">
        <w:rPr>
          <w:sz w:val="26"/>
          <w:szCs w:val="26"/>
        </w:rPr>
        <w:t xml:space="preserve"> these policy changes </w:t>
      </w:r>
      <w:r w:rsidR="00D6293C" w:rsidRPr="00C80D3A">
        <w:rPr>
          <w:sz w:val="26"/>
          <w:szCs w:val="26"/>
        </w:rPr>
        <w:t xml:space="preserve">to enhance </w:t>
      </w:r>
      <w:r w:rsidR="007C24B3" w:rsidRPr="00C80D3A">
        <w:rPr>
          <w:sz w:val="26"/>
          <w:szCs w:val="26"/>
        </w:rPr>
        <w:t>CAP</w:t>
      </w:r>
      <w:r w:rsidR="00CD6D41" w:rsidRPr="00C80D3A">
        <w:rPr>
          <w:sz w:val="26"/>
          <w:szCs w:val="26"/>
        </w:rPr>
        <w:t>s</w:t>
      </w:r>
      <w:r w:rsidR="00B115FD" w:rsidRPr="000915EE">
        <w:rPr>
          <w:sz w:val="26"/>
          <w:szCs w:val="26"/>
        </w:rPr>
        <w:t xml:space="preserve">, foster </w:t>
      </w:r>
      <w:r w:rsidR="00EC1171" w:rsidRPr="000915EE">
        <w:rPr>
          <w:sz w:val="26"/>
          <w:szCs w:val="26"/>
        </w:rPr>
        <w:t xml:space="preserve">consistency </w:t>
      </w:r>
      <w:r w:rsidR="00B115FD" w:rsidRPr="000915EE">
        <w:rPr>
          <w:sz w:val="26"/>
          <w:szCs w:val="26"/>
        </w:rPr>
        <w:t>among CAPs</w:t>
      </w:r>
      <w:r w:rsidR="00EC1171" w:rsidRPr="000915EE">
        <w:rPr>
          <w:sz w:val="26"/>
          <w:szCs w:val="26"/>
        </w:rPr>
        <w:t>,</w:t>
      </w:r>
      <w:r w:rsidR="00D6293C" w:rsidRPr="00C80D3A">
        <w:rPr>
          <w:sz w:val="26"/>
          <w:szCs w:val="26"/>
        </w:rPr>
        <w:t xml:space="preserve"> </w:t>
      </w:r>
      <w:r w:rsidR="007B296C" w:rsidRPr="00C80D3A">
        <w:rPr>
          <w:sz w:val="26"/>
          <w:szCs w:val="26"/>
        </w:rPr>
        <w:t>and address energy affordability in the Commonwealth.</w:t>
      </w:r>
    </w:p>
    <w:p w14:paraId="3CE38A9A" w14:textId="77777777" w:rsidR="003515B9" w:rsidRPr="00C80D3A" w:rsidRDefault="003515B9" w:rsidP="00315DBC">
      <w:pPr>
        <w:pStyle w:val="ListParagraph"/>
        <w:tabs>
          <w:tab w:val="left" w:pos="720"/>
        </w:tabs>
        <w:spacing w:line="360" w:lineRule="auto"/>
        <w:ind w:left="0"/>
        <w:rPr>
          <w:sz w:val="26"/>
          <w:szCs w:val="26"/>
        </w:rPr>
      </w:pPr>
    </w:p>
    <w:p w14:paraId="72BF482F" w14:textId="1CB3EDF4" w:rsidR="00DB6C2E" w:rsidRDefault="00512C2F" w:rsidP="003515B9">
      <w:pPr>
        <w:spacing w:after="0"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Further, i</w:t>
      </w:r>
      <w:r w:rsidR="003515B9">
        <w:rPr>
          <w:rFonts w:ascii="Times New Roman" w:hAnsi="Times New Roman" w:cs="Times New Roman"/>
          <w:sz w:val="26"/>
          <w:szCs w:val="26"/>
        </w:rPr>
        <w:t>n</w:t>
      </w:r>
      <w:r w:rsidR="00F411C1">
        <w:rPr>
          <w:rFonts w:ascii="Times New Roman" w:hAnsi="Times New Roman" w:cs="Times New Roman"/>
          <w:sz w:val="26"/>
          <w:szCs w:val="26"/>
        </w:rPr>
        <w:t xml:space="preserve"> the</w:t>
      </w:r>
      <w:r w:rsidR="003515B9">
        <w:rPr>
          <w:rFonts w:ascii="Times New Roman" w:hAnsi="Times New Roman" w:cs="Times New Roman"/>
          <w:sz w:val="26"/>
          <w:szCs w:val="26"/>
        </w:rPr>
        <w:t xml:space="preserve"> </w:t>
      </w:r>
      <w:r w:rsidR="003515B9" w:rsidRPr="00400536">
        <w:rPr>
          <w:rFonts w:ascii="Times New Roman" w:hAnsi="Times New Roman" w:cs="Times New Roman"/>
          <w:i/>
          <w:sz w:val="26"/>
          <w:szCs w:val="26"/>
        </w:rPr>
        <w:t>Universal Service Rulemaking</w:t>
      </w:r>
      <w:r w:rsidR="009E24BE">
        <w:rPr>
          <w:rFonts w:ascii="Times New Roman" w:hAnsi="Times New Roman" w:cs="Times New Roman"/>
          <w:sz w:val="26"/>
          <w:szCs w:val="26"/>
        </w:rPr>
        <w:t xml:space="preserve"> proceeding,</w:t>
      </w:r>
      <w:r w:rsidR="003515B9">
        <w:rPr>
          <w:rFonts w:ascii="Times New Roman" w:hAnsi="Times New Roman" w:cs="Times New Roman"/>
          <w:sz w:val="26"/>
          <w:szCs w:val="26"/>
        </w:rPr>
        <w:t xml:space="preserve"> the Commission will be addressing universal service regulations, including whether to promulgate </w:t>
      </w:r>
      <w:r w:rsidR="00257114">
        <w:rPr>
          <w:rFonts w:ascii="Times New Roman" w:hAnsi="Times New Roman" w:cs="Times New Roman"/>
          <w:sz w:val="26"/>
          <w:szCs w:val="26"/>
        </w:rPr>
        <w:t xml:space="preserve">any of </w:t>
      </w:r>
      <w:r w:rsidR="003515B9">
        <w:rPr>
          <w:rFonts w:ascii="Times New Roman" w:hAnsi="Times New Roman" w:cs="Times New Roman"/>
          <w:sz w:val="26"/>
          <w:szCs w:val="26"/>
        </w:rPr>
        <w:t xml:space="preserve">these CAP policy provisions as regulations.  </w:t>
      </w:r>
      <w:r w:rsidR="00DE13CA">
        <w:rPr>
          <w:rFonts w:ascii="Times New Roman" w:hAnsi="Times New Roman" w:cs="Times New Roman"/>
          <w:sz w:val="26"/>
          <w:szCs w:val="26"/>
        </w:rPr>
        <w:t xml:space="preserve">The </w:t>
      </w:r>
      <w:r w:rsidR="00DE13CA" w:rsidRPr="00DE13CA">
        <w:rPr>
          <w:rFonts w:ascii="Times New Roman" w:hAnsi="Times New Roman" w:cs="Times New Roman"/>
          <w:i/>
          <w:sz w:val="26"/>
          <w:szCs w:val="26"/>
        </w:rPr>
        <w:t>Universal Service Rulemaking</w:t>
      </w:r>
      <w:r w:rsidR="00DE13CA">
        <w:rPr>
          <w:rFonts w:ascii="Times New Roman" w:hAnsi="Times New Roman" w:cs="Times New Roman"/>
          <w:sz w:val="26"/>
          <w:szCs w:val="26"/>
        </w:rPr>
        <w:t xml:space="preserve">, along with the </w:t>
      </w:r>
      <w:r w:rsidR="00DE13CA" w:rsidRPr="00DE13CA">
        <w:rPr>
          <w:rFonts w:ascii="Times New Roman" w:hAnsi="Times New Roman" w:cs="Times New Roman"/>
          <w:i/>
          <w:sz w:val="26"/>
          <w:szCs w:val="26"/>
        </w:rPr>
        <w:t>LIURP Rulemaking</w:t>
      </w:r>
      <w:r w:rsidR="00DE13CA">
        <w:rPr>
          <w:rFonts w:ascii="Times New Roman" w:hAnsi="Times New Roman" w:cs="Times New Roman"/>
          <w:sz w:val="26"/>
          <w:szCs w:val="26"/>
        </w:rPr>
        <w:t xml:space="preserve">, the </w:t>
      </w:r>
      <w:r w:rsidR="00DE13CA" w:rsidRPr="00DE13CA">
        <w:rPr>
          <w:rFonts w:ascii="Times New Roman" w:hAnsi="Times New Roman" w:cs="Times New Roman"/>
          <w:i/>
          <w:sz w:val="26"/>
          <w:szCs w:val="26"/>
        </w:rPr>
        <w:t>CAP Final Bill</w:t>
      </w:r>
      <w:r w:rsidR="00DE13CA">
        <w:rPr>
          <w:rFonts w:ascii="Times New Roman" w:hAnsi="Times New Roman" w:cs="Times New Roman"/>
          <w:sz w:val="26"/>
          <w:szCs w:val="26"/>
        </w:rPr>
        <w:t xml:space="preserve"> proceeding, the </w:t>
      </w:r>
      <w:r w:rsidR="00DE13CA" w:rsidRPr="00DE13CA">
        <w:rPr>
          <w:rFonts w:ascii="Times New Roman" w:hAnsi="Times New Roman" w:cs="Times New Roman"/>
          <w:i/>
          <w:sz w:val="26"/>
          <w:szCs w:val="26"/>
        </w:rPr>
        <w:t>USR</w:t>
      </w:r>
      <w:r w:rsidR="000F17A7">
        <w:rPr>
          <w:rFonts w:ascii="Times New Roman" w:hAnsi="Times New Roman" w:cs="Times New Roman"/>
          <w:i/>
          <w:sz w:val="26"/>
          <w:szCs w:val="26"/>
        </w:rPr>
        <w:t>R</w:t>
      </w:r>
      <w:r w:rsidR="00DE13CA" w:rsidRPr="00DE13CA">
        <w:rPr>
          <w:rFonts w:ascii="Times New Roman" w:hAnsi="Times New Roman" w:cs="Times New Roman"/>
          <w:i/>
          <w:sz w:val="26"/>
          <w:szCs w:val="26"/>
        </w:rPr>
        <w:t>WG</w:t>
      </w:r>
      <w:r w:rsidR="00DE13CA">
        <w:rPr>
          <w:rFonts w:ascii="Times New Roman" w:hAnsi="Times New Roman" w:cs="Times New Roman"/>
          <w:sz w:val="26"/>
          <w:szCs w:val="26"/>
        </w:rPr>
        <w:t xml:space="preserve"> proceeding</w:t>
      </w:r>
      <w:r w:rsidR="00DF6CA3">
        <w:rPr>
          <w:rFonts w:ascii="Times New Roman" w:hAnsi="Times New Roman" w:cs="Times New Roman"/>
          <w:sz w:val="26"/>
          <w:szCs w:val="26"/>
        </w:rPr>
        <w:t>,</w:t>
      </w:r>
      <w:r w:rsidR="00DE13CA">
        <w:rPr>
          <w:rFonts w:ascii="Times New Roman" w:hAnsi="Times New Roman" w:cs="Times New Roman"/>
          <w:sz w:val="26"/>
          <w:szCs w:val="26"/>
        </w:rPr>
        <w:t xml:space="preserve"> and various utili</w:t>
      </w:r>
      <w:r w:rsidR="00DF6CA3">
        <w:rPr>
          <w:rFonts w:ascii="Times New Roman" w:hAnsi="Times New Roman" w:cs="Times New Roman"/>
          <w:sz w:val="26"/>
          <w:szCs w:val="26"/>
        </w:rPr>
        <w:t>ty-specific proceeding</w:t>
      </w:r>
      <w:r w:rsidR="00E66D86">
        <w:rPr>
          <w:rFonts w:ascii="Times New Roman" w:hAnsi="Times New Roman" w:cs="Times New Roman"/>
          <w:sz w:val="26"/>
          <w:szCs w:val="26"/>
        </w:rPr>
        <w:t>s</w:t>
      </w:r>
      <w:r w:rsidR="00DF6CA3">
        <w:rPr>
          <w:rFonts w:ascii="Times New Roman" w:hAnsi="Times New Roman" w:cs="Times New Roman"/>
          <w:sz w:val="26"/>
          <w:szCs w:val="26"/>
        </w:rPr>
        <w:t>,</w:t>
      </w:r>
      <w:r w:rsidR="00DE13CA">
        <w:rPr>
          <w:rFonts w:ascii="Times New Roman" w:hAnsi="Times New Roman" w:cs="Times New Roman"/>
          <w:sz w:val="26"/>
          <w:szCs w:val="26"/>
        </w:rPr>
        <w:t xml:space="preserve"> will provide </w:t>
      </w:r>
      <w:r w:rsidR="00DF6CA3">
        <w:rPr>
          <w:rFonts w:ascii="Times New Roman" w:hAnsi="Times New Roman" w:cs="Times New Roman"/>
          <w:sz w:val="26"/>
          <w:szCs w:val="26"/>
        </w:rPr>
        <w:t xml:space="preserve">further </w:t>
      </w:r>
      <w:r w:rsidR="00DE13CA">
        <w:rPr>
          <w:rFonts w:ascii="Times New Roman" w:hAnsi="Times New Roman" w:cs="Times New Roman"/>
          <w:sz w:val="26"/>
          <w:szCs w:val="26"/>
        </w:rPr>
        <w:t>opportunity for additional input from stakeholders</w:t>
      </w:r>
      <w:r w:rsidR="00A66009">
        <w:rPr>
          <w:rFonts w:ascii="Times New Roman" w:hAnsi="Times New Roman" w:cs="Times New Roman"/>
          <w:sz w:val="26"/>
          <w:szCs w:val="26"/>
        </w:rPr>
        <w:t xml:space="preserve"> </w:t>
      </w:r>
      <w:r w:rsidR="00A66009" w:rsidRPr="000915EE">
        <w:rPr>
          <w:rFonts w:ascii="Times New Roman" w:hAnsi="Times New Roman" w:cs="Times New Roman"/>
          <w:sz w:val="26"/>
          <w:szCs w:val="26"/>
        </w:rPr>
        <w:t>prior to our consideration of promulgating CAP regulations</w:t>
      </w:r>
      <w:r w:rsidR="00DE13CA">
        <w:rPr>
          <w:rFonts w:ascii="Times New Roman" w:hAnsi="Times New Roman" w:cs="Times New Roman"/>
          <w:sz w:val="26"/>
          <w:szCs w:val="26"/>
        </w:rPr>
        <w:t xml:space="preserve">.  </w:t>
      </w:r>
    </w:p>
    <w:p w14:paraId="73EB9604" w14:textId="77777777" w:rsidR="00DB6C2E" w:rsidRDefault="00DB6C2E" w:rsidP="003515B9">
      <w:pPr>
        <w:spacing w:after="0" w:line="360" w:lineRule="auto"/>
        <w:ind w:firstLine="720"/>
        <w:contextualSpacing/>
        <w:rPr>
          <w:rFonts w:ascii="Times New Roman" w:hAnsi="Times New Roman" w:cs="Times New Roman"/>
          <w:sz w:val="26"/>
          <w:szCs w:val="26"/>
        </w:rPr>
      </w:pPr>
    </w:p>
    <w:p w14:paraId="5B7E52A1" w14:textId="1C21A1E1" w:rsidR="003515B9" w:rsidRPr="00C80D3A" w:rsidRDefault="003515B9" w:rsidP="003515B9">
      <w:pPr>
        <w:spacing w:after="0"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We strongly urge the EDCs and the NGDCs to incorporate these </w:t>
      </w:r>
      <w:r w:rsidR="00AB22F4">
        <w:rPr>
          <w:rFonts w:ascii="Times New Roman" w:hAnsi="Times New Roman" w:cs="Times New Roman"/>
          <w:sz w:val="26"/>
          <w:szCs w:val="26"/>
        </w:rPr>
        <w:t xml:space="preserve">CAP </w:t>
      </w:r>
      <w:r w:rsidR="003200AA">
        <w:rPr>
          <w:rFonts w:ascii="Times New Roman" w:hAnsi="Times New Roman" w:cs="Times New Roman"/>
          <w:sz w:val="26"/>
          <w:szCs w:val="26"/>
        </w:rPr>
        <w:t>P</w:t>
      </w:r>
      <w:r>
        <w:rPr>
          <w:rFonts w:ascii="Times New Roman" w:hAnsi="Times New Roman" w:cs="Times New Roman"/>
          <w:sz w:val="26"/>
          <w:szCs w:val="26"/>
        </w:rPr>
        <w:t>olic</w:t>
      </w:r>
      <w:r w:rsidR="004A1510">
        <w:rPr>
          <w:rFonts w:ascii="Times New Roman" w:hAnsi="Times New Roman" w:cs="Times New Roman"/>
          <w:sz w:val="26"/>
          <w:szCs w:val="26"/>
        </w:rPr>
        <w:t xml:space="preserve">y </w:t>
      </w:r>
      <w:r w:rsidR="003200AA">
        <w:rPr>
          <w:rFonts w:ascii="Times New Roman" w:hAnsi="Times New Roman" w:cs="Times New Roman"/>
          <w:sz w:val="26"/>
          <w:szCs w:val="26"/>
        </w:rPr>
        <w:t xml:space="preserve">Statement </w:t>
      </w:r>
      <w:r w:rsidR="00D54A96">
        <w:rPr>
          <w:rFonts w:ascii="Times New Roman" w:hAnsi="Times New Roman" w:cs="Times New Roman"/>
          <w:sz w:val="26"/>
          <w:szCs w:val="26"/>
        </w:rPr>
        <w:t>amendments</w:t>
      </w:r>
      <w:r>
        <w:rPr>
          <w:rFonts w:ascii="Times New Roman" w:hAnsi="Times New Roman" w:cs="Times New Roman"/>
          <w:sz w:val="26"/>
          <w:szCs w:val="26"/>
        </w:rPr>
        <w:t xml:space="preserve"> in their USECPs as fully and quickly as possible so that all stakeholders will have a basis for meaningful input in the </w:t>
      </w:r>
      <w:r w:rsidRPr="00252E98">
        <w:rPr>
          <w:rFonts w:ascii="Times New Roman" w:hAnsi="Times New Roman" w:cs="Times New Roman"/>
          <w:i/>
          <w:sz w:val="26"/>
          <w:szCs w:val="26"/>
        </w:rPr>
        <w:t>Universal Service Rulemaking</w:t>
      </w:r>
      <w:r>
        <w:rPr>
          <w:rFonts w:ascii="Times New Roman" w:hAnsi="Times New Roman" w:cs="Times New Roman"/>
          <w:sz w:val="26"/>
          <w:szCs w:val="26"/>
        </w:rPr>
        <w:t>.</w:t>
      </w:r>
      <w:r w:rsidR="00A41426">
        <w:rPr>
          <w:rFonts w:ascii="Times New Roman" w:hAnsi="Times New Roman" w:cs="Times New Roman"/>
          <w:sz w:val="26"/>
          <w:szCs w:val="26"/>
        </w:rPr>
        <w:t xml:space="preserve">  </w:t>
      </w:r>
      <w:r w:rsidR="00F84876">
        <w:rPr>
          <w:rFonts w:ascii="Times New Roman" w:hAnsi="Times New Roman" w:cs="Times New Roman"/>
          <w:sz w:val="26"/>
          <w:szCs w:val="26"/>
        </w:rPr>
        <w:t>W</w:t>
      </w:r>
      <w:r w:rsidR="00A41426" w:rsidRPr="00C80D3A">
        <w:rPr>
          <w:rFonts w:ascii="Times New Roman" w:hAnsi="Times New Roman" w:cs="Times New Roman"/>
          <w:sz w:val="26"/>
          <w:szCs w:val="26"/>
        </w:rPr>
        <w:t xml:space="preserve">e suggest that </w:t>
      </w:r>
      <w:r w:rsidR="00C22CF6">
        <w:rPr>
          <w:rFonts w:ascii="Times New Roman" w:hAnsi="Times New Roman" w:cs="Times New Roman"/>
          <w:sz w:val="26"/>
          <w:szCs w:val="26"/>
        </w:rPr>
        <w:t>the</w:t>
      </w:r>
      <w:r w:rsidR="008772EF">
        <w:rPr>
          <w:rFonts w:ascii="Times New Roman" w:hAnsi="Times New Roman" w:cs="Times New Roman"/>
          <w:sz w:val="26"/>
          <w:szCs w:val="26"/>
        </w:rPr>
        <w:t xml:space="preserve"> first 16</w:t>
      </w:r>
      <w:r w:rsidR="00C22CF6">
        <w:rPr>
          <w:rFonts w:ascii="Times New Roman" w:hAnsi="Times New Roman" w:cs="Times New Roman"/>
          <w:sz w:val="26"/>
          <w:szCs w:val="26"/>
        </w:rPr>
        <w:t xml:space="preserve"> CAP Policy Statement amendments </w:t>
      </w:r>
      <w:r w:rsidR="00A41426" w:rsidRPr="00C80D3A">
        <w:rPr>
          <w:rFonts w:ascii="Times New Roman" w:hAnsi="Times New Roman" w:cs="Times New Roman"/>
          <w:sz w:val="26"/>
          <w:szCs w:val="26"/>
        </w:rPr>
        <w:t xml:space="preserve">should be operational by </w:t>
      </w:r>
      <w:r w:rsidR="00F84876">
        <w:rPr>
          <w:rFonts w:ascii="Times New Roman" w:hAnsi="Times New Roman" w:cs="Times New Roman"/>
          <w:sz w:val="26"/>
          <w:szCs w:val="26"/>
        </w:rPr>
        <w:t>or before</w:t>
      </w:r>
      <w:r w:rsidR="00862AF1">
        <w:rPr>
          <w:rFonts w:ascii="Times New Roman" w:hAnsi="Times New Roman" w:cs="Times New Roman"/>
          <w:sz w:val="26"/>
          <w:szCs w:val="26"/>
        </w:rPr>
        <w:t xml:space="preserve"> </w:t>
      </w:r>
      <w:r w:rsidR="00A41426" w:rsidRPr="00C80D3A">
        <w:rPr>
          <w:rFonts w:ascii="Times New Roman" w:hAnsi="Times New Roman" w:cs="Times New Roman"/>
          <w:sz w:val="26"/>
          <w:szCs w:val="26"/>
        </w:rPr>
        <w:t>January 1, 2021.  Utilities, their USACs, and the CBOs should to work together to determine the appropriate mechanisms and messaging for online application and document submission</w:t>
      </w:r>
      <w:r w:rsidR="00F84876">
        <w:rPr>
          <w:rFonts w:ascii="Times New Roman" w:hAnsi="Times New Roman" w:cs="Times New Roman"/>
          <w:sz w:val="26"/>
          <w:szCs w:val="26"/>
        </w:rPr>
        <w:t>.</w:t>
      </w:r>
    </w:p>
    <w:p w14:paraId="683512E5" w14:textId="77777777" w:rsidR="008C2827" w:rsidRPr="00C80D3A" w:rsidRDefault="008C2827" w:rsidP="00315DBC">
      <w:pPr>
        <w:pStyle w:val="ListParagraph"/>
        <w:tabs>
          <w:tab w:val="left" w:pos="720"/>
        </w:tabs>
        <w:spacing w:line="360" w:lineRule="auto"/>
        <w:ind w:left="0"/>
        <w:rPr>
          <w:sz w:val="26"/>
          <w:szCs w:val="26"/>
        </w:rPr>
      </w:pPr>
    </w:p>
    <w:p w14:paraId="3F921962" w14:textId="77777777" w:rsidR="00A85991" w:rsidRDefault="00B96A0F" w:rsidP="00315DBC">
      <w:pPr>
        <w:pStyle w:val="ListParagraph"/>
        <w:tabs>
          <w:tab w:val="left" w:pos="720"/>
        </w:tabs>
        <w:spacing w:line="360" w:lineRule="auto"/>
        <w:ind w:left="0"/>
        <w:rPr>
          <w:sz w:val="26"/>
          <w:szCs w:val="26"/>
        </w:rPr>
      </w:pPr>
      <w:r w:rsidRPr="00C80D3A">
        <w:rPr>
          <w:sz w:val="26"/>
          <w:szCs w:val="26"/>
        </w:rPr>
        <w:tab/>
      </w:r>
      <w:r w:rsidR="00446512">
        <w:rPr>
          <w:sz w:val="26"/>
          <w:szCs w:val="26"/>
        </w:rPr>
        <w:t>T</w:t>
      </w:r>
      <w:r w:rsidR="00446512" w:rsidRPr="00446512">
        <w:rPr>
          <w:sz w:val="26"/>
          <w:szCs w:val="26"/>
        </w:rPr>
        <w:t xml:space="preserve">he </w:t>
      </w:r>
      <w:r w:rsidR="00446512">
        <w:rPr>
          <w:sz w:val="26"/>
          <w:szCs w:val="26"/>
        </w:rPr>
        <w:t>EDCs</w:t>
      </w:r>
      <w:r w:rsidR="00446512" w:rsidRPr="00446512">
        <w:rPr>
          <w:sz w:val="26"/>
          <w:szCs w:val="26"/>
        </w:rPr>
        <w:t xml:space="preserve"> and </w:t>
      </w:r>
      <w:r w:rsidR="00446512">
        <w:rPr>
          <w:sz w:val="26"/>
          <w:szCs w:val="26"/>
        </w:rPr>
        <w:t>NGDCs</w:t>
      </w:r>
      <w:r w:rsidR="00446512" w:rsidRPr="00446512">
        <w:rPr>
          <w:sz w:val="26"/>
          <w:szCs w:val="26"/>
        </w:rPr>
        <w:t xml:space="preserve"> </w:t>
      </w:r>
      <w:r w:rsidR="00494B41">
        <w:rPr>
          <w:color w:val="0D0D0D"/>
          <w:sz w:val="26"/>
          <w:szCs w:val="26"/>
        </w:rPr>
        <w:t>shall</w:t>
      </w:r>
      <w:r w:rsidR="00494B41" w:rsidRPr="00446512">
        <w:rPr>
          <w:color w:val="0D0D0D"/>
          <w:sz w:val="26"/>
          <w:szCs w:val="26"/>
        </w:rPr>
        <w:t xml:space="preserve"> </w:t>
      </w:r>
      <w:r w:rsidR="00446512" w:rsidRPr="00446512">
        <w:rPr>
          <w:color w:val="0D0D0D"/>
          <w:sz w:val="26"/>
          <w:szCs w:val="26"/>
        </w:rPr>
        <w:t xml:space="preserve">file and serve addendums to their existing or proposed </w:t>
      </w:r>
      <w:r w:rsidR="00494B41">
        <w:rPr>
          <w:color w:val="0D0D0D"/>
          <w:sz w:val="26"/>
          <w:szCs w:val="26"/>
        </w:rPr>
        <w:t xml:space="preserve">(if applicable) </w:t>
      </w:r>
      <w:r w:rsidR="00446512">
        <w:rPr>
          <w:color w:val="0D0D0D"/>
          <w:sz w:val="26"/>
          <w:szCs w:val="26"/>
        </w:rPr>
        <w:t>USECPs</w:t>
      </w:r>
      <w:r w:rsidR="00446512" w:rsidRPr="00446512">
        <w:rPr>
          <w:color w:val="0D0D0D"/>
          <w:sz w:val="26"/>
          <w:szCs w:val="26"/>
        </w:rPr>
        <w:t xml:space="preserve">, at their respective </w:t>
      </w:r>
      <w:r w:rsidR="00494B41">
        <w:rPr>
          <w:color w:val="0D0D0D"/>
          <w:sz w:val="26"/>
          <w:szCs w:val="26"/>
        </w:rPr>
        <w:t xml:space="preserve">USECP </w:t>
      </w:r>
      <w:r w:rsidR="00446512" w:rsidRPr="00446512">
        <w:rPr>
          <w:color w:val="0D0D0D"/>
          <w:sz w:val="26"/>
          <w:szCs w:val="26"/>
        </w:rPr>
        <w:t xml:space="preserve">dockets, </w:t>
      </w:r>
      <w:r w:rsidR="00494B41">
        <w:rPr>
          <w:color w:val="0D0D0D"/>
          <w:sz w:val="26"/>
          <w:szCs w:val="26"/>
        </w:rPr>
        <w:t>reflecting anticipated timeframes for implementing changes to their USECPs predicated on</w:t>
      </w:r>
      <w:r w:rsidR="00494B41" w:rsidRPr="00446512" w:rsidDel="00494B41">
        <w:rPr>
          <w:color w:val="0D0D0D"/>
          <w:sz w:val="26"/>
          <w:szCs w:val="26"/>
        </w:rPr>
        <w:t xml:space="preserve"> </w:t>
      </w:r>
      <w:r w:rsidR="00446512">
        <w:rPr>
          <w:color w:val="0D0D0D"/>
          <w:sz w:val="26"/>
          <w:szCs w:val="26"/>
        </w:rPr>
        <w:t>the amended</w:t>
      </w:r>
      <w:r w:rsidR="00446512" w:rsidRPr="00446512">
        <w:rPr>
          <w:color w:val="0D0D0D"/>
          <w:sz w:val="26"/>
          <w:szCs w:val="26"/>
        </w:rPr>
        <w:t xml:space="preserve"> CAP Policy Statement.</w:t>
      </w:r>
      <w:r w:rsidR="00D54A96">
        <w:rPr>
          <w:color w:val="0D0D0D"/>
          <w:sz w:val="26"/>
          <w:szCs w:val="26"/>
        </w:rPr>
        <w:t xml:space="preserve"> </w:t>
      </w:r>
      <w:r w:rsidR="00446512" w:rsidRPr="00446512">
        <w:rPr>
          <w:color w:val="0D0D0D"/>
          <w:sz w:val="26"/>
          <w:szCs w:val="26"/>
        </w:rPr>
        <w:t xml:space="preserve"> The </w:t>
      </w:r>
      <w:r w:rsidR="00446512">
        <w:rPr>
          <w:sz w:val="26"/>
          <w:szCs w:val="26"/>
        </w:rPr>
        <w:t xml:space="preserve">EDCs and NGDCs </w:t>
      </w:r>
      <w:r w:rsidR="00446512" w:rsidRPr="00446512">
        <w:rPr>
          <w:color w:val="0D0D0D"/>
          <w:sz w:val="26"/>
          <w:szCs w:val="26"/>
        </w:rPr>
        <w:t>should indicate in the</w:t>
      </w:r>
      <w:r w:rsidR="00330846">
        <w:rPr>
          <w:color w:val="0D0D0D"/>
          <w:sz w:val="26"/>
          <w:szCs w:val="26"/>
        </w:rPr>
        <w:t>ir</w:t>
      </w:r>
      <w:r w:rsidR="00446512" w:rsidRPr="00446512">
        <w:rPr>
          <w:color w:val="0D0D0D"/>
          <w:sz w:val="26"/>
          <w:szCs w:val="26"/>
        </w:rPr>
        <w:t xml:space="preserve"> cover letter</w:t>
      </w:r>
      <w:r w:rsidR="00330846">
        <w:rPr>
          <w:color w:val="0D0D0D"/>
          <w:sz w:val="26"/>
          <w:szCs w:val="26"/>
        </w:rPr>
        <w:t>s</w:t>
      </w:r>
      <w:r w:rsidR="00446512" w:rsidRPr="00446512">
        <w:rPr>
          <w:color w:val="0D0D0D"/>
          <w:sz w:val="26"/>
          <w:szCs w:val="26"/>
        </w:rPr>
        <w:t xml:space="preserve"> to the</w:t>
      </w:r>
      <w:r w:rsidR="00446512">
        <w:rPr>
          <w:color w:val="0D0D0D"/>
          <w:sz w:val="26"/>
          <w:szCs w:val="26"/>
        </w:rPr>
        <w:t>ir</w:t>
      </w:r>
      <w:r w:rsidR="00446512" w:rsidRPr="00446512">
        <w:rPr>
          <w:color w:val="0D0D0D"/>
          <w:sz w:val="26"/>
          <w:szCs w:val="26"/>
        </w:rPr>
        <w:t xml:space="preserve"> addendum</w:t>
      </w:r>
      <w:r w:rsidR="00446512">
        <w:rPr>
          <w:color w:val="0D0D0D"/>
          <w:sz w:val="26"/>
          <w:szCs w:val="26"/>
        </w:rPr>
        <w:t>s</w:t>
      </w:r>
      <w:r w:rsidR="00446512" w:rsidRPr="00446512">
        <w:rPr>
          <w:color w:val="0D0D0D"/>
          <w:sz w:val="26"/>
          <w:szCs w:val="26"/>
        </w:rPr>
        <w:t xml:space="preserve"> any provisions with which they are already compliant</w:t>
      </w:r>
      <w:r w:rsidR="00C05872" w:rsidRPr="00AC6D18">
        <w:rPr>
          <w:color w:val="0D0D0D"/>
          <w:sz w:val="26"/>
          <w:szCs w:val="26"/>
        </w:rPr>
        <w:t>.</w:t>
      </w:r>
      <w:r w:rsidR="009A0E76" w:rsidRPr="00AC6D18">
        <w:rPr>
          <w:color w:val="0D0D0D"/>
          <w:sz w:val="26"/>
          <w:szCs w:val="26"/>
        </w:rPr>
        <w:t xml:space="preserve">  </w:t>
      </w:r>
      <w:r w:rsidR="009A0E76" w:rsidRPr="00AC6D18">
        <w:rPr>
          <w:sz w:val="26"/>
          <w:szCs w:val="26"/>
        </w:rPr>
        <w:t xml:space="preserve">We invite </w:t>
      </w:r>
      <w:r w:rsidR="00524380" w:rsidRPr="00AC6D18">
        <w:rPr>
          <w:sz w:val="26"/>
          <w:szCs w:val="26"/>
        </w:rPr>
        <w:t>EDCs and NGDCs</w:t>
      </w:r>
      <w:r w:rsidR="009A0E76" w:rsidRPr="00AC6D18">
        <w:rPr>
          <w:sz w:val="26"/>
          <w:szCs w:val="26"/>
        </w:rPr>
        <w:t xml:space="preserve"> to submit </w:t>
      </w:r>
      <w:r w:rsidR="001477E0">
        <w:rPr>
          <w:sz w:val="26"/>
          <w:szCs w:val="26"/>
        </w:rPr>
        <w:t xml:space="preserve">their </w:t>
      </w:r>
      <w:r w:rsidR="009A0E76" w:rsidRPr="00FF5162">
        <w:rPr>
          <w:sz w:val="26"/>
          <w:szCs w:val="26"/>
        </w:rPr>
        <w:t xml:space="preserve">USECP addendums to BCS </w:t>
      </w:r>
      <w:r w:rsidR="00B93BC7" w:rsidRPr="00FF5162">
        <w:rPr>
          <w:sz w:val="26"/>
          <w:szCs w:val="26"/>
        </w:rPr>
        <w:t xml:space="preserve">and the Office of Communications </w:t>
      </w:r>
      <w:r w:rsidR="009A0E76" w:rsidRPr="00FF5162">
        <w:rPr>
          <w:sz w:val="26"/>
          <w:szCs w:val="26"/>
        </w:rPr>
        <w:t>for a compliance review prior to filing.</w:t>
      </w:r>
    </w:p>
    <w:p w14:paraId="77B625AF" w14:textId="77777777" w:rsidR="00A85991" w:rsidRDefault="00A85991">
      <w:pPr>
        <w:rPr>
          <w:rFonts w:ascii="Times New Roman" w:eastAsia="Times New Roman" w:hAnsi="Times New Roman" w:cs="Times New Roman"/>
          <w:sz w:val="26"/>
          <w:szCs w:val="26"/>
        </w:rPr>
      </w:pPr>
      <w:r>
        <w:rPr>
          <w:sz w:val="26"/>
          <w:szCs w:val="26"/>
        </w:rPr>
        <w:br w:type="page"/>
      </w:r>
    </w:p>
    <w:p w14:paraId="26CD44C6" w14:textId="17AA8B33" w:rsidR="00F00D27" w:rsidRPr="00C80D3A" w:rsidRDefault="00F00D27" w:rsidP="00315DBC">
      <w:pPr>
        <w:pStyle w:val="ListParagraph"/>
        <w:tabs>
          <w:tab w:val="left" w:pos="720"/>
        </w:tabs>
        <w:spacing w:line="360" w:lineRule="auto"/>
        <w:ind w:left="0"/>
        <w:rPr>
          <w:sz w:val="26"/>
          <w:szCs w:val="26"/>
        </w:rPr>
      </w:pPr>
      <w:r w:rsidRPr="00C80D3A">
        <w:rPr>
          <w:sz w:val="26"/>
          <w:szCs w:val="26"/>
        </w:rPr>
        <w:tab/>
        <w:t xml:space="preserve">The </w:t>
      </w:r>
      <w:r w:rsidR="00B54FD4" w:rsidRPr="00C80D3A">
        <w:rPr>
          <w:sz w:val="26"/>
          <w:szCs w:val="26"/>
        </w:rPr>
        <w:t xml:space="preserve">following </w:t>
      </w:r>
      <w:r w:rsidR="003C17B3" w:rsidRPr="00C80D3A">
        <w:rPr>
          <w:sz w:val="26"/>
          <w:szCs w:val="26"/>
        </w:rPr>
        <w:t xml:space="preserve">CAP policy </w:t>
      </w:r>
      <w:r w:rsidRPr="00C80D3A">
        <w:rPr>
          <w:sz w:val="26"/>
          <w:szCs w:val="26"/>
        </w:rPr>
        <w:t xml:space="preserve">changes </w:t>
      </w:r>
      <w:r w:rsidR="00B54FD4" w:rsidRPr="00C80D3A">
        <w:rPr>
          <w:sz w:val="26"/>
          <w:szCs w:val="26"/>
        </w:rPr>
        <w:t xml:space="preserve">are </w:t>
      </w:r>
      <w:r w:rsidR="00E31E6D" w:rsidRPr="00C80D3A">
        <w:rPr>
          <w:sz w:val="26"/>
          <w:szCs w:val="26"/>
        </w:rPr>
        <w:t xml:space="preserve">adopted </w:t>
      </w:r>
      <w:r w:rsidR="003C17B3" w:rsidRPr="00C80D3A">
        <w:rPr>
          <w:sz w:val="26"/>
          <w:szCs w:val="26"/>
        </w:rPr>
        <w:t xml:space="preserve">by </w:t>
      </w:r>
      <w:r w:rsidR="00E31E6D" w:rsidRPr="00C80D3A">
        <w:rPr>
          <w:sz w:val="26"/>
          <w:szCs w:val="26"/>
        </w:rPr>
        <w:t>this Order:</w:t>
      </w:r>
    </w:p>
    <w:p w14:paraId="3608976C" w14:textId="77777777" w:rsidR="00425FF6" w:rsidRPr="00C80D3A" w:rsidRDefault="00425FF6" w:rsidP="00831247">
      <w:pPr>
        <w:pStyle w:val="ListParagraph"/>
        <w:tabs>
          <w:tab w:val="left" w:pos="720"/>
        </w:tabs>
        <w:ind w:left="0"/>
        <w:rPr>
          <w:sz w:val="26"/>
          <w:szCs w:val="26"/>
        </w:rPr>
      </w:pPr>
    </w:p>
    <w:p w14:paraId="02A5E43A" w14:textId="6F12CEC3" w:rsidR="00764722" w:rsidRPr="00C80D3A" w:rsidRDefault="00EA4745" w:rsidP="000915EE">
      <w:pPr>
        <w:pStyle w:val="ListParagraph"/>
        <w:tabs>
          <w:tab w:val="left" w:pos="990"/>
        </w:tabs>
        <w:spacing w:line="360" w:lineRule="auto"/>
        <w:ind w:left="1440" w:hanging="720"/>
        <w:rPr>
          <w:bCs/>
          <w:sz w:val="26"/>
          <w:szCs w:val="26"/>
        </w:rPr>
      </w:pPr>
      <w:r w:rsidRPr="00C80D3A">
        <w:rPr>
          <w:sz w:val="26"/>
          <w:szCs w:val="26"/>
        </w:rPr>
        <w:t>1.</w:t>
      </w:r>
      <w:r w:rsidR="00831247" w:rsidRPr="00C80D3A">
        <w:rPr>
          <w:sz w:val="26"/>
          <w:szCs w:val="26"/>
        </w:rPr>
        <w:t>a</w:t>
      </w:r>
      <w:r w:rsidR="00A643C6" w:rsidRPr="00C80D3A">
        <w:rPr>
          <w:sz w:val="26"/>
          <w:szCs w:val="26"/>
        </w:rPr>
        <w:t>.</w:t>
      </w:r>
      <w:r w:rsidR="000E76E2" w:rsidRPr="00C80D3A">
        <w:rPr>
          <w:sz w:val="26"/>
          <w:szCs w:val="26"/>
        </w:rPr>
        <w:tab/>
      </w:r>
      <w:r w:rsidR="005154F3" w:rsidRPr="00C80D3A">
        <w:rPr>
          <w:bCs/>
          <w:sz w:val="26"/>
          <w:szCs w:val="26"/>
        </w:rPr>
        <w:t>Establish new maximum tiered CAP energy burden</w:t>
      </w:r>
      <w:r w:rsidR="00B753D8">
        <w:rPr>
          <w:bCs/>
          <w:sz w:val="26"/>
          <w:szCs w:val="26"/>
        </w:rPr>
        <w:t xml:space="preserve">s </w:t>
      </w:r>
      <w:r w:rsidR="00DF05BF">
        <w:rPr>
          <w:bCs/>
          <w:sz w:val="26"/>
          <w:szCs w:val="26"/>
        </w:rPr>
        <w:t xml:space="preserve"> of </w:t>
      </w:r>
      <w:r w:rsidR="005154F3" w:rsidRPr="00C80D3A">
        <w:rPr>
          <w:bCs/>
          <w:sz w:val="26"/>
          <w:szCs w:val="26"/>
        </w:rPr>
        <w:t>6% for natural gas heating, 4% for electric non-heating, and 10% for electric heating</w:t>
      </w:r>
      <w:r w:rsidR="00482B82">
        <w:rPr>
          <w:bCs/>
          <w:sz w:val="26"/>
          <w:szCs w:val="26"/>
        </w:rPr>
        <w:t xml:space="preserve"> </w:t>
      </w:r>
      <w:r w:rsidR="003E5861" w:rsidRPr="002826DF">
        <w:rPr>
          <w:sz w:val="26"/>
          <w:szCs w:val="26"/>
        </w:rPr>
        <w:t>for FPIG tiers 51%-100% and 101%-150%.  For FPIG tier 0%</w:t>
      </w:r>
      <w:r w:rsidR="003E5861">
        <w:rPr>
          <w:sz w:val="26"/>
          <w:szCs w:val="26"/>
        </w:rPr>
        <w:noBreakHyphen/>
      </w:r>
      <w:r w:rsidR="003E5861" w:rsidRPr="002826DF">
        <w:rPr>
          <w:sz w:val="26"/>
          <w:szCs w:val="26"/>
        </w:rPr>
        <w:t>50%, the maximum energy burden</w:t>
      </w:r>
      <w:r w:rsidR="00A05D43">
        <w:rPr>
          <w:sz w:val="26"/>
          <w:szCs w:val="26"/>
        </w:rPr>
        <w:t>s</w:t>
      </w:r>
      <w:r w:rsidR="003E5861" w:rsidRPr="002826DF">
        <w:rPr>
          <w:sz w:val="26"/>
          <w:szCs w:val="26"/>
        </w:rPr>
        <w:t xml:space="preserve"> </w:t>
      </w:r>
      <w:r w:rsidR="003E5861">
        <w:rPr>
          <w:sz w:val="26"/>
          <w:szCs w:val="26"/>
        </w:rPr>
        <w:t xml:space="preserve">should be </w:t>
      </w:r>
      <w:r w:rsidR="003E5861" w:rsidRPr="002826DF">
        <w:rPr>
          <w:sz w:val="26"/>
          <w:szCs w:val="26"/>
        </w:rPr>
        <w:t>4% for natural gas heating, 2% for electric non-heating, and 6% for electric heating</w:t>
      </w:r>
      <w:r w:rsidR="005154F3" w:rsidRPr="00C80D3A">
        <w:rPr>
          <w:bCs/>
          <w:sz w:val="26"/>
          <w:szCs w:val="26"/>
        </w:rPr>
        <w:t>.</w:t>
      </w:r>
    </w:p>
    <w:p w14:paraId="1AE20983" w14:textId="77777777" w:rsidR="00CD62B1" w:rsidRPr="00C80D3A" w:rsidRDefault="00CD62B1" w:rsidP="000915EE">
      <w:pPr>
        <w:pStyle w:val="ListParagraph"/>
        <w:tabs>
          <w:tab w:val="left" w:pos="990"/>
        </w:tabs>
        <w:spacing w:line="360" w:lineRule="auto"/>
        <w:ind w:left="1440" w:hanging="720"/>
        <w:rPr>
          <w:sz w:val="26"/>
          <w:szCs w:val="26"/>
        </w:rPr>
      </w:pPr>
    </w:p>
    <w:p w14:paraId="25991CB3" w14:textId="16FC0151" w:rsidR="00807C17" w:rsidRPr="00C80D3A" w:rsidRDefault="00807C17" w:rsidP="000915EE">
      <w:pPr>
        <w:pStyle w:val="ListParagraph"/>
        <w:spacing w:line="360" w:lineRule="auto"/>
        <w:ind w:left="1440" w:hanging="720"/>
        <w:rPr>
          <w:color w:val="000000" w:themeColor="text1"/>
          <w:sz w:val="26"/>
          <w:szCs w:val="26"/>
        </w:rPr>
      </w:pPr>
      <w:r w:rsidRPr="00C80D3A">
        <w:rPr>
          <w:color w:val="000000" w:themeColor="text1"/>
          <w:sz w:val="26"/>
          <w:szCs w:val="26"/>
        </w:rPr>
        <w:t>1.</w:t>
      </w:r>
      <w:r w:rsidR="00831247" w:rsidRPr="00C80D3A">
        <w:rPr>
          <w:color w:val="000000" w:themeColor="text1"/>
          <w:sz w:val="26"/>
          <w:szCs w:val="26"/>
        </w:rPr>
        <w:t>b</w:t>
      </w:r>
      <w:r w:rsidRPr="00C80D3A">
        <w:rPr>
          <w:color w:val="000000" w:themeColor="text1"/>
          <w:sz w:val="26"/>
          <w:szCs w:val="26"/>
        </w:rPr>
        <w:t>.</w:t>
      </w:r>
      <w:r w:rsidR="000E76E2" w:rsidRPr="00C80D3A">
        <w:rPr>
          <w:color w:val="000000" w:themeColor="text1"/>
          <w:sz w:val="26"/>
          <w:szCs w:val="26"/>
        </w:rPr>
        <w:tab/>
      </w:r>
      <w:r w:rsidRPr="00C80D3A">
        <w:rPr>
          <w:sz w:val="26"/>
          <w:szCs w:val="26"/>
        </w:rPr>
        <w:t>M</w:t>
      </w:r>
      <w:r w:rsidRPr="00C80D3A">
        <w:rPr>
          <w:bCs/>
          <w:sz w:val="26"/>
          <w:szCs w:val="26"/>
        </w:rPr>
        <w:t>inimum CAP payment requirements should be set in USECP proceedings rather than in the CAP Policy Statement.  Utilities may propose alternatives to a flat minimum payment for each account type, such as basing them on the household</w:t>
      </w:r>
      <w:r w:rsidR="001529C6">
        <w:rPr>
          <w:bCs/>
          <w:sz w:val="26"/>
          <w:szCs w:val="26"/>
        </w:rPr>
        <w:t>’</w:t>
      </w:r>
      <w:r w:rsidRPr="00C80D3A">
        <w:rPr>
          <w:bCs/>
          <w:sz w:val="26"/>
          <w:szCs w:val="26"/>
        </w:rPr>
        <w:t>s FPIG level</w:t>
      </w:r>
      <w:r w:rsidRPr="00C80D3A">
        <w:rPr>
          <w:color w:val="000000" w:themeColor="text1"/>
          <w:sz w:val="26"/>
          <w:szCs w:val="26"/>
        </w:rPr>
        <w:t>.</w:t>
      </w:r>
    </w:p>
    <w:p w14:paraId="7BC4C11D" w14:textId="77777777" w:rsidR="004653E0" w:rsidRPr="00C80D3A" w:rsidRDefault="004653E0" w:rsidP="000915EE">
      <w:pPr>
        <w:pStyle w:val="ListParagraph"/>
        <w:spacing w:line="360" w:lineRule="auto"/>
        <w:ind w:left="1440" w:hanging="720"/>
        <w:rPr>
          <w:sz w:val="26"/>
          <w:szCs w:val="26"/>
        </w:rPr>
      </w:pPr>
    </w:p>
    <w:p w14:paraId="31313E51" w14:textId="7A126E4D" w:rsidR="00425FF6" w:rsidRPr="00C80D3A" w:rsidRDefault="00425FF6" w:rsidP="000915EE">
      <w:pPr>
        <w:pStyle w:val="ListParagraph"/>
        <w:spacing w:line="360" w:lineRule="auto"/>
        <w:ind w:left="1440" w:hanging="720"/>
        <w:rPr>
          <w:sz w:val="26"/>
          <w:szCs w:val="26"/>
        </w:rPr>
      </w:pPr>
      <w:r w:rsidRPr="00C80D3A">
        <w:rPr>
          <w:sz w:val="26"/>
          <w:szCs w:val="26"/>
        </w:rPr>
        <w:t>2.</w:t>
      </w:r>
      <w:r w:rsidR="000E76E2" w:rsidRPr="00C80D3A">
        <w:rPr>
          <w:sz w:val="26"/>
          <w:szCs w:val="26"/>
        </w:rPr>
        <w:tab/>
      </w:r>
      <w:r w:rsidR="00494719" w:rsidRPr="00C80D3A">
        <w:rPr>
          <w:bCs/>
          <w:sz w:val="26"/>
          <w:szCs w:val="26"/>
        </w:rPr>
        <w:t>Utilities should allow CAP households to retain CAP enrollment when they transfer service within the utility</w:t>
      </w:r>
      <w:r w:rsidR="001529C6">
        <w:rPr>
          <w:bCs/>
          <w:sz w:val="26"/>
          <w:szCs w:val="26"/>
        </w:rPr>
        <w:t>’</w:t>
      </w:r>
      <w:r w:rsidR="00494719" w:rsidRPr="00C80D3A">
        <w:rPr>
          <w:bCs/>
          <w:sz w:val="26"/>
          <w:szCs w:val="26"/>
        </w:rPr>
        <w:t>s (or an affiliate</w:t>
      </w:r>
      <w:r w:rsidR="001529C6">
        <w:rPr>
          <w:bCs/>
          <w:sz w:val="26"/>
          <w:szCs w:val="26"/>
        </w:rPr>
        <w:t>’</w:t>
      </w:r>
      <w:r w:rsidR="00494719" w:rsidRPr="00C80D3A">
        <w:rPr>
          <w:bCs/>
          <w:sz w:val="26"/>
          <w:szCs w:val="26"/>
        </w:rPr>
        <w:t>s) service territory.</w:t>
      </w:r>
    </w:p>
    <w:p w14:paraId="5B1166B0" w14:textId="77777777" w:rsidR="003272F4" w:rsidRPr="00C80D3A" w:rsidRDefault="003272F4" w:rsidP="000915EE">
      <w:pPr>
        <w:pStyle w:val="ListParagraph"/>
        <w:spacing w:line="360" w:lineRule="auto"/>
        <w:ind w:left="1440" w:hanging="720"/>
        <w:rPr>
          <w:sz w:val="26"/>
          <w:szCs w:val="26"/>
        </w:rPr>
      </w:pPr>
    </w:p>
    <w:p w14:paraId="49307A93" w14:textId="5EAA8C24" w:rsidR="00425FF6" w:rsidRPr="00C80D3A" w:rsidRDefault="00425FF6" w:rsidP="000915EE">
      <w:pPr>
        <w:pStyle w:val="Heading3"/>
        <w:keepNext w:val="0"/>
        <w:spacing w:line="360" w:lineRule="auto"/>
        <w:ind w:left="1440" w:hanging="720"/>
        <w:contextualSpacing/>
        <w:rPr>
          <w:b w:val="0"/>
          <w:sz w:val="26"/>
          <w:szCs w:val="26"/>
        </w:rPr>
      </w:pPr>
      <w:r w:rsidRPr="00C80D3A">
        <w:rPr>
          <w:b w:val="0"/>
          <w:sz w:val="26"/>
          <w:szCs w:val="26"/>
        </w:rPr>
        <w:t>3.</w:t>
      </w:r>
      <w:r w:rsidR="000E76E2" w:rsidRPr="00C80D3A">
        <w:rPr>
          <w:b w:val="0"/>
          <w:sz w:val="26"/>
          <w:szCs w:val="26"/>
        </w:rPr>
        <w:tab/>
      </w:r>
      <w:r w:rsidR="002C0016" w:rsidRPr="00C80D3A">
        <w:rPr>
          <w:b w:val="0"/>
          <w:sz w:val="26"/>
          <w:szCs w:val="26"/>
        </w:rPr>
        <w:t>Utilities should accept income documentation of at least the last 30 days or 12 months, whichever is more beneficial to the household, when determining CAP eligibility at application or recertification.  CAP applications and recertification letters should identify acceptable income timeframes and explain how each may benefit the customer</w:t>
      </w:r>
      <w:r w:rsidRPr="00C80D3A">
        <w:rPr>
          <w:b w:val="0"/>
          <w:sz w:val="26"/>
          <w:szCs w:val="26"/>
        </w:rPr>
        <w:t xml:space="preserve">. </w:t>
      </w:r>
    </w:p>
    <w:p w14:paraId="46E05E1D" w14:textId="3F51291B" w:rsidR="00D57D1D" w:rsidRPr="00C80D3A" w:rsidRDefault="00D57D1D" w:rsidP="000915EE">
      <w:pPr>
        <w:pStyle w:val="ListParagraph"/>
        <w:spacing w:line="360" w:lineRule="auto"/>
        <w:ind w:left="1440" w:hanging="720"/>
        <w:rPr>
          <w:sz w:val="26"/>
          <w:szCs w:val="26"/>
        </w:rPr>
      </w:pPr>
    </w:p>
    <w:p w14:paraId="63DB3F61" w14:textId="1F4AFD59" w:rsidR="00425FF6" w:rsidRPr="00C80D3A" w:rsidRDefault="00425FF6" w:rsidP="000915EE">
      <w:pPr>
        <w:pStyle w:val="ListParagraph"/>
        <w:spacing w:line="360" w:lineRule="auto"/>
        <w:ind w:left="1440" w:hanging="720"/>
        <w:rPr>
          <w:sz w:val="26"/>
          <w:szCs w:val="26"/>
        </w:rPr>
      </w:pPr>
      <w:r w:rsidRPr="00C80D3A">
        <w:rPr>
          <w:sz w:val="26"/>
          <w:szCs w:val="26"/>
        </w:rPr>
        <w:t>4.</w:t>
      </w:r>
      <w:r w:rsidR="000E76E2" w:rsidRPr="00C80D3A">
        <w:rPr>
          <w:sz w:val="26"/>
          <w:szCs w:val="26"/>
        </w:rPr>
        <w:tab/>
      </w:r>
      <w:r w:rsidR="00521881" w:rsidRPr="00C80D3A">
        <w:rPr>
          <w:sz w:val="26"/>
          <w:szCs w:val="26"/>
        </w:rPr>
        <w:t>Eliminate the provision in the CAP Policy Statement that low-income customers must be “payment</w:t>
      </w:r>
      <w:r w:rsidR="00521881" w:rsidRPr="00C80D3A">
        <w:rPr>
          <w:sz w:val="26"/>
          <w:szCs w:val="26"/>
        </w:rPr>
        <w:noBreakHyphen/>
        <w:t>troubled” to qualify for CAPs.  Utilities may, however, impose such a requirement to prioritize CAP enrollments and control CAP costs if determined appropriate by the Commission</w:t>
      </w:r>
      <w:r w:rsidRPr="00C80D3A">
        <w:rPr>
          <w:sz w:val="26"/>
          <w:szCs w:val="26"/>
        </w:rPr>
        <w:t>.</w:t>
      </w:r>
    </w:p>
    <w:p w14:paraId="6C0B4466" w14:textId="77777777" w:rsidR="00D57D1D" w:rsidRPr="00C80D3A" w:rsidRDefault="00D57D1D" w:rsidP="000915EE">
      <w:pPr>
        <w:pStyle w:val="ListParagraph"/>
        <w:spacing w:line="360" w:lineRule="auto"/>
        <w:ind w:left="1440" w:hanging="720"/>
        <w:rPr>
          <w:sz w:val="26"/>
          <w:szCs w:val="26"/>
        </w:rPr>
      </w:pPr>
    </w:p>
    <w:p w14:paraId="6D1B4E3E" w14:textId="7551BACB" w:rsidR="00425FF6" w:rsidRPr="00C80D3A" w:rsidRDefault="00425FF6" w:rsidP="000915EE">
      <w:pPr>
        <w:pStyle w:val="ListParagraph"/>
        <w:spacing w:line="360" w:lineRule="auto"/>
        <w:ind w:left="1440" w:hanging="720"/>
        <w:rPr>
          <w:sz w:val="26"/>
          <w:szCs w:val="26"/>
        </w:rPr>
      </w:pPr>
      <w:r w:rsidRPr="00C80D3A">
        <w:rPr>
          <w:sz w:val="26"/>
          <w:szCs w:val="26"/>
        </w:rPr>
        <w:t>5.</w:t>
      </w:r>
      <w:r w:rsidR="000E76E2" w:rsidRPr="00C80D3A">
        <w:rPr>
          <w:sz w:val="26"/>
          <w:szCs w:val="26"/>
        </w:rPr>
        <w:tab/>
      </w:r>
      <w:r w:rsidR="000F2D01" w:rsidRPr="00C80D3A">
        <w:rPr>
          <w:sz w:val="26"/>
          <w:szCs w:val="26"/>
        </w:rPr>
        <w:t>Eliminate the provision in the CAP Policy Statement that a customer should direct the LIHEAP grant to the utility sponsoring the CAP (Section</w:t>
      </w:r>
      <w:r w:rsidR="00A564D0" w:rsidRPr="00C80D3A">
        <w:rPr>
          <w:sz w:val="26"/>
          <w:szCs w:val="26"/>
        </w:rPr>
        <w:t> </w:t>
      </w:r>
      <w:r w:rsidR="000F2D01" w:rsidRPr="00C80D3A">
        <w:rPr>
          <w:sz w:val="26"/>
          <w:szCs w:val="26"/>
        </w:rPr>
        <w:t>69.265(9)(i))</w:t>
      </w:r>
      <w:r w:rsidR="0036456C" w:rsidRPr="00C80D3A">
        <w:rPr>
          <w:sz w:val="26"/>
          <w:szCs w:val="26"/>
        </w:rPr>
        <w:t>,</w:t>
      </w:r>
      <w:r w:rsidR="004D456C" w:rsidRPr="00C80D3A">
        <w:rPr>
          <w:sz w:val="26"/>
          <w:szCs w:val="26"/>
        </w:rPr>
        <w:t xml:space="preserve"> </w:t>
      </w:r>
      <w:r w:rsidR="000F2D01" w:rsidRPr="00C80D3A">
        <w:rPr>
          <w:sz w:val="26"/>
          <w:szCs w:val="26"/>
        </w:rPr>
        <w:t>be penalized for not applying for LIHEAP (Section</w:t>
      </w:r>
      <w:r w:rsidR="00A564D0" w:rsidRPr="00C80D3A">
        <w:rPr>
          <w:sz w:val="26"/>
          <w:szCs w:val="26"/>
        </w:rPr>
        <w:t> </w:t>
      </w:r>
      <w:r w:rsidR="000F2D01" w:rsidRPr="00C80D3A">
        <w:rPr>
          <w:sz w:val="26"/>
          <w:szCs w:val="26"/>
        </w:rPr>
        <w:t>69.265(9)(ii) and (iv))</w:t>
      </w:r>
      <w:r w:rsidR="0036456C" w:rsidRPr="00C80D3A">
        <w:rPr>
          <w:sz w:val="26"/>
          <w:szCs w:val="26"/>
        </w:rPr>
        <w:t>, and that a LIHEAP grant should be applied to reduce the amount of CAP credits (Section 69.265(9)(iii))</w:t>
      </w:r>
      <w:r w:rsidR="000F2D01" w:rsidRPr="00C80D3A">
        <w:rPr>
          <w:sz w:val="26"/>
          <w:szCs w:val="26"/>
        </w:rPr>
        <w:t xml:space="preserve">.  However, all CAP customers should participate in LIHEAP, if eligible.  </w:t>
      </w:r>
    </w:p>
    <w:p w14:paraId="04C4B241" w14:textId="77777777" w:rsidR="00D57D1D" w:rsidRPr="00C80D3A" w:rsidRDefault="00D57D1D" w:rsidP="000915EE">
      <w:pPr>
        <w:pStyle w:val="ListParagraph"/>
        <w:spacing w:line="360" w:lineRule="auto"/>
        <w:ind w:left="1440" w:hanging="720"/>
        <w:rPr>
          <w:sz w:val="26"/>
          <w:szCs w:val="26"/>
        </w:rPr>
      </w:pPr>
    </w:p>
    <w:p w14:paraId="4B9590D7" w14:textId="30CA0E5F" w:rsidR="00425FF6" w:rsidRPr="00C80D3A" w:rsidRDefault="00425FF6" w:rsidP="000915EE">
      <w:pPr>
        <w:pStyle w:val="ListParagraph"/>
        <w:spacing w:line="360" w:lineRule="auto"/>
        <w:ind w:left="1440" w:hanging="720"/>
        <w:rPr>
          <w:sz w:val="26"/>
          <w:szCs w:val="26"/>
        </w:rPr>
      </w:pPr>
      <w:r w:rsidRPr="00C80D3A">
        <w:rPr>
          <w:sz w:val="26"/>
          <w:szCs w:val="26"/>
        </w:rPr>
        <w:t>6.</w:t>
      </w:r>
      <w:r w:rsidR="000E76E2" w:rsidRPr="00C80D3A">
        <w:rPr>
          <w:sz w:val="26"/>
          <w:szCs w:val="26"/>
        </w:rPr>
        <w:tab/>
      </w:r>
      <w:r w:rsidR="00D54A96">
        <w:rPr>
          <w:sz w:val="26"/>
          <w:szCs w:val="26"/>
        </w:rPr>
        <w:t>Utilities should e</w:t>
      </w:r>
      <w:r w:rsidRPr="00C80D3A">
        <w:rPr>
          <w:sz w:val="26"/>
          <w:szCs w:val="26"/>
        </w:rPr>
        <w:t>xempt CAP customers from late payment charges.</w:t>
      </w:r>
    </w:p>
    <w:p w14:paraId="75F6E60F" w14:textId="77777777" w:rsidR="00D57D1D" w:rsidRPr="00C80D3A" w:rsidRDefault="00D57D1D" w:rsidP="000915EE">
      <w:pPr>
        <w:pStyle w:val="ListParagraph"/>
        <w:spacing w:line="360" w:lineRule="auto"/>
        <w:ind w:left="1440" w:hanging="720"/>
        <w:rPr>
          <w:sz w:val="26"/>
          <w:szCs w:val="26"/>
        </w:rPr>
      </w:pPr>
    </w:p>
    <w:p w14:paraId="43E26CBC" w14:textId="6D74FC62" w:rsidR="00425FF6" w:rsidRPr="00C80D3A" w:rsidRDefault="00425FF6" w:rsidP="000915EE">
      <w:pPr>
        <w:pStyle w:val="ListParagraph"/>
        <w:spacing w:line="360" w:lineRule="auto"/>
        <w:ind w:left="1440" w:hanging="720"/>
        <w:rPr>
          <w:sz w:val="26"/>
          <w:szCs w:val="26"/>
        </w:rPr>
      </w:pPr>
      <w:r w:rsidRPr="00C80D3A">
        <w:rPr>
          <w:sz w:val="26"/>
          <w:szCs w:val="26"/>
        </w:rPr>
        <w:t>7.</w:t>
      </w:r>
      <w:r w:rsidR="000E76E2" w:rsidRPr="00C80D3A">
        <w:rPr>
          <w:sz w:val="26"/>
          <w:szCs w:val="26"/>
        </w:rPr>
        <w:tab/>
      </w:r>
      <w:r w:rsidR="000F2D01" w:rsidRPr="00C80D3A">
        <w:rPr>
          <w:sz w:val="26"/>
          <w:szCs w:val="26"/>
        </w:rPr>
        <w:t>Utilities should provide CAP customers with (a) PPA forgiveness for each on-time and in-full monthly CAP payment regardless of in-CAP arrears and (b) retroactive PPA forgiveness for any month(s) missed once the household pays its in-CAP/in-program balance/debt in full</w:t>
      </w:r>
      <w:r w:rsidRPr="00C80D3A">
        <w:rPr>
          <w:sz w:val="26"/>
          <w:szCs w:val="26"/>
        </w:rPr>
        <w:t>.</w:t>
      </w:r>
    </w:p>
    <w:p w14:paraId="288AB53E" w14:textId="77777777" w:rsidR="00D57D1D" w:rsidRPr="00C80D3A" w:rsidRDefault="00D57D1D" w:rsidP="000915EE">
      <w:pPr>
        <w:pStyle w:val="ListParagraph"/>
        <w:spacing w:line="360" w:lineRule="auto"/>
        <w:ind w:left="1440" w:hanging="720"/>
        <w:rPr>
          <w:sz w:val="26"/>
          <w:szCs w:val="26"/>
        </w:rPr>
      </w:pPr>
    </w:p>
    <w:p w14:paraId="60723FF6" w14:textId="427E01CE" w:rsidR="00425FF6" w:rsidRPr="00C80D3A" w:rsidRDefault="00425FF6" w:rsidP="000915EE">
      <w:pPr>
        <w:pStyle w:val="ListParagraph"/>
        <w:spacing w:line="360" w:lineRule="auto"/>
        <w:ind w:left="1440" w:hanging="720"/>
        <w:rPr>
          <w:bCs/>
          <w:sz w:val="26"/>
          <w:szCs w:val="26"/>
        </w:rPr>
      </w:pPr>
      <w:r w:rsidRPr="00C80D3A">
        <w:rPr>
          <w:bCs/>
          <w:sz w:val="26"/>
          <w:szCs w:val="26"/>
        </w:rPr>
        <w:t>8.</w:t>
      </w:r>
      <w:r w:rsidR="000E76E2" w:rsidRPr="00C80D3A">
        <w:rPr>
          <w:bCs/>
          <w:sz w:val="26"/>
          <w:szCs w:val="26"/>
        </w:rPr>
        <w:tab/>
      </w:r>
      <w:r w:rsidR="001A29A4" w:rsidRPr="00C80D3A">
        <w:rPr>
          <w:bCs/>
          <w:sz w:val="26"/>
          <w:szCs w:val="26"/>
        </w:rPr>
        <w:t xml:space="preserve">Utilities </w:t>
      </w:r>
      <w:r w:rsidR="00D54A96">
        <w:rPr>
          <w:bCs/>
          <w:sz w:val="26"/>
          <w:szCs w:val="26"/>
        </w:rPr>
        <w:t xml:space="preserve">may request, but not require, SSNs of </w:t>
      </w:r>
      <w:r w:rsidR="00D54A96" w:rsidRPr="00C80D3A">
        <w:rPr>
          <w:bCs/>
          <w:sz w:val="26"/>
          <w:szCs w:val="26"/>
        </w:rPr>
        <w:t>household members when verifying identity for CAP enrollment</w:t>
      </w:r>
      <w:r w:rsidR="00D54A96">
        <w:rPr>
          <w:bCs/>
          <w:sz w:val="26"/>
          <w:szCs w:val="26"/>
        </w:rPr>
        <w:t xml:space="preserve"> and </w:t>
      </w:r>
      <w:r w:rsidR="001A29A4" w:rsidRPr="00C80D3A">
        <w:rPr>
          <w:bCs/>
          <w:sz w:val="26"/>
          <w:szCs w:val="26"/>
        </w:rPr>
        <w:t xml:space="preserve">should </w:t>
      </w:r>
      <w:r w:rsidR="00D54A96">
        <w:rPr>
          <w:bCs/>
          <w:sz w:val="26"/>
          <w:szCs w:val="26"/>
        </w:rPr>
        <w:t xml:space="preserve">accept </w:t>
      </w:r>
      <w:r w:rsidR="00E9017A" w:rsidRPr="00C80D3A">
        <w:rPr>
          <w:bCs/>
          <w:sz w:val="26"/>
          <w:szCs w:val="26"/>
        </w:rPr>
        <w:t xml:space="preserve">and explain </w:t>
      </w:r>
      <w:r w:rsidRPr="00C80D3A">
        <w:rPr>
          <w:bCs/>
          <w:sz w:val="26"/>
          <w:szCs w:val="26"/>
        </w:rPr>
        <w:t>alternatives to SSNs.</w:t>
      </w:r>
    </w:p>
    <w:p w14:paraId="5E48AC43" w14:textId="77777777" w:rsidR="00D57D1D" w:rsidRPr="00C80D3A" w:rsidRDefault="00D57D1D" w:rsidP="000915EE">
      <w:pPr>
        <w:pStyle w:val="ListParagraph"/>
        <w:spacing w:line="360" w:lineRule="auto"/>
        <w:ind w:left="1440" w:hanging="720"/>
        <w:rPr>
          <w:bCs/>
          <w:sz w:val="26"/>
          <w:szCs w:val="26"/>
        </w:rPr>
      </w:pPr>
    </w:p>
    <w:p w14:paraId="1A0CAE24" w14:textId="19EF334A" w:rsidR="00425FF6" w:rsidRPr="00C80D3A" w:rsidRDefault="00425FF6" w:rsidP="000915EE">
      <w:pPr>
        <w:pStyle w:val="ListParagraph"/>
        <w:spacing w:line="360" w:lineRule="auto"/>
        <w:ind w:left="1440" w:hanging="720"/>
        <w:rPr>
          <w:rStyle w:val="Hyperlink"/>
          <w:bCs/>
          <w:color w:val="000000" w:themeColor="text1"/>
          <w:sz w:val="26"/>
          <w:szCs w:val="26"/>
          <w:u w:val="none"/>
        </w:rPr>
      </w:pPr>
      <w:r w:rsidRPr="00C80D3A">
        <w:rPr>
          <w:rStyle w:val="Hyperlink"/>
          <w:bCs/>
          <w:color w:val="000000" w:themeColor="text1"/>
          <w:sz w:val="26"/>
          <w:szCs w:val="26"/>
          <w:u w:val="none"/>
        </w:rPr>
        <w:t>9.</w:t>
      </w:r>
      <w:r w:rsidR="000E76E2" w:rsidRPr="00C80D3A">
        <w:rPr>
          <w:rStyle w:val="Hyperlink"/>
          <w:bCs/>
          <w:color w:val="000000" w:themeColor="text1"/>
          <w:sz w:val="26"/>
          <w:szCs w:val="26"/>
          <w:u w:val="none"/>
        </w:rPr>
        <w:tab/>
      </w:r>
      <w:r w:rsidR="00C66244" w:rsidRPr="00C80D3A">
        <w:rPr>
          <w:sz w:val="26"/>
          <w:szCs w:val="26"/>
        </w:rPr>
        <w:t>Maximum CAP credit limits should be set in USECP review proceedings and should consist of a tiered structure based on the household</w:t>
      </w:r>
      <w:r w:rsidR="001529C6">
        <w:rPr>
          <w:sz w:val="26"/>
          <w:szCs w:val="26"/>
        </w:rPr>
        <w:t>’</w:t>
      </w:r>
      <w:r w:rsidR="00C66244" w:rsidRPr="00C80D3A">
        <w:rPr>
          <w:sz w:val="26"/>
          <w:szCs w:val="26"/>
        </w:rPr>
        <w:t>s FPIG level (</w:t>
      </w:r>
      <w:r w:rsidR="00C66244" w:rsidRPr="00C80D3A">
        <w:rPr>
          <w:i/>
          <w:iCs/>
          <w:sz w:val="26"/>
          <w:szCs w:val="26"/>
        </w:rPr>
        <w:t>i.e.</w:t>
      </w:r>
      <w:r w:rsidR="00C66244" w:rsidRPr="00C80D3A">
        <w:rPr>
          <w:sz w:val="26"/>
          <w:szCs w:val="26"/>
        </w:rPr>
        <w:t>, 0-50%, 51</w:t>
      </w:r>
      <w:r w:rsidR="00C66244" w:rsidRPr="00C80D3A">
        <w:rPr>
          <w:sz w:val="26"/>
          <w:szCs w:val="26"/>
        </w:rPr>
        <w:noBreakHyphen/>
        <w:t>100%, and 101-150%) which should provide lower income households with higher CAP credit limits.  Utilities should notify CAP customers when they approach their CAP credit limits, instruct them to contact the utility if they meet any exceptions, and refer them to LIURP (if eligible)</w:t>
      </w:r>
      <w:r w:rsidR="000C62BB" w:rsidRPr="00C80D3A">
        <w:rPr>
          <w:sz w:val="26"/>
          <w:szCs w:val="26"/>
        </w:rPr>
        <w:t>.</w:t>
      </w:r>
    </w:p>
    <w:p w14:paraId="52458F75" w14:textId="77777777" w:rsidR="004B0C50" w:rsidRPr="00C80D3A" w:rsidRDefault="004B0C50" w:rsidP="000915EE">
      <w:pPr>
        <w:pStyle w:val="ListParagraph"/>
        <w:spacing w:line="360" w:lineRule="auto"/>
        <w:ind w:left="1440" w:hanging="720"/>
        <w:rPr>
          <w:rStyle w:val="Hyperlink"/>
          <w:bCs/>
          <w:color w:val="000000" w:themeColor="text1"/>
          <w:sz w:val="26"/>
          <w:szCs w:val="26"/>
        </w:rPr>
      </w:pPr>
    </w:p>
    <w:p w14:paraId="73815286" w14:textId="32294869" w:rsidR="00425FF6" w:rsidRPr="00C80D3A" w:rsidRDefault="00425FF6" w:rsidP="000915EE">
      <w:pPr>
        <w:pStyle w:val="ListParagraph"/>
        <w:spacing w:line="360" w:lineRule="auto"/>
        <w:ind w:left="1440" w:hanging="720"/>
        <w:rPr>
          <w:sz w:val="26"/>
          <w:szCs w:val="26"/>
        </w:rPr>
      </w:pPr>
      <w:r w:rsidRPr="00C80D3A">
        <w:rPr>
          <w:color w:val="000000" w:themeColor="text1"/>
          <w:sz w:val="26"/>
          <w:szCs w:val="26"/>
        </w:rPr>
        <w:t>1</w:t>
      </w:r>
      <w:r w:rsidR="004071D7" w:rsidRPr="00C80D3A">
        <w:rPr>
          <w:color w:val="000000" w:themeColor="text1"/>
          <w:sz w:val="26"/>
          <w:szCs w:val="26"/>
        </w:rPr>
        <w:t>0</w:t>
      </w:r>
      <w:r w:rsidRPr="00C80D3A">
        <w:rPr>
          <w:color w:val="000000" w:themeColor="text1"/>
          <w:sz w:val="26"/>
          <w:szCs w:val="26"/>
        </w:rPr>
        <w:t>.</w:t>
      </w:r>
      <w:r w:rsidR="000E76E2" w:rsidRPr="00C80D3A">
        <w:rPr>
          <w:color w:val="000000" w:themeColor="text1"/>
          <w:sz w:val="26"/>
          <w:szCs w:val="26"/>
        </w:rPr>
        <w:tab/>
      </w:r>
      <w:r w:rsidR="00BE7998" w:rsidRPr="00C80D3A">
        <w:rPr>
          <w:sz w:val="26"/>
          <w:szCs w:val="26"/>
        </w:rPr>
        <w:t>Utilities should establish online CAP applications and allow customers to submit documentation electronically</w:t>
      </w:r>
      <w:r w:rsidRPr="00C80D3A">
        <w:rPr>
          <w:sz w:val="26"/>
          <w:szCs w:val="26"/>
        </w:rPr>
        <w:t>.</w:t>
      </w:r>
    </w:p>
    <w:p w14:paraId="1EF02D20" w14:textId="77777777" w:rsidR="007557D8" w:rsidRPr="00C80D3A" w:rsidRDefault="007557D8" w:rsidP="000915EE">
      <w:pPr>
        <w:pStyle w:val="ListParagraph"/>
        <w:spacing w:line="360" w:lineRule="auto"/>
        <w:ind w:left="1440" w:hanging="720"/>
        <w:rPr>
          <w:sz w:val="26"/>
          <w:szCs w:val="26"/>
        </w:rPr>
      </w:pPr>
    </w:p>
    <w:p w14:paraId="4347C867" w14:textId="5188733D" w:rsidR="00425FF6" w:rsidRPr="00C80D3A" w:rsidRDefault="00425FF6" w:rsidP="000915EE">
      <w:pPr>
        <w:pStyle w:val="ListParagraph"/>
        <w:spacing w:line="360" w:lineRule="auto"/>
        <w:ind w:left="1440" w:hanging="720"/>
        <w:rPr>
          <w:sz w:val="26"/>
          <w:szCs w:val="26"/>
        </w:rPr>
      </w:pPr>
      <w:r w:rsidRPr="00C80D3A">
        <w:rPr>
          <w:sz w:val="26"/>
          <w:szCs w:val="26"/>
        </w:rPr>
        <w:t>1</w:t>
      </w:r>
      <w:r w:rsidR="004071D7" w:rsidRPr="00C80D3A">
        <w:rPr>
          <w:sz w:val="26"/>
          <w:szCs w:val="26"/>
        </w:rPr>
        <w:t>1</w:t>
      </w:r>
      <w:r w:rsidRPr="00C80D3A">
        <w:rPr>
          <w:sz w:val="26"/>
          <w:szCs w:val="26"/>
        </w:rPr>
        <w:t>.</w:t>
      </w:r>
      <w:r w:rsidR="000E76E2" w:rsidRPr="00C80D3A">
        <w:rPr>
          <w:sz w:val="26"/>
          <w:szCs w:val="26"/>
        </w:rPr>
        <w:tab/>
      </w:r>
      <w:r w:rsidR="003F5646" w:rsidRPr="00C80D3A">
        <w:rPr>
          <w:sz w:val="26"/>
          <w:szCs w:val="26"/>
        </w:rPr>
        <w:t>Utilities should use a standardized zero-income form and develop other industry-wide standardized forms</w:t>
      </w:r>
      <w:r w:rsidRPr="00C80D3A">
        <w:rPr>
          <w:sz w:val="26"/>
          <w:szCs w:val="26"/>
        </w:rPr>
        <w:t>.</w:t>
      </w:r>
    </w:p>
    <w:p w14:paraId="4C1F3638" w14:textId="3908CD3F" w:rsidR="00D54A96" w:rsidRPr="00C80D3A" w:rsidRDefault="00425FF6" w:rsidP="00DF49BD">
      <w:pPr>
        <w:pStyle w:val="ListParagraph"/>
        <w:spacing w:line="360" w:lineRule="auto"/>
        <w:ind w:left="1440" w:hanging="720"/>
        <w:rPr>
          <w:sz w:val="26"/>
          <w:szCs w:val="26"/>
        </w:rPr>
      </w:pPr>
      <w:r w:rsidRPr="00C80D3A">
        <w:rPr>
          <w:sz w:val="26"/>
          <w:szCs w:val="26"/>
        </w:rPr>
        <w:t>1</w:t>
      </w:r>
      <w:r w:rsidR="004071D7" w:rsidRPr="00C80D3A">
        <w:rPr>
          <w:sz w:val="26"/>
          <w:szCs w:val="26"/>
        </w:rPr>
        <w:t>2</w:t>
      </w:r>
      <w:r w:rsidRPr="00C80D3A">
        <w:rPr>
          <w:sz w:val="26"/>
          <w:szCs w:val="26"/>
        </w:rPr>
        <w:t>.</w:t>
      </w:r>
      <w:r w:rsidR="000E76E2" w:rsidRPr="00C80D3A">
        <w:rPr>
          <w:sz w:val="26"/>
          <w:szCs w:val="26"/>
        </w:rPr>
        <w:tab/>
      </w:r>
      <w:r w:rsidR="003F5646" w:rsidRPr="00C80D3A">
        <w:rPr>
          <w:bCs/>
          <w:sz w:val="26"/>
          <w:szCs w:val="26"/>
        </w:rPr>
        <w:t>Establish new maximum recertification timeframes for CAPs</w:t>
      </w:r>
      <w:r w:rsidR="00A776B4">
        <w:rPr>
          <w:bCs/>
          <w:sz w:val="26"/>
          <w:szCs w:val="26"/>
        </w:rPr>
        <w:t>:</w:t>
      </w:r>
      <w:r w:rsidR="00E83744">
        <w:rPr>
          <w:bCs/>
          <w:sz w:val="26"/>
          <w:szCs w:val="26"/>
        </w:rPr>
        <w:br/>
      </w:r>
      <w:r w:rsidR="00B80FE7">
        <w:rPr>
          <w:bCs/>
          <w:sz w:val="26"/>
          <w:szCs w:val="26"/>
        </w:rPr>
        <w:t xml:space="preserve">●  CAP </w:t>
      </w:r>
      <w:r w:rsidR="00B80FE7" w:rsidRPr="00C04E35">
        <w:rPr>
          <w:bCs/>
          <w:sz w:val="26"/>
          <w:szCs w:val="26"/>
        </w:rPr>
        <w:t xml:space="preserve">households reporting no income should be required to recertify at least every six (6) months regardless of LIHEAP participation; </w:t>
      </w:r>
      <w:r w:rsidR="00B80FE7" w:rsidRPr="00C04E35">
        <w:rPr>
          <w:bCs/>
          <w:sz w:val="26"/>
          <w:szCs w:val="26"/>
        </w:rPr>
        <w:br/>
        <w:t xml:space="preserve">●  CAP households with income that participate in LIHEAP annually should be required to recertify at least once every </w:t>
      </w:r>
      <w:r w:rsidR="00B80FE7" w:rsidRPr="00C80D3A">
        <w:rPr>
          <w:bCs/>
          <w:sz w:val="26"/>
          <w:szCs w:val="26"/>
        </w:rPr>
        <w:t xml:space="preserve">three </w:t>
      </w:r>
      <w:r w:rsidR="00B80FE7">
        <w:rPr>
          <w:bCs/>
          <w:sz w:val="26"/>
          <w:szCs w:val="26"/>
        </w:rPr>
        <w:t xml:space="preserve">(3) </w:t>
      </w:r>
      <w:r w:rsidR="00B80FE7" w:rsidRPr="00C80D3A">
        <w:rPr>
          <w:bCs/>
          <w:sz w:val="26"/>
          <w:szCs w:val="26"/>
        </w:rPr>
        <w:t xml:space="preserve">years; </w:t>
      </w:r>
      <w:r w:rsidR="00B80FE7">
        <w:rPr>
          <w:bCs/>
          <w:sz w:val="26"/>
          <w:szCs w:val="26"/>
        </w:rPr>
        <w:br/>
        <w:t>●  CAP h</w:t>
      </w:r>
      <w:r w:rsidR="00B80FE7" w:rsidRPr="00C80D3A">
        <w:rPr>
          <w:bCs/>
          <w:sz w:val="26"/>
          <w:szCs w:val="26"/>
        </w:rPr>
        <w:t xml:space="preserve">ouseholds whose primary source of income is Social Security, Supplemental Security Income (SSI), or pensions should </w:t>
      </w:r>
      <w:r w:rsidR="00B80FE7">
        <w:rPr>
          <w:bCs/>
          <w:sz w:val="26"/>
          <w:szCs w:val="26"/>
        </w:rPr>
        <w:t xml:space="preserve">be required to </w:t>
      </w:r>
      <w:r w:rsidR="00B80FE7" w:rsidRPr="00C80D3A">
        <w:rPr>
          <w:bCs/>
          <w:sz w:val="26"/>
          <w:szCs w:val="26"/>
        </w:rPr>
        <w:t xml:space="preserve">recertify at least once every </w:t>
      </w:r>
      <w:r w:rsidR="00B80FE7">
        <w:rPr>
          <w:bCs/>
          <w:sz w:val="26"/>
          <w:szCs w:val="26"/>
        </w:rPr>
        <w:t xml:space="preserve">three (3) </w:t>
      </w:r>
      <w:r w:rsidR="00B80FE7" w:rsidRPr="00C80D3A">
        <w:rPr>
          <w:bCs/>
          <w:sz w:val="26"/>
          <w:szCs w:val="26"/>
        </w:rPr>
        <w:t xml:space="preserve">years; </w:t>
      </w:r>
      <w:r w:rsidR="00A776B4">
        <w:rPr>
          <w:bCs/>
          <w:sz w:val="26"/>
          <w:szCs w:val="26"/>
        </w:rPr>
        <w:t>and</w:t>
      </w:r>
      <w:r w:rsidR="00B80FE7">
        <w:rPr>
          <w:bCs/>
          <w:sz w:val="26"/>
          <w:szCs w:val="26"/>
        </w:rPr>
        <w:br/>
        <w:t>●  A</w:t>
      </w:r>
      <w:r w:rsidR="00B80FE7" w:rsidRPr="00C80D3A">
        <w:rPr>
          <w:bCs/>
          <w:sz w:val="26"/>
          <w:szCs w:val="26"/>
        </w:rPr>
        <w:t xml:space="preserve">ll other CAP households should recertify at least once every </w:t>
      </w:r>
      <w:r w:rsidR="00B80FE7" w:rsidRPr="00DF121A">
        <w:rPr>
          <w:bCs/>
          <w:sz w:val="26"/>
          <w:szCs w:val="26"/>
        </w:rPr>
        <w:t>two</w:t>
      </w:r>
      <w:r w:rsidR="00DF121A">
        <w:rPr>
          <w:bCs/>
          <w:sz w:val="26"/>
          <w:szCs w:val="26"/>
        </w:rPr>
        <w:t> </w:t>
      </w:r>
      <w:r w:rsidR="00B80FE7" w:rsidRPr="00DF121A">
        <w:rPr>
          <w:bCs/>
          <w:sz w:val="26"/>
          <w:szCs w:val="26"/>
        </w:rPr>
        <w:t>(2)</w:t>
      </w:r>
      <w:r w:rsidR="00DF121A">
        <w:rPr>
          <w:bCs/>
          <w:sz w:val="26"/>
          <w:szCs w:val="26"/>
        </w:rPr>
        <w:t> </w:t>
      </w:r>
      <w:r w:rsidR="00B80FE7" w:rsidRPr="00C80D3A">
        <w:rPr>
          <w:bCs/>
          <w:sz w:val="26"/>
          <w:szCs w:val="26"/>
        </w:rPr>
        <w:t>years</w:t>
      </w:r>
      <w:r w:rsidR="00D54A96" w:rsidRPr="00C80D3A">
        <w:rPr>
          <w:sz w:val="26"/>
          <w:szCs w:val="26"/>
        </w:rPr>
        <w:t>.</w:t>
      </w:r>
    </w:p>
    <w:p w14:paraId="64EBFA4B" w14:textId="77777777" w:rsidR="008D24D0" w:rsidRPr="00C80D3A" w:rsidRDefault="008D24D0" w:rsidP="000915EE">
      <w:pPr>
        <w:pStyle w:val="ListParagraph"/>
        <w:spacing w:line="360" w:lineRule="auto"/>
        <w:ind w:left="1440" w:hanging="720"/>
        <w:rPr>
          <w:sz w:val="26"/>
          <w:szCs w:val="26"/>
        </w:rPr>
      </w:pPr>
    </w:p>
    <w:p w14:paraId="32EC2EFE" w14:textId="38D4D9EF" w:rsidR="00425FF6" w:rsidRPr="00C80D3A" w:rsidRDefault="00A643C6" w:rsidP="000915EE">
      <w:pPr>
        <w:pStyle w:val="ListParagraph"/>
        <w:spacing w:line="360" w:lineRule="auto"/>
        <w:ind w:left="1440" w:hanging="720"/>
        <w:rPr>
          <w:sz w:val="26"/>
          <w:szCs w:val="26"/>
        </w:rPr>
      </w:pPr>
      <w:r w:rsidRPr="00C80D3A">
        <w:rPr>
          <w:sz w:val="26"/>
          <w:szCs w:val="26"/>
        </w:rPr>
        <w:t>13</w:t>
      </w:r>
      <w:r w:rsidR="00425FF6" w:rsidRPr="00C80D3A">
        <w:rPr>
          <w:sz w:val="26"/>
          <w:szCs w:val="26"/>
        </w:rPr>
        <w:t>.</w:t>
      </w:r>
      <w:r w:rsidR="000E76E2" w:rsidRPr="00C80D3A">
        <w:rPr>
          <w:sz w:val="26"/>
          <w:szCs w:val="26"/>
        </w:rPr>
        <w:tab/>
      </w:r>
      <w:r w:rsidR="009E4F72" w:rsidRPr="00C80D3A">
        <w:rPr>
          <w:sz w:val="26"/>
          <w:szCs w:val="26"/>
        </w:rPr>
        <w:t>Utilities should i</w:t>
      </w:r>
      <w:r w:rsidR="009E4F72" w:rsidRPr="00C80D3A">
        <w:rPr>
          <w:bCs/>
          <w:sz w:val="26"/>
          <w:szCs w:val="26"/>
        </w:rPr>
        <w:t xml:space="preserve">nitiate collection activity for CAP accounts when a customer has no more than two </w:t>
      </w:r>
      <w:r w:rsidR="00BE38BE">
        <w:rPr>
          <w:bCs/>
          <w:sz w:val="26"/>
          <w:szCs w:val="26"/>
        </w:rPr>
        <w:t xml:space="preserve">(2) </w:t>
      </w:r>
      <w:r w:rsidR="009E4F72" w:rsidRPr="00C80D3A">
        <w:rPr>
          <w:bCs/>
          <w:sz w:val="26"/>
          <w:szCs w:val="26"/>
        </w:rPr>
        <w:t>in-program payments in arrears.  Customers should not be removed or defaulted from CAP as a precursor to termination for non-payment</w:t>
      </w:r>
      <w:r w:rsidR="00425FF6" w:rsidRPr="00C80D3A">
        <w:rPr>
          <w:sz w:val="26"/>
          <w:szCs w:val="26"/>
        </w:rPr>
        <w:t>.</w:t>
      </w:r>
    </w:p>
    <w:p w14:paraId="7C4B4A22" w14:textId="77777777" w:rsidR="008D24D0" w:rsidRPr="00C80D3A" w:rsidRDefault="008D24D0" w:rsidP="000915EE">
      <w:pPr>
        <w:pStyle w:val="ListParagraph"/>
        <w:spacing w:line="360" w:lineRule="auto"/>
        <w:ind w:left="1440" w:hanging="720"/>
        <w:rPr>
          <w:sz w:val="26"/>
          <w:szCs w:val="26"/>
        </w:rPr>
      </w:pPr>
    </w:p>
    <w:p w14:paraId="29D39314" w14:textId="6E4864BD" w:rsidR="00425FF6" w:rsidRPr="00C80D3A" w:rsidRDefault="00A643C6" w:rsidP="000915EE">
      <w:pPr>
        <w:pStyle w:val="ListParagraph"/>
        <w:spacing w:line="360" w:lineRule="auto"/>
        <w:ind w:left="1440" w:hanging="720"/>
        <w:rPr>
          <w:sz w:val="26"/>
          <w:szCs w:val="26"/>
        </w:rPr>
      </w:pPr>
      <w:r w:rsidRPr="00C80D3A">
        <w:rPr>
          <w:sz w:val="26"/>
          <w:szCs w:val="26"/>
        </w:rPr>
        <w:t>14</w:t>
      </w:r>
      <w:r w:rsidR="00425FF6" w:rsidRPr="00C80D3A">
        <w:rPr>
          <w:sz w:val="26"/>
          <w:szCs w:val="26"/>
        </w:rPr>
        <w:t>.</w:t>
      </w:r>
      <w:r w:rsidR="000E76E2" w:rsidRPr="00C80D3A">
        <w:rPr>
          <w:sz w:val="26"/>
          <w:szCs w:val="26"/>
        </w:rPr>
        <w:tab/>
      </w:r>
      <w:r w:rsidR="009E4F72" w:rsidRPr="00C80D3A">
        <w:rPr>
          <w:sz w:val="26"/>
          <w:szCs w:val="26"/>
        </w:rPr>
        <w:t>Utilities should evaluate household CAP bills at least quarterly to determine whether the customer</w:t>
      </w:r>
      <w:r w:rsidR="001529C6">
        <w:rPr>
          <w:sz w:val="26"/>
          <w:szCs w:val="26"/>
        </w:rPr>
        <w:t>’</w:t>
      </w:r>
      <w:r w:rsidR="009E4F72" w:rsidRPr="00C80D3A">
        <w:rPr>
          <w:sz w:val="26"/>
          <w:szCs w:val="26"/>
        </w:rPr>
        <w:t>s CAP credit amount or billing method is appropriate</w:t>
      </w:r>
      <w:r w:rsidR="00425FF6" w:rsidRPr="00C80D3A">
        <w:rPr>
          <w:sz w:val="26"/>
          <w:szCs w:val="26"/>
        </w:rPr>
        <w:t>.</w:t>
      </w:r>
    </w:p>
    <w:p w14:paraId="02857107" w14:textId="77777777" w:rsidR="008D24D0" w:rsidRPr="00C80D3A" w:rsidRDefault="008D24D0" w:rsidP="000915EE">
      <w:pPr>
        <w:pStyle w:val="ListParagraph"/>
        <w:spacing w:line="360" w:lineRule="auto"/>
        <w:ind w:left="1440" w:hanging="720"/>
        <w:rPr>
          <w:sz w:val="26"/>
          <w:szCs w:val="26"/>
        </w:rPr>
      </w:pPr>
    </w:p>
    <w:p w14:paraId="52530657" w14:textId="2BD1FB8D" w:rsidR="00915465" w:rsidRPr="00C04E35" w:rsidRDefault="00915465" w:rsidP="000915EE">
      <w:pPr>
        <w:pStyle w:val="ListParagraph"/>
        <w:numPr>
          <w:ilvl w:val="0"/>
          <w:numId w:val="38"/>
        </w:numPr>
        <w:tabs>
          <w:tab w:val="left" w:pos="270"/>
        </w:tabs>
        <w:spacing w:line="360" w:lineRule="auto"/>
        <w:ind w:left="1440" w:hanging="720"/>
        <w:rPr>
          <w:sz w:val="26"/>
          <w:szCs w:val="26"/>
        </w:rPr>
      </w:pPr>
      <w:r w:rsidRPr="00C04E35">
        <w:rPr>
          <w:bCs/>
          <w:sz w:val="26"/>
          <w:szCs w:val="26"/>
        </w:rPr>
        <w:t xml:space="preserve">Utilities should work with stakeholders to develop </w:t>
      </w:r>
      <w:r w:rsidR="00F84876">
        <w:rPr>
          <w:bCs/>
          <w:sz w:val="26"/>
          <w:szCs w:val="26"/>
        </w:rPr>
        <w:t>C</w:t>
      </w:r>
      <w:r w:rsidR="00F84876" w:rsidRPr="00D11656">
        <w:rPr>
          <w:bCs/>
          <w:sz w:val="26"/>
          <w:szCs w:val="26"/>
        </w:rPr>
        <w:t xml:space="preserve">onsumer </w:t>
      </w:r>
      <w:r w:rsidR="00F84876">
        <w:rPr>
          <w:bCs/>
          <w:sz w:val="26"/>
          <w:szCs w:val="26"/>
        </w:rPr>
        <w:t>E</w:t>
      </w:r>
      <w:r w:rsidR="00F84876" w:rsidRPr="00D11656">
        <w:rPr>
          <w:bCs/>
          <w:sz w:val="26"/>
          <w:szCs w:val="26"/>
        </w:rPr>
        <w:t xml:space="preserve">ducation </w:t>
      </w:r>
      <w:r w:rsidR="00E85EC2" w:rsidRPr="00D11656">
        <w:rPr>
          <w:bCs/>
          <w:sz w:val="26"/>
          <w:szCs w:val="26"/>
        </w:rPr>
        <w:t xml:space="preserve">and </w:t>
      </w:r>
      <w:r w:rsidR="00F84876">
        <w:rPr>
          <w:bCs/>
          <w:sz w:val="26"/>
          <w:szCs w:val="26"/>
        </w:rPr>
        <w:t>O</w:t>
      </w:r>
      <w:r w:rsidR="00F84876" w:rsidRPr="00D11656">
        <w:rPr>
          <w:bCs/>
          <w:sz w:val="26"/>
          <w:szCs w:val="26"/>
        </w:rPr>
        <w:t>utreach</w:t>
      </w:r>
      <w:r w:rsidR="00F84876" w:rsidRPr="00C04E35">
        <w:rPr>
          <w:bCs/>
          <w:sz w:val="26"/>
          <w:szCs w:val="26"/>
        </w:rPr>
        <w:t xml:space="preserve"> </w:t>
      </w:r>
      <w:r w:rsidR="00F84876">
        <w:rPr>
          <w:bCs/>
          <w:sz w:val="26"/>
          <w:szCs w:val="26"/>
        </w:rPr>
        <w:t>P</w:t>
      </w:r>
      <w:r w:rsidR="00F84876" w:rsidRPr="00C04E35">
        <w:rPr>
          <w:bCs/>
          <w:sz w:val="26"/>
          <w:szCs w:val="26"/>
        </w:rPr>
        <w:t>lans</w:t>
      </w:r>
      <w:r w:rsidRPr="00C04E35">
        <w:rPr>
          <w:bCs/>
          <w:sz w:val="26"/>
          <w:szCs w:val="26"/>
        </w:rPr>
        <w:t xml:space="preserve">. </w:t>
      </w:r>
    </w:p>
    <w:p w14:paraId="56271916" w14:textId="77777777" w:rsidR="00915465" w:rsidRPr="00C04E35" w:rsidRDefault="00915465" w:rsidP="000915EE">
      <w:pPr>
        <w:pStyle w:val="ListParagraph"/>
        <w:spacing w:line="360" w:lineRule="auto"/>
        <w:ind w:left="1440" w:hanging="720"/>
        <w:rPr>
          <w:sz w:val="26"/>
          <w:szCs w:val="26"/>
        </w:rPr>
      </w:pPr>
    </w:p>
    <w:p w14:paraId="46382F47" w14:textId="07F892DE" w:rsidR="003C4FB6" w:rsidRPr="00C04E35" w:rsidRDefault="00915465" w:rsidP="000915EE">
      <w:pPr>
        <w:pStyle w:val="ListParagraph"/>
        <w:numPr>
          <w:ilvl w:val="0"/>
          <w:numId w:val="40"/>
        </w:numPr>
        <w:tabs>
          <w:tab w:val="left" w:pos="1440"/>
        </w:tabs>
        <w:spacing w:line="360" w:lineRule="auto"/>
        <w:ind w:left="1440" w:hanging="720"/>
        <w:rPr>
          <w:bCs/>
          <w:sz w:val="26"/>
          <w:szCs w:val="26"/>
        </w:rPr>
      </w:pPr>
      <w:r w:rsidRPr="00C04E35">
        <w:rPr>
          <w:bCs/>
          <w:sz w:val="26"/>
          <w:szCs w:val="26"/>
        </w:rPr>
        <w:t>Utilities should use the definition of “household income” in Chapter 14 of the Public Utility Code</w:t>
      </w:r>
      <w:r w:rsidR="00F5642E" w:rsidRPr="00C04E35">
        <w:rPr>
          <w:bCs/>
          <w:sz w:val="26"/>
          <w:szCs w:val="26"/>
        </w:rPr>
        <w:t>.</w:t>
      </w:r>
      <w:r w:rsidRPr="00C04E35">
        <w:rPr>
          <w:sz w:val="26"/>
          <w:szCs w:val="26"/>
        </w:rPr>
        <w:t xml:space="preserve"> </w:t>
      </w:r>
    </w:p>
    <w:p w14:paraId="1E199C5F" w14:textId="77777777" w:rsidR="003C4FB6" w:rsidRPr="00C04E35" w:rsidRDefault="003C4FB6" w:rsidP="000915EE">
      <w:pPr>
        <w:pStyle w:val="ListParagraph"/>
        <w:tabs>
          <w:tab w:val="left" w:pos="1440"/>
        </w:tabs>
        <w:spacing w:line="360" w:lineRule="auto"/>
        <w:ind w:left="1440" w:hanging="720"/>
        <w:rPr>
          <w:sz w:val="26"/>
          <w:szCs w:val="26"/>
        </w:rPr>
      </w:pPr>
    </w:p>
    <w:p w14:paraId="331873FC" w14:textId="747A97AC" w:rsidR="00425FF6" w:rsidRPr="00C80D3A" w:rsidRDefault="007C3CB7" w:rsidP="000915EE">
      <w:pPr>
        <w:pStyle w:val="ListParagraph"/>
        <w:numPr>
          <w:ilvl w:val="0"/>
          <w:numId w:val="40"/>
        </w:numPr>
        <w:tabs>
          <w:tab w:val="left" w:pos="1440"/>
        </w:tabs>
        <w:spacing w:line="360" w:lineRule="auto"/>
        <w:ind w:left="1440" w:hanging="720"/>
        <w:rPr>
          <w:sz w:val="26"/>
          <w:szCs w:val="26"/>
        </w:rPr>
      </w:pPr>
      <w:r w:rsidRPr="00C80D3A">
        <w:rPr>
          <w:sz w:val="26"/>
          <w:szCs w:val="26"/>
        </w:rPr>
        <w:t xml:space="preserve">Utilities should </w:t>
      </w:r>
      <w:r w:rsidR="00425FF6" w:rsidRPr="00C80D3A">
        <w:rPr>
          <w:sz w:val="26"/>
          <w:szCs w:val="26"/>
        </w:rPr>
        <w:t xml:space="preserve">be prepared to address </w:t>
      </w:r>
      <w:r w:rsidRPr="00C80D3A">
        <w:rPr>
          <w:sz w:val="26"/>
          <w:szCs w:val="26"/>
        </w:rPr>
        <w:t xml:space="preserve">recovery of </w:t>
      </w:r>
      <w:r w:rsidR="00FE256E" w:rsidRPr="00C80D3A">
        <w:rPr>
          <w:sz w:val="26"/>
          <w:szCs w:val="26"/>
        </w:rPr>
        <w:t xml:space="preserve">CAP </w:t>
      </w:r>
      <w:r w:rsidR="00A077F9" w:rsidRPr="00C80D3A">
        <w:rPr>
          <w:sz w:val="26"/>
          <w:szCs w:val="26"/>
        </w:rPr>
        <w:t>cost</w:t>
      </w:r>
      <w:r w:rsidR="00A077F9" w:rsidRPr="00C80D3A" w:rsidDel="00356968">
        <w:rPr>
          <w:sz w:val="26"/>
          <w:szCs w:val="26"/>
        </w:rPr>
        <w:t xml:space="preserve">s </w:t>
      </w:r>
      <w:r w:rsidRPr="00C80D3A">
        <w:rPr>
          <w:sz w:val="26"/>
          <w:szCs w:val="26"/>
        </w:rPr>
        <w:t>(</w:t>
      </w:r>
      <w:r w:rsidR="00FE256E" w:rsidRPr="00C80D3A" w:rsidDel="00356968">
        <w:rPr>
          <w:sz w:val="26"/>
          <w:szCs w:val="26"/>
        </w:rPr>
        <w:t xml:space="preserve">and other </w:t>
      </w:r>
      <w:r w:rsidR="00425FF6" w:rsidRPr="00C80D3A" w:rsidDel="00356968">
        <w:rPr>
          <w:sz w:val="26"/>
          <w:szCs w:val="26"/>
        </w:rPr>
        <w:t>universal service cost</w:t>
      </w:r>
      <w:r w:rsidR="00A077F9" w:rsidRPr="00C80D3A" w:rsidDel="00356968">
        <w:rPr>
          <w:sz w:val="26"/>
          <w:szCs w:val="26"/>
        </w:rPr>
        <w:t>s</w:t>
      </w:r>
      <w:r w:rsidRPr="00C80D3A">
        <w:rPr>
          <w:sz w:val="26"/>
          <w:szCs w:val="26"/>
        </w:rPr>
        <w:t>)</w:t>
      </w:r>
      <w:r w:rsidR="00425FF6" w:rsidRPr="00C80D3A">
        <w:rPr>
          <w:sz w:val="26"/>
          <w:szCs w:val="26"/>
        </w:rPr>
        <w:t xml:space="preserve"> </w:t>
      </w:r>
      <w:r w:rsidRPr="00C80D3A">
        <w:rPr>
          <w:sz w:val="26"/>
          <w:szCs w:val="26"/>
        </w:rPr>
        <w:t xml:space="preserve">from any </w:t>
      </w:r>
      <w:r w:rsidR="00356968" w:rsidRPr="00C80D3A">
        <w:rPr>
          <w:sz w:val="26"/>
          <w:szCs w:val="26"/>
        </w:rPr>
        <w:t xml:space="preserve">ratepayer classes </w:t>
      </w:r>
      <w:r w:rsidR="00425FF6" w:rsidRPr="00C80D3A">
        <w:rPr>
          <w:sz w:val="26"/>
          <w:szCs w:val="26"/>
        </w:rPr>
        <w:t>in their individual rate case filing.</w:t>
      </w:r>
      <w:r w:rsidR="00425FF6" w:rsidRPr="00C80D3A">
        <w:rPr>
          <w:rStyle w:val="FootnoteReference"/>
          <w:bCs/>
          <w:sz w:val="26"/>
          <w:szCs w:val="26"/>
        </w:rPr>
        <w:footnoteReference w:id="154"/>
      </w:r>
      <w:r w:rsidR="00425FF6" w:rsidRPr="00C80D3A">
        <w:rPr>
          <w:sz w:val="26"/>
          <w:szCs w:val="26"/>
        </w:rPr>
        <w:t xml:space="preserve"> </w:t>
      </w:r>
    </w:p>
    <w:p w14:paraId="4C265AA5" w14:textId="77777777" w:rsidR="00425FF6" w:rsidRPr="00C80D3A" w:rsidRDefault="00425FF6" w:rsidP="000915EE">
      <w:pPr>
        <w:pStyle w:val="ListParagraph"/>
        <w:tabs>
          <w:tab w:val="left" w:pos="270"/>
        </w:tabs>
        <w:spacing w:line="360" w:lineRule="auto"/>
        <w:ind w:left="0"/>
        <w:rPr>
          <w:sz w:val="26"/>
          <w:szCs w:val="26"/>
        </w:rPr>
      </w:pPr>
    </w:p>
    <w:p w14:paraId="20677596" w14:textId="26453772" w:rsidR="000C6939" w:rsidRPr="00C80D3A" w:rsidRDefault="00425FF6" w:rsidP="00425FF6">
      <w:pPr>
        <w:spacing w:after="0" w:line="360" w:lineRule="auto"/>
        <w:ind w:firstLine="720"/>
        <w:contextualSpacing/>
        <w:rPr>
          <w:rFonts w:ascii="Times New Roman" w:eastAsia="Times New Roman" w:hAnsi="Times New Roman" w:cs="Times New Roman"/>
          <w:sz w:val="26"/>
          <w:szCs w:val="26"/>
        </w:rPr>
      </w:pPr>
      <w:r w:rsidRPr="00C80D3A">
        <w:rPr>
          <w:rFonts w:ascii="Times New Roman" w:eastAsia="Times New Roman" w:hAnsi="Times New Roman" w:cs="Times New Roman"/>
          <w:sz w:val="26"/>
          <w:szCs w:val="26"/>
        </w:rPr>
        <w:t xml:space="preserve">Having addressed the </w:t>
      </w:r>
      <w:r w:rsidR="00B5577F" w:rsidRPr="00C80D3A">
        <w:rPr>
          <w:rFonts w:ascii="Times New Roman" w:eastAsia="Times New Roman" w:hAnsi="Times New Roman" w:cs="Times New Roman"/>
          <w:sz w:val="26"/>
          <w:szCs w:val="26"/>
        </w:rPr>
        <w:t>CAP-related as</w:t>
      </w:r>
      <w:r w:rsidR="00D91372" w:rsidRPr="00C80D3A">
        <w:rPr>
          <w:rFonts w:ascii="Times New Roman" w:eastAsia="Times New Roman" w:hAnsi="Times New Roman" w:cs="Times New Roman"/>
          <w:sz w:val="26"/>
          <w:szCs w:val="26"/>
        </w:rPr>
        <w:t>pects of the</w:t>
      </w:r>
      <w:r w:rsidR="006C1DAF" w:rsidRPr="00C80D3A">
        <w:rPr>
          <w:rFonts w:ascii="Times New Roman" w:eastAsia="Times New Roman" w:hAnsi="Times New Roman" w:cs="Times New Roman"/>
          <w:sz w:val="26"/>
          <w:szCs w:val="26"/>
        </w:rPr>
        <w:t xml:space="preserve"> </w:t>
      </w:r>
      <w:r w:rsidR="006C1DAF" w:rsidRPr="00C80D3A">
        <w:rPr>
          <w:rFonts w:ascii="Times New Roman" w:hAnsi="Times New Roman" w:cs="Times New Roman"/>
          <w:i/>
          <w:color w:val="212121"/>
          <w:sz w:val="26"/>
          <w:szCs w:val="26"/>
        </w:rPr>
        <w:t>Review</w:t>
      </w:r>
      <w:r w:rsidR="006C1DAF" w:rsidRPr="00C80D3A">
        <w:rPr>
          <w:rFonts w:ascii="Times New Roman" w:hAnsi="Times New Roman" w:cs="Times New Roman"/>
          <w:color w:val="212121"/>
          <w:sz w:val="26"/>
          <w:szCs w:val="26"/>
        </w:rPr>
        <w:t xml:space="preserve"> proceeding at Docket No.</w:t>
      </w:r>
      <w:r w:rsidR="00847B69" w:rsidRPr="00C80D3A">
        <w:rPr>
          <w:rFonts w:ascii="Times New Roman" w:hAnsi="Times New Roman" w:cs="Times New Roman"/>
          <w:color w:val="212121"/>
          <w:sz w:val="26"/>
          <w:szCs w:val="26"/>
        </w:rPr>
        <w:t> </w:t>
      </w:r>
      <w:r w:rsidR="006C1DAF" w:rsidRPr="00C80D3A">
        <w:rPr>
          <w:rFonts w:ascii="Times New Roman" w:hAnsi="Times New Roman" w:cs="Times New Roman"/>
          <w:color w:val="212121"/>
          <w:sz w:val="26"/>
          <w:szCs w:val="26"/>
        </w:rPr>
        <w:t xml:space="preserve">M-2017-2596907 and </w:t>
      </w:r>
      <w:r w:rsidR="00E15876" w:rsidRPr="00C80D3A">
        <w:rPr>
          <w:rFonts w:ascii="Times New Roman" w:hAnsi="Times New Roman" w:cs="Times New Roman"/>
          <w:color w:val="212121"/>
          <w:sz w:val="26"/>
          <w:szCs w:val="26"/>
        </w:rPr>
        <w:t xml:space="preserve">the </w:t>
      </w:r>
      <w:r w:rsidR="006C1DAF" w:rsidRPr="00C80D3A">
        <w:rPr>
          <w:rFonts w:ascii="Times New Roman" w:hAnsi="Times New Roman" w:cs="Times New Roman"/>
          <w:i/>
          <w:color w:val="212121"/>
          <w:sz w:val="26"/>
          <w:szCs w:val="26"/>
        </w:rPr>
        <w:t>Energy Affordability</w:t>
      </w:r>
      <w:r w:rsidR="006C1DAF" w:rsidRPr="00C80D3A">
        <w:rPr>
          <w:rFonts w:ascii="Times New Roman" w:hAnsi="Times New Roman" w:cs="Times New Roman"/>
          <w:color w:val="212121"/>
          <w:sz w:val="26"/>
          <w:szCs w:val="26"/>
        </w:rPr>
        <w:t xml:space="preserve"> proceeding at Docket No. M</w:t>
      </w:r>
      <w:r w:rsidR="00847B69" w:rsidRPr="00C80D3A">
        <w:rPr>
          <w:rFonts w:ascii="Times New Roman" w:hAnsi="Times New Roman" w:cs="Times New Roman"/>
          <w:color w:val="212121"/>
          <w:sz w:val="26"/>
          <w:szCs w:val="26"/>
        </w:rPr>
        <w:noBreakHyphen/>
      </w:r>
      <w:r w:rsidR="006C1DAF" w:rsidRPr="00C80D3A">
        <w:rPr>
          <w:rFonts w:ascii="Times New Roman" w:hAnsi="Times New Roman" w:cs="Times New Roman"/>
          <w:color w:val="212121"/>
          <w:sz w:val="26"/>
          <w:szCs w:val="26"/>
        </w:rPr>
        <w:t>2017</w:t>
      </w:r>
      <w:r w:rsidR="00847B69" w:rsidRPr="00C80D3A">
        <w:rPr>
          <w:rFonts w:ascii="Times New Roman" w:hAnsi="Times New Roman" w:cs="Times New Roman"/>
          <w:color w:val="212121"/>
          <w:sz w:val="26"/>
          <w:szCs w:val="26"/>
        </w:rPr>
        <w:noBreakHyphen/>
      </w:r>
      <w:r w:rsidR="006C1DAF" w:rsidRPr="00C80D3A">
        <w:rPr>
          <w:rFonts w:ascii="Times New Roman" w:hAnsi="Times New Roman" w:cs="Times New Roman"/>
          <w:color w:val="212121"/>
          <w:sz w:val="26"/>
          <w:szCs w:val="26"/>
        </w:rPr>
        <w:t>2587711</w:t>
      </w:r>
      <w:r w:rsidR="00D91372" w:rsidRPr="00C80D3A">
        <w:rPr>
          <w:rFonts w:ascii="Times New Roman" w:eastAsia="Times New Roman" w:hAnsi="Times New Roman" w:cs="Times New Roman"/>
          <w:sz w:val="26"/>
          <w:szCs w:val="26"/>
        </w:rPr>
        <w:t xml:space="preserve"> </w:t>
      </w:r>
      <w:r w:rsidRPr="00C80D3A">
        <w:rPr>
          <w:rFonts w:ascii="Times New Roman" w:eastAsia="Times New Roman" w:hAnsi="Times New Roman" w:cs="Times New Roman"/>
          <w:sz w:val="26"/>
          <w:szCs w:val="26"/>
        </w:rPr>
        <w:t>and the comments</w:t>
      </w:r>
      <w:r w:rsidR="00C62340" w:rsidRPr="00C80D3A">
        <w:rPr>
          <w:rFonts w:ascii="Times New Roman" w:eastAsia="Times New Roman" w:hAnsi="Times New Roman" w:cs="Times New Roman"/>
          <w:sz w:val="26"/>
          <w:szCs w:val="26"/>
        </w:rPr>
        <w:t>,</w:t>
      </w:r>
      <w:r w:rsidRPr="00C80D3A">
        <w:rPr>
          <w:rFonts w:ascii="Times New Roman" w:eastAsia="Times New Roman" w:hAnsi="Times New Roman" w:cs="Times New Roman"/>
          <w:sz w:val="26"/>
          <w:szCs w:val="26"/>
        </w:rPr>
        <w:t xml:space="preserve"> reply comments</w:t>
      </w:r>
      <w:r w:rsidR="00C62340" w:rsidRPr="00C80D3A">
        <w:rPr>
          <w:rFonts w:ascii="Times New Roman" w:eastAsia="Times New Roman" w:hAnsi="Times New Roman" w:cs="Times New Roman"/>
          <w:sz w:val="26"/>
          <w:szCs w:val="26"/>
        </w:rPr>
        <w:t>, and information</w:t>
      </w:r>
      <w:r w:rsidR="00154636" w:rsidRPr="00C80D3A">
        <w:rPr>
          <w:rFonts w:ascii="Times New Roman" w:eastAsia="Times New Roman" w:hAnsi="Times New Roman" w:cs="Times New Roman"/>
          <w:sz w:val="26"/>
          <w:szCs w:val="26"/>
        </w:rPr>
        <w:t>al filings</w:t>
      </w:r>
      <w:r w:rsidRPr="00C80D3A">
        <w:rPr>
          <w:rFonts w:ascii="Times New Roman" w:eastAsia="Times New Roman" w:hAnsi="Times New Roman" w:cs="Times New Roman"/>
          <w:sz w:val="26"/>
          <w:szCs w:val="26"/>
        </w:rPr>
        <w:t xml:space="preserve"> on the record, we note that any issue, comment, or reply comment requesting a further change to </w:t>
      </w:r>
      <w:r w:rsidR="00D91372" w:rsidRPr="00C80D3A">
        <w:rPr>
          <w:rFonts w:ascii="Times New Roman" w:eastAsia="Times New Roman" w:hAnsi="Times New Roman" w:cs="Times New Roman"/>
          <w:sz w:val="26"/>
          <w:szCs w:val="26"/>
        </w:rPr>
        <w:t>CAPs</w:t>
      </w:r>
      <w:r w:rsidR="006C1DAF" w:rsidRPr="00C80D3A">
        <w:rPr>
          <w:rFonts w:ascii="Times New Roman" w:eastAsia="Times New Roman" w:hAnsi="Times New Roman" w:cs="Times New Roman"/>
          <w:sz w:val="26"/>
          <w:szCs w:val="26"/>
        </w:rPr>
        <w:t xml:space="preserve"> or objecting to a possible change,</w:t>
      </w:r>
      <w:r w:rsidRPr="00C80D3A">
        <w:rPr>
          <w:rFonts w:ascii="Times New Roman" w:eastAsia="Times New Roman" w:hAnsi="Times New Roman" w:cs="Times New Roman"/>
          <w:sz w:val="26"/>
          <w:szCs w:val="26"/>
        </w:rPr>
        <w:t xml:space="preserve"> but which we may not have specifically delineated herein, shall be deemed to have been duly considered and denied at this time without further discussion.  The Commission is not required to consider expressly or at length each contention or argument raised by the parties.  </w:t>
      </w:r>
      <w:r w:rsidRPr="00C80D3A">
        <w:rPr>
          <w:rFonts w:ascii="Times New Roman" w:eastAsia="Times New Roman" w:hAnsi="Times New Roman" w:cs="Times New Roman"/>
          <w:i/>
          <w:sz w:val="26"/>
          <w:szCs w:val="26"/>
        </w:rPr>
        <w:t>Consolidated Rail Corp. v. Pa. PUC</w:t>
      </w:r>
      <w:r w:rsidRPr="00C80D3A">
        <w:rPr>
          <w:rFonts w:ascii="Times New Roman" w:eastAsia="Times New Roman" w:hAnsi="Times New Roman" w:cs="Times New Roman"/>
          <w:sz w:val="26"/>
          <w:szCs w:val="26"/>
        </w:rPr>
        <w:t xml:space="preserve">, 625 A.2d 741 (Pa. Cmwlth. 1993); </w:t>
      </w:r>
      <w:r w:rsidRPr="00C80D3A">
        <w:rPr>
          <w:rFonts w:ascii="Times New Roman" w:eastAsia="Times New Roman" w:hAnsi="Times New Roman" w:cs="Times New Roman"/>
          <w:i/>
          <w:sz w:val="26"/>
          <w:szCs w:val="26"/>
        </w:rPr>
        <w:t>see also</w:t>
      </w:r>
      <w:r w:rsidRPr="00C80D3A">
        <w:rPr>
          <w:rFonts w:ascii="Times New Roman" w:eastAsia="Times New Roman" w:hAnsi="Times New Roman" w:cs="Times New Roman"/>
          <w:sz w:val="26"/>
          <w:szCs w:val="26"/>
        </w:rPr>
        <w:t xml:space="preserve">, </w:t>
      </w:r>
      <w:r w:rsidRPr="00C80D3A">
        <w:rPr>
          <w:rFonts w:ascii="Times New Roman" w:eastAsia="Times New Roman" w:hAnsi="Times New Roman" w:cs="Times New Roman"/>
          <w:i/>
          <w:sz w:val="26"/>
          <w:szCs w:val="26"/>
        </w:rPr>
        <w:t>generally</w:t>
      </w:r>
      <w:r w:rsidRPr="00C80D3A">
        <w:rPr>
          <w:rFonts w:ascii="Times New Roman" w:eastAsia="Times New Roman" w:hAnsi="Times New Roman" w:cs="Times New Roman"/>
          <w:sz w:val="26"/>
          <w:szCs w:val="26"/>
        </w:rPr>
        <w:t xml:space="preserve">, </w:t>
      </w:r>
      <w:r w:rsidRPr="00C80D3A">
        <w:rPr>
          <w:rFonts w:ascii="Times New Roman" w:eastAsia="Times New Roman" w:hAnsi="Times New Roman" w:cs="Times New Roman"/>
          <w:i/>
          <w:sz w:val="26"/>
          <w:szCs w:val="26"/>
        </w:rPr>
        <w:t>U. of PA v. Pa. PUC</w:t>
      </w:r>
      <w:r w:rsidRPr="00C80D3A">
        <w:rPr>
          <w:rFonts w:ascii="Times New Roman" w:eastAsia="Times New Roman" w:hAnsi="Times New Roman" w:cs="Times New Roman"/>
          <w:sz w:val="26"/>
          <w:szCs w:val="26"/>
        </w:rPr>
        <w:t>, 485</w:t>
      </w:r>
      <w:r w:rsidR="002F7BD3">
        <w:rPr>
          <w:rFonts w:ascii="Times New Roman" w:eastAsia="Times New Roman" w:hAnsi="Times New Roman" w:cs="Times New Roman"/>
          <w:sz w:val="26"/>
          <w:szCs w:val="26"/>
        </w:rPr>
        <w:t> </w:t>
      </w:r>
      <w:r w:rsidRPr="00C80D3A">
        <w:rPr>
          <w:rFonts w:ascii="Times New Roman" w:eastAsia="Times New Roman" w:hAnsi="Times New Roman" w:cs="Times New Roman"/>
          <w:sz w:val="26"/>
          <w:szCs w:val="26"/>
        </w:rPr>
        <w:t>A.2d 1217 (Pa. Cmwlth. 1984)</w:t>
      </w:r>
      <w:r w:rsidR="00B86BAB" w:rsidRPr="00C80D3A">
        <w:rPr>
          <w:rFonts w:ascii="Times New Roman" w:eastAsia="Times New Roman" w:hAnsi="Times New Roman" w:cs="Times New Roman"/>
          <w:sz w:val="26"/>
          <w:szCs w:val="26"/>
        </w:rPr>
        <w:t>.</w:t>
      </w:r>
      <w:r w:rsidRPr="00C80D3A">
        <w:rPr>
          <w:rFonts w:ascii="Times New Roman" w:eastAsia="Times New Roman" w:hAnsi="Times New Roman" w:cs="Times New Roman"/>
          <w:sz w:val="26"/>
          <w:szCs w:val="26"/>
        </w:rPr>
        <w:t xml:space="preserve"> </w:t>
      </w:r>
      <w:r w:rsidR="00961B47" w:rsidRPr="00C80D3A">
        <w:rPr>
          <w:rFonts w:ascii="Times New Roman" w:eastAsia="Times New Roman" w:hAnsi="Times New Roman" w:cs="Times New Roman"/>
          <w:sz w:val="26"/>
          <w:szCs w:val="26"/>
        </w:rPr>
        <w:t xml:space="preserve"> </w:t>
      </w:r>
    </w:p>
    <w:p w14:paraId="51B29EAE" w14:textId="77777777" w:rsidR="000C6939" w:rsidRPr="00C80D3A" w:rsidRDefault="000C6939" w:rsidP="00425FF6">
      <w:pPr>
        <w:spacing w:after="0" w:line="360" w:lineRule="auto"/>
        <w:ind w:firstLine="720"/>
        <w:contextualSpacing/>
        <w:rPr>
          <w:rFonts w:ascii="Times New Roman" w:eastAsia="Times New Roman" w:hAnsi="Times New Roman" w:cs="Times New Roman"/>
          <w:sz w:val="26"/>
          <w:szCs w:val="26"/>
        </w:rPr>
      </w:pPr>
    </w:p>
    <w:p w14:paraId="0632CF41" w14:textId="08D0A5BA" w:rsidR="00425FF6" w:rsidRPr="00C80D3A" w:rsidRDefault="000C6939" w:rsidP="00425FF6">
      <w:pPr>
        <w:spacing w:after="0" w:line="360" w:lineRule="auto"/>
        <w:ind w:firstLine="720"/>
        <w:contextualSpacing/>
        <w:rPr>
          <w:rFonts w:ascii="Times New Roman" w:eastAsia="Times New Roman" w:hAnsi="Times New Roman" w:cs="Times New Roman"/>
          <w:b/>
          <w:sz w:val="26"/>
          <w:szCs w:val="26"/>
        </w:rPr>
      </w:pPr>
      <w:r w:rsidRPr="00C80D3A">
        <w:rPr>
          <w:rFonts w:ascii="Times New Roman" w:hAnsi="Times New Roman" w:cs="Times New Roman"/>
          <w:sz w:val="26"/>
          <w:szCs w:val="26"/>
        </w:rPr>
        <w:t xml:space="preserve">Accordingly, </w:t>
      </w:r>
      <w:r w:rsidRPr="00C80D3A">
        <w:rPr>
          <w:rFonts w:ascii="Times New Roman" w:hAnsi="Times New Roman" w:cs="Times New Roman"/>
          <w:bCs/>
          <w:sz w:val="26"/>
          <w:szCs w:val="26"/>
        </w:rPr>
        <w:t xml:space="preserve">the Commission </w:t>
      </w:r>
      <w:r w:rsidR="00AC0B0B" w:rsidRPr="00C80D3A">
        <w:rPr>
          <w:rFonts w:ascii="Times New Roman" w:hAnsi="Times New Roman" w:cs="Times New Roman"/>
          <w:bCs/>
          <w:sz w:val="26"/>
          <w:szCs w:val="26"/>
        </w:rPr>
        <w:t xml:space="preserve">hereby amends the CAP Policy Statement at </w:t>
      </w:r>
      <w:r w:rsidR="00F7412C" w:rsidRPr="00C80D3A">
        <w:rPr>
          <w:rFonts w:ascii="Times New Roman" w:hAnsi="Times New Roman" w:cs="Times New Roman"/>
          <w:bCs/>
          <w:sz w:val="26"/>
          <w:szCs w:val="26"/>
        </w:rPr>
        <w:t>52 Pa. Code §§ 69.261</w:t>
      </w:r>
      <w:r w:rsidR="004D456C" w:rsidRPr="00C80D3A">
        <w:rPr>
          <w:rFonts w:ascii="Times New Roman" w:hAnsi="Times New Roman" w:cs="Times New Roman"/>
          <w:bCs/>
          <w:sz w:val="26"/>
          <w:szCs w:val="26"/>
        </w:rPr>
        <w:t>–</w:t>
      </w:r>
      <w:r w:rsidR="00F7412C" w:rsidRPr="00C80D3A">
        <w:rPr>
          <w:rFonts w:ascii="Times New Roman" w:hAnsi="Times New Roman" w:cs="Times New Roman"/>
          <w:bCs/>
          <w:sz w:val="26"/>
          <w:szCs w:val="26"/>
        </w:rPr>
        <w:t>69.2</w:t>
      </w:r>
      <w:r w:rsidR="00284BEF" w:rsidRPr="00C80D3A">
        <w:rPr>
          <w:rFonts w:ascii="Times New Roman" w:hAnsi="Times New Roman" w:cs="Times New Roman"/>
          <w:bCs/>
          <w:sz w:val="26"/>
          <w:szCs w:val="26"/>
        </w:rPr>
        <w:t>67</w:t>
      </w:r>
      <w:r w:rsidR="002527AF" w:rsidRPr="00C80D3A">
        <w:rPr>
          <w:rFonts w:ascii="Times New Roman" w:eastAsia="Times New Roman" w:hAnsi="Times New Roman" w:cs="Times New Roman"/>
          <w:sz w:val="26"/>
          <w:szCs w:val="26"/>
        </w:rPr>
        <w:t xml:space="preserve">; </w:t>
      </w:r>
      <w:r w:rsidR="00425FF6" w:rsidRPr="00C80D3A">
        <w:rPr>
          <w:rFonts w:ascii="Times New Roman" w:eastAsia="Times New Roman" w:hAnsi="Times New Roman" w:cs="Times New Roman"/>
          <w:b/>
          <w:sz w:val="26"/>
          <w:szCs w:val="26"/>
        </w:rPr>
        <w:t>THEREFORE,</w:t>
      </w:r>
    </w:p>
    <w:p w14:paraId="66459A6C" w14:textId="77777777" w:rsidR="00425FF6" w:rsidRPr="00C80D3A" w:rsidRDefault="00425FF6" w:rsidP="00425FF6">
      <w:pPr>
        <w:pStyle w:val="NoSpacing"/>
        <w:spacing w:line="360" w:lineRule="auto"/>
        <w:contextualSpacing/>
        <w:rPr>
          <w:rFonts w:ascii="Times New Roman" w:eastAsia="Times New Roman" w:hAnsi="Times New Roman" w:cs="Times New Roman"/>
          <w:sz w:val="26"/>
          <w:szCs w:val="26"/>
        </w:rPr>
      </w:pPr>
    </w:p>
    <w:p w14:paraId="174208B7" w14:textId="77777777" w:rsidR="00425FF6" w:rsidRPr="00C80D3A" w:rsidRDefault="00425FF6" w:rsidP="00831247">
      <w:pPr>
        <w:pStyle w:val="NoSpacing"/>
        <w:keepNext/>
        <w:spacing w:line="360" w:lineRule="auto"/>
        <w:ind w:firstLine="720"/>
        <w:contextualSpacing/>
        <w:rPr>
          <w:rFonts w:ascii="Times New Roman" w:eastAsia="Times New Roman" w:hAnsi="Times New Roman" w:cs="Times New Roman"/>
          <w:b/>
          <w:sz w:val="26"/>
          <w:szCs w:val="26"/>
        </w:rPr>
      </w:pPr>
      <w:r w:rsidRPr="00C80D3A">
        <w:rPr>
          <w:rFonts w:ascii="Times New Roman" w:eastAsia="Times New Roman" w:hAnsi="Times New Roman" w:cs="Times New Roman"/>
          <w:b/>
          <w:sz w:val="26"/>
          <w:szCs w:val="26"/>
        </w:rPr>
        <w:t>IT IS ORDERED:</w:t>
      </w:r>
    </w:p>
    <w:p w14:paraId="5B550209" w14:textId="77777777" w:rsidR="00506216" w:rsidRPr="00C80D3A" w:rsidRDefault="00506216" w:rsidP="00315DBC">
      <w:pPr>
        <w:pStyle w:val="NoSpacing"/>
        <w:keepNext/>
        <w:spacing w:line="360" w:lineRule="auto"/>
        <w:contextualSpacing/>
        <w:rPr>
          <w:rFonts w:ascii="Times New Roman" w:hAnsi="Times New Roman" w:cs="Times New Roman"/>
          <w:sz w:val="26"/>
          <w:szCs w:val="26"/>
        </w:rPr>
      </w:pPr>
    </w:p>
    <w:p w14:paraId="037EE44A" w14:textId="77777777" w:rsidR="00374BA0" w:rsidRPr="00C80D3A" w:rsidRDefault="00374BA0" w:rsidP="002539AD">
      <w:pPr>
        <w:pStyle w:val="NoSpacing"/>
        <w:numPr>
          <w:ilvl w:val="0"/>
          <w:numId w:val="2"/>
        </w:numPr>
        <w:spacing w:line="360" w:lineRule="auto"/>
        <w:ind w:left="0" w:firstLine="720"/>
        <w:contextualSpacing/>
        <w:rPr>
          <w:rFonts w:ascii="Times New Roman" w:hAnsi="Times New Roman" w:cs="Times New Roman"/>
          <w:sz w:val="26"/>
          <w:szCs w:val="26"/>
        </w:rPr>
      </w:pPr>
      <w:r w:rsidRPr="00C80D3A">
        <w:rPr>
          <w:rFonts w:ascii="Times New Roman" w:hAnsi="Times New Roman" w:cs="Times New Roman"/>
          <w:sz w:val="26"/>
          <w:szCs w:val="26"/>
        </w:rPr>
        <w:t>That the Final Policy Statement as set forth in Annex A is adopted.</w:t>
      </w:r>
    </w:p>
    <w:p w14:paraId="3608A900" w14:textId="77777777" w:rsidR="00374BA0" w:rsidRPr="00C80D3A" w:rsidRDefault="00374BA0" w:rsidP="00374BA0">
      <w:pPr>
        <w:pStyle w:val="ListParagraph"/>
        <w:spacing w:line="360" w:lineRule="auto"/>
        <w:ind w:left="0"/>
        <w:contextualSpacing w:val="0"/>
        <w:rPr>
          <w:sz w:val="26"/>
          <w:szCs w:val="26"/>
        </w:rPr>
      </w:pPr>
    </w:p>
    <w:p w14:paraId="05482EBC" w14:textId="3B8C518F" w:rsidR="00374BA0" w:rsidRPr="00C80D3A" w:rsidRDefault="00374BA0" w:rsidP="002539AD">
      <w:pPr>
        <w:pStyle w:val="NoSpacing"/>
        <w:numPr>
          <w:ilvl w:val="0"/>
          <w:numId w:val="2"/>
        </w:numPr>
        <w:spacing w:line="360" w:lineRule="auto"/>
        <w:ind w:left="0" w:firstLine="720"/>
        <w:contextualSpacing/>
        <w:rPr>
          <w:rFonts w:ascii="Times New Roman" w:hAnsi="Times New Roman" w:cs="Times New Roman"/>
          <w:sz w:val="26"/>
          <w:szCs w:val="26"/>
        </w:rPr>
      </w:pPr>
      <w:r w:rsidRPr="00C80D3A">
        <w:rPr>
          <w:rFonts w:ascii="Times New Roman" w:hAnsi="Times New Roman" w:cs="Times New Roman"/>
          <w:sz w:val="26"/>
          <w:szCs w:val="26"/>
        </w:rPr>
        <w:t>That the Law Bureau shall submit this Order and Annex A to the Governor</w:t>
      </w:r>
      <w:r w:rsidR="001529C6">
        <w:rPr>
          <w:rFonts w:ascii="Times New Roman" w:hAnsi="Times New Roman" w:cs="Times New Roman"/>
          <w:sz w:val="26"/>
          <w:szCs w:val="26"/>
        </w:rPr>
        <w:t>’</w:t>
      </w:r>
      <w:r w:rsidRPr="00C80D3A">
        <w:rPr>
          <w:rFonts w:ascii="Times New Roman" w:hAnsi="Times New Roman" w:cs="Times New Roman"/>
          <w:sz w:val="26"/>
          <w:szCs w:val="26"/>
        </w:rPr>
        <w:t>s Budget Office for review of its fiscal impact.</w:t>
      </w:r>
    </w:p>
    <w:p w14:paraId="3D358B95" w14:textId="77777777" w:rsidR="00374BA0" w:rsidRPr="00C80D3A" w:rsidRDefault="00374BA0" w:rsidP="00374BA0">
      <w:pPr>
        <w:spacing w:after="0" w:line="360" w:lineRule="auto"/>
        <w:rPr>
          <w:rFonts w:ascii="Times New Roman" w:hAnsi="Times New Roman" w:cs="Times New Roman"/>
          <w:sz w:val="26"/>
          <w:szCs w:val="26"/>
        </w:rPr>
      </w:pPr>
    </w:p>
    <w:p w14:paraId="4A38B031" w14:textId="29E42368" w:rsidR="00374BA0" w:rsidRPr="00C80D3A" w:rsidRDefault="00374BA0" w:rsidP="002539AD">
      <w:pPr>
        <w:pStyle w:val="NoSpacing"/>
        <w:numPr>
          <w:ilvl w:val="0"/>
          <w:numId w:val="2"/>
        </w:numPr>
        <w:spacing w:line="360" w:lineRule="auto"/>
        <w:ind w:left="0"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That the Law Bureau shall deposit this Order and Annex A with the Legislative Reference Bureau for publication in the </w:t>
      </w:r>
      <w:r w:rsidRPr="00C80D3A">
        <w:rPr>
          <w:rFonts w:ascii="Times New Roman" w:hAnsi="Times New Roman" w:cs="Times New Roman"/>
          <w:i/>
          <w:iCs/>
          <w:sz w:val="26"/>
          <w:szCs w:val="26"/>
        </w:rPr>
        <w:t>Pennsylvania Bulletin</w:t>
      </w:r>
      <w:r w:rsidRPr="00C80D3A">
        <w:rPr>
          <w:rFonts w:ascii="Times New Roman" w:hAnsi="Times New Roman" w:cs="Times New Roman"/>
          <w:sz w:val="26"/>
          <w:szCs w:val="26"/>
        </w:rPr>
        <w:t>.</w:t>
      </w:r>
    </w:p>
    <w:p w14:paraId="5EE33CE4" w14:textId="402A1AC0" w:rsidR="00374BA0" w:rsidRPr="00C80D3A" w:rsidRDefault="00374BA0" w:rsidP="002539AD">
      <w:pPr>
        <w:pStyle w:val="NoSpacing"/>
        <w:numPr>
          <w:ilvl w:val="0"/>
          <w:numId w:val="2"/>
        </w:numPr>
        <w:spacing w:line="360" w:lineRule="auto"/>
        <w:ind w:left="0"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That the Final Policy Statement shall become effective upon publication in the </w:t>
      </w:r>
      <w:r w:rsidRPr="00C80D3A">
        <w:rPr>
          <w:rFonts w:ascii="Times New Roman" w:hAnsi="Times New Roman" w:cs="Times New Roman"/>
          <w:i/>
          <w:iCs/>
          <w:sz w:val="26"/>
          <w:szCs w:val="26"/>
        </w:rPr>
        <w:t>Pennsylvania Bulletin</w:t>
      </w:r>
      <w:r w:rsidRPr="00C80D3A">
        <w:rPr>
          <w:rFonts w:ascii="Times New Roman" w:hAnsi="Times New Roman" w:cs="Times New Roman"/>
          <w:sz w:val="26"/>
          <w:szCs w:val="26"/>
        </w:rPr>
        <w:t xml:space="preserve">.  </w:t>
      </w:r>
    </w:p>
    <w:p w14:paraId="0387FFE1" w14:textId="77777777" w:rsidR="00506216" w:rsidRPr="00C80D3A" w:rsidRDefault="00506216" w:rsidP="00315DBC">
      <w:pPr>
        <w:pStyle w:val="ListParagraph"/>
        <w:ind w:left="0" w:firstLine="720"/>
        <w:rPr>
          <w:sz w:val="26"/>
          <w:szCs w:val="26"/>
        </w:rPr>
      </w:pPr>
    </w:p>
    <w:p w14:paraId="13700B5F" w14:textId="6E698BC1" w:rsidR="00506216" w:rsidRPr="00C80D3A" w:rsidRDefault="00506216" w:rsidP="008B5B24">
      <w:pPr>
        <w:pStyle w:val="NoSpacing"/>
        <w:numPr>
          <w:ilvl w:val="0"/>
          <w:numId w:val="2"/>
        </w:numPr>
        <w:spacing w:line="360" w:lineRule="auto"/>
        <w:ind w:left="0"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That </w:t>
      </w:r>
      <w:r w:rsidR="00CB0A9D" w:rsidRPr="00C80D3A">
        <w:rPr>
          <w:rFonts w:ascii="Times New Roman" w:hAnsi="Times New Roman" w:cs="Times New Roman"/>
          <w:sz w:val="26"/>
          <w:szCs w:val="26"/>
        </w:rPr>
        <w:t xml:space="preserve">a copy of </w:t>
      </w:r>
      <w:r w:rsidRPr="00C80D3A">
        <w:rPr>
          <w:rFonts w:ascii="Times New Roman" w:hAnsi="Times New Roman" w:cs="Times New Roman"/>
          <w:sz w:val="26"/>
          <w:szCs w:val="26"/>
        </w:rPr>
        <w:t>this Order</w:t>
      </w:r>
      <w:r w:rsidR="00CB0A9D" w:rsidRPr="00C80D3A">
        <w:rPr>
          <w:rFonts w:ascii="Times New Roman" w:hAnsi="Times New Roman" w:cs="Times New Roman"/>
          <w:sz w:val="26"/>
          <w:szCs w:val="26"/>
        </w:rPr>
        <w:t>, together with Annex A,</w:t>
      </w:r>
      <w:r w:rsidRPr="00C80D3A">
        <w:rPr>
          <w:rFonts w:ascii="Times New Roman" w:hAnsi="Times New Roman" w:cs="Times New Roman"/>
          <w:sz w:val="26"/>
          <w:szCs w:val="26"/>
        </w:rPr>
        <w:t xml:space="preserve"> be served on the following entities: </w:t>
      </w:r>
    </w:p>
    <w:p w14:paraId="4C70EA91" w14:textId="77777777" w:rsidR="00506216" w:rsidRPr="00C80D3A" w:rsidRDefault="00506216" w:rsidP="00315DBC">
      <w:pPr>
        <w:pStyle w:val="NoSpacing"/>
        <w:spacing w:line="360" w:lineRule="auto"/>
        <w:ind w:left="720"/>
        <w:contextualSpacing/>
        <w:rPr>
          <w:rFonts w:ascii="Times New Roman" w:hAnsi="Times New Roman" w:cs="Times New Roman"/>
          <w:sz w:val="26"/>
          <w:szCs w:val="26"/>
        </w:rPr>
      </w:pPr>
    </w:p>
    <w:p w14:paraId="22E39937" w14:textId="77777777" w:rsidR="00B87ED9" w:rsidRPr="00C80D3A" w:rsidRDefault="00506216" w:rsidP="00B87ED9">
      <w:pPr>
        <w:pStyle w:val="NoSpacing"/>
        <w:numPr>
          <w:ilvl w:val="1"/>
          <w:numId w:val="2"/>
        </w:numPr>
        <w:spacing w:line="360" w:lineRule="auto"/>
        <w:contextualSpacing/>
        <w:rPr>
          <w:rFonts w:ascii="Times New Roman" w:hAnsi="Times New Roman" w:cs="Times New Roman"/>
          <w:sz w:val="26"/>
          <w:szCs w:val="26"/>
        </w:rPr>
      </w:pPr>
      <w:r w:rsidRPr="00C80D3A">
        <w:rPr>
          <w:rFonts w:ascii="Times New Roman" w:hAnsi="Times New Roman" w:cs="Times New Roman"/>
          <w:b/>
          <w:sz w:val="26"/>
          <w:szCs w:val="26"/>
          <w:u w:val="single"/>
        </w:rPr>
        <w:t>Natural Gas Distribution Companies</w:t>
      </w:r>
      <w:r w:rsidRPr="00C80D3A">
        <w:rPr>
          <w:rFonts w:ascii="Times New Roman" w:hAnsi="Times New Roman" w:cs="Times New Roman"/>
          <w:sz w:val="26"/>
          <w:szCs w:val="26"/>
        </w:rPr>
        <w:t xml:space="preserve">: Columbia Gas of Pennsylvania, PECO Energy Co., National Fuel Gas Distribution Corp., Peoples Natural Gas Co., Peoples-Equitable Division, Philadelphia Gas Works, and UGI Utilities, Inc. </w:t>
      </w:r>
    </w:p>
    <w:p w14:paraId="107992F9" w14:textId="77777777" w:rsidR="00727CB2" w:rsidRPr="00C80D3A" w:rsidRDefault="00727CB2" w:rsidP="00727CB2">
      <w:pPr>
        <w:pStyle w:val="NoSpacing"/>
        <w:spacing w:line="360" w:lineRule="auto"/>
        <w:ind w:left="1440"/>
        <w:contextualSpacing/>
        <w:rPr>
          <w:rFonts w:ascii="Times New Roman" w:hAnsi="Times New Roman" w:cs="Times New Roman"/>
          <w:sz w:val="26"/>
          <w:szCs w:val="26"/>
        </w:rPr>
      </w:pPr>
    </w:p>
    <w:p w14:paraId="23081295" w14:textId="77777777" w:rsidR="00F44443" w:rsidRPr="00C80D3A" w:rsidRDefault="00506216" w:rsidP="008B5B24">
      <w:pPr>
        <w:pStyle w:val="NoSpacing"/>
        <w:numPr>
          <w:ilvl w:val="1"/>
          <w:numId w:val="2"/>
        </w:numPr>
        <w:spacing w:line="360" w:lineRule="auto"/>
        <w:contextualSpacing/>
        <w:rPr>
          <w:rFonts w:ascii="Times New Roman" w:hAnsi="Times New Roman" w:cs="Times New Roman"/>
          <w:sz w:val="26"/>
          <w:szCs w:val="26"/>
        </w:rPr>
      </w:pPr>
      <w:r w:rsidRPr="00C80D3A">
        <w:rPr>
          <w:rFonts w:ascii="Times New Roman" w:hAnsi="Times New Roman" w:cs="Times New Roman"/>
          <w:b/>
          <w:sz w:val="26"/>
          <w:szCs w:val="26"/>
          <w:u w:val="single"/>
        </w:rPr>
        <w:t>Electric Distribution Companies</w:t>
      </w:r>
      <w:r w:rsidRPr="00C80D3A">
        <w:rPr>
          <w:rFonts w:ascii="Times New Roman" w:hAnsi="Times New Roman" w:cs="Times New Roman"/>
          <w:sz w:val="26"/>
          <w:szCs w:val="26"/>
        </w:rPr>
        <w:t>: Duquesne Light Co., Metropolitan Edison Co., PECO Energy Co., Pennsylvania Electric Co., Pennsylvania Power Co., PPL Electric Utilities Inc., and West Penn Power Co.</w:t>
      </w:r>
    </w:p>
    <w:p w14:paraId="07BD937B" w14:textId="77777777" w:rsidR="00727CB2" w:rsidRPr="00C80D3A" w:rsidRDefault="00727CB2" w:rsidP="00727CB2">
      <w:pPr>
        <w:pStyle w:val="NoSpacing"/>
        <w:spacing w:line="360" w:lineRule="auto"/>
        <w:ind w:left="1440"/>
        <w:contextualSpacing/>
        <w:rPr>
          <w:rFonts w:ascii="Times New Roman" w:hAnsi="Times New Roman" w:cs="Times New Roman"/>
          <w:sz w:val="26"/>
          <w:szCs w:val="26"/>
        </w:rPr>
      </w:pPr>
    </w:p>
    <w:p w14:paraId="0ECF95C0" w14:textId="54442503" w:rsidR="00506216" w:rsidRPr="00C80D3A" w:rsidRDefault="00506216" w:rsidP="008B5B24">
      <w:pPr>
        <w:pStyle w:val="NoSpacing"/>
        <w:numPr>
          <w:ilvl w:val="1"/>
          <w:numId w:val="2"/>
        </w:numPr>
        <w:spacing w:line="360" w:lineRule="auto"/>
        <w:contextualSpacing/>
        <w:rPr>
          <w:rFonts w:ascii="Times New Roman" w:hAnsi="Times New Roman" w:cs="Times New Roman"/>
          <w:sz w:val="26"/>
          <w:szCs w:val="26"/>
        </w:rPr>
      </w:pPr>
      <w:r w:rsidRPr="00C80D3A">
        <w:rPr>
          <w:rFonts w:ascii="Times New Roman" w:hAnsi="Times New Roman" w:cs="Times New Roman"/>
          <w:b/>
          <w:sz w:val="26"/>
          <w:szCs w:val="26"/>
          <w:u w:val="single"/>
        </w:rPr>
        <w:t>Other Parties</w:t>
      </w:r>
      <w:r w:rsidRPr="00C80D3A">
        <w:rPr>
          <w:rFonts w:ascii="Times New Roman" w:hAnsi="Times New Roman" w:cs="Times New Roman"/>
          <w:sz w:val="26"/>
          <w:szCs w:val="26"/>
        </w:rPr>
        <w:t>: The Commission</w:t>
      </w:r>
      <w:r w:rsidR="001529C6">
        <w:rPr>
          <w:rFonts w:ascii="Times New Roman" w:hAnsi="Times New Roman" w:cs="Times New Roman"/>
          <w:sz w:val="26"/>
          <w:szCs w:val="26"/>
        </w:rPr>
        <w:t>’</w:t>
      </w:r>
      <w:r w:rsidRPr="00C80D3A">
        <w:rPr>
          <w:rFonts w:ascii="Times New Roman" w:hAnsi="Times New Roman" w:cs="Times New Roman"/>
          <w:sz w:val="26"/>
          <w:szCs w:val="26"/>
        </w:rPr>
        <w:t>s Bureau of Investigation and Enforcement; Office of Consumer Advocate; Office of Small Business Advocate; Industrial Energy Consumers of Pennsylvania; Met-Ed Industrial Users Group; Penelec Industrial Customer Alliance; Penn Power Users Group; Philadelphia Area Industrial Users Group; PP&amp;L Industrial Customer Alliance; West Penn Power Industrial Intervenors; Pennsylvania Utility Law Project; the Coalition for Affordable Utility Services and Energy Efficiency in Pennsylvania; Energy Association of Pennsylvania; Dollar Energy Fund; Community Legal Services; Community Action Association of Pennsylvania; Tenant Union Representative Network; Commission on Economic Opportunity; Action Alliance of Senior Citizens of Greater Philadelphia; Pennsylvania Department of Community and Economic Development; Utility Emergency Service Fund; Philadelphia Housing Authority; the Pennsylvania Department of Human Services</w:t>
      </w:r>
      <w:r w:rsidR="00CB0A9D" w:rsidRPr="00C80D3A">
        <w:rPr>
          <w:rFonts w:ascii="Times New Roman" w:hAnsi="Times New Roman" w:cs="Times New Roman"/>
          <w:sz w:val="26"/>
          <w:szCs w:val="26"/>
        </w:rPr>
        <w:t>; and a</w:t>
      </w:r>
      <w:r w:rsidRPr="00C80D3A">
        <w:rPr>
          <w:rFonts w:ascii="Times New Roman" w:hAnsi="Times New Roman" w:cs="Times New Roman"/>
          <w:sz w:val="26"/>
          <w:szCs w:val="26"/>
        </w:rPr>
        <w:t xml:space="preserve">ny parties to </w:t>
      </w:r>
      <w:r w:rsidR="0044544A" w:rsidRPr="00C80D3A">
        <w:rPr>
          <w:rFonts w:ascii="Times New Roman" w:hAnsi="Times New Roman" w:cs="Times New Roman"/>
          <w:i/>
          <w:iCs/>
          <w:spacing w:val="15"/>
          <w:sz w:val="26"/>
          <w:szCs w:val="26"/>
        </w:rPr>
        <w:t>Energy Affordability for Low-Income Customers</w:t>
      </w:r>
      <w:r w:rsidR="0044544A" w:rsidRPr="00C80D3A">
        <w:rPr>
          <w:rFonts w:ascii="Times New Roman" w:hAnsi="Times New Roman" w:cs="Times New Roman"/>
          <w:sz w:val="26"/>
          <w:szCs w:val="26"/>
        </w:rPr>
        <w:t xml:space="preserve">, </w:t>
      </w:r>
      <w:r w:rsidRPr="00C80D3A">
        <w:rPr>
          <w:rFonts w:ascii="Times New Roman" w:hAnsi="Times New Roman" w:cs="Times New Roman"/>
          <w:sz w:val="26"/>
          <w:szCs w:val="26"/>
        </w:rPr>
        <w:t>Docket No. </w:t>
      </w:r>
      <w:r w:rsidR="00425FF6" w:rsidRPr="00C80D3A">
        <w:rPr>
          <w:rFonts w:ascii="Times New Roman" w:hAnsi="Times New Roman" w:cs="Times New Roman"/>
          <w:sz w:val="26"/>
          <w:szCs w:val="26"/>
        </w:rPr>
        <w:t>M</w:t>
      </w:r>
      <w:r w:rsidR="00425FF6" w:rsidRPr="00C80D3A">
        <w:rPr>
          <w:rFonts w:ascii="Times New Roman" w:hAnsi="Times New Roman" w:cs="Times New Roman"/>
          <w:sz w:val="26"/>
          <w:szCs w:val="26"/>
        </w:rPr>
        <w:noBreakHyphen/>
        <w:t>2017</w:t>
      </w:r>
      <w:r w:rsidR="00425FF6" w:rsidRPr="00C80D3A">
        <w:rPr>
          <w:rFonts w:ascii="Times New Roman" w:hAnsi="Times New Roman" w:cs="Times New Roman"/>
          <w:sz w:val="26"/>
          <w:szCs w:val="26"/>
        </w:rPr>
        <w:noBreakHyphen/>
        <w:t>25</w:t>
      </w:r>
      <w:r w:rsidR="00F54B93" w:rsidRPr="00C80D3A">
        <w:rPr>
          <w:rFonts w:ascii="Times New Roman" w:hAnsi="Times New Roman" w:cs="Times New Roman"/>
          <w:sz w:val="26"/>
          <w:szCs w:val="26"/>
        </w:rPr>
        <w:t>87711</w:t>
      </w:r>
      <w:r w:rsidR="00344AB5" w:rsidRPr="00C80D3A">
        <w:rPr>
          <w:rFonts w:ascii="Times New Roman" w:hAnsi="Times New Roman" w:cs="Times New Roman"/>
          <w:sz w:val="26"/>
          <w:szCs w:val="26"/>
        </w:rPr>
        <w:t>,</w:t>
      </w:r>
      <w:r w:rsidR="00425FF6" w:rsidRPr="00C80D3A">
        <w:rPr>
          <w:rFonts w:ascii="Times New Roman" w:hAnsi="Times New Roman" w:cs="Times New Roman"/>
          <w:sz w:val="26"/>
          <w:szCs w:val="26"/>
        </w:rPr>
        <w:t xml:space="preserve"> and </w:t>
      </w:r>
      <w:r w:rsidR="00603DA2" w:rsidRPr="00C80D3A">
        <w:rPr>
          <w:rFonts w:ascii="Times New Roman" w:hAnsi="Times New Roman" w:cs="Times New Roman"/>
          <w:i/>
          <w:iCs/>
          <w:spacing w:val="15"/>
          <w:sz w:val="26"/>
          <w:szCs w:val="26"/>
        </w:rPr>
        <w:t>Review of Universal Service and Energy Conservation Programs</w:t>
      </w:r>
      <w:r w:rsidR="00603DA2" w:rsidRPr="00C80D3A">
        <w:rPr>
          <w:rFonts w:ascii="Times New Roman" w:hAnsi="Times New Roman" w:cs="Times New Roman"/>
          <w:spacing w:val="15"/>
          <w:sz w:val="26"/>
          <w:szCs w:val="26"/>
        </w:rPr>
        <w:t xml:space="preserve">, Docket No. </w:t>
      </w:r>
      <w:r w:rsidR="00425FF6" w:rsidRPr="00C80D3A">
        <w:rPr>
          <w:rFonts w:ascii="Times New Roman" w:hAnsi="Times New Roman" w:cs="Times New Roman"/>
          <w:sz w:val="26"/>
          <w:szCs w:val="26"/>
        </w:rPr>
        <w:t>M-2017-</w:t>
      </w:r>
      <w:r w:rsidR="008C56D9" w:rsidRPr="00C80D3A">
        <w:rPr>
          <w:rFonts w:ascii="Times New Roman" w:hAnsi="Times New Roman" w:cs="Times New Roman"/>
          <w:sz w:val="26"/>
          <w:szCs w:val="26"/>
        </w:rPr>
        <w:t>2596907</w:t>
      </w:r>
      <w:r w:rsidR="00E36BD9" w:rsidRPr="00C80D3A">
        <w:rPr>
          <w:rFonts w:ascii="Times New Roman" w:hAnsi="Times New Roman" w:cs="Times New Roman"/>
          <w:sz w:val="26"/>
          <w:szCs w:val="26"/>
        </w:rPr>
        <w:t>,</w:t>
      </w:r>
      <w:r w:rsidR="008C56D9" w:rsidRPr="00C80D3A">
        <w:rPr>
          <w:rFonts w:ascii="Times New Roman" w:hAnsi="Times New Roman" w:cs="Times New Roman"/>
          <w:sz w:val="26"/>
          <w:szCs w:val="26"/>
        </w:rPr>
        <w:t xml:space="preserve"> </w:t>
      </w:r>
      <w:r w:rsidRPr="00C80D3A">
        <w:rPr>
          <w:rFonts w:ascii="Times New Roman" w:hAnsi="Times New Roman" w:cs="Times New Roman"/>
          <w:sz w:val="26"/>
          <w:szCs w:val="26"/>
        </w:rPr>
        <w:t>not listed above.</w:t>
      </w:r>
    </w:p>
    <w:p w14:paraId="4CB0A5D7" w14:textId="77777777" w:rsidR="00F22512" w:rsidRPr="00C80D3A" w:rsidRDefault="00F22512" w:rsidP="00F22512">
      <w:pPr>
        <w:pStyle w:val="NoSpacing"/>
        <w:spacing w:line="360" w:lineRule="auto"/>
        <w:ind w:left="720"/>
        <w:contextualSpacing/>
        <w:rPr>
          <w:rFonts w:ascii="Times New Roman" w:hAnsi="Times New Roman" w:cs="Times New Roman"/>
          <w:sz w:val="26"/>
          <w:szCs w:val="26"/>
        </w:rPr>
      </w:pPr>
    </w:p>
    <w:p w14:paraId="67FEE0D5" w14:textId="7F48FFCC" w:rsidR="00425FF6" w:rsidRPr="00446512" w:rsidRDefault="00446512" w:rsidP="00425FF6">
      <w:pPr>
        <w:numPr>
          <w:ilvl w:val="0"/>
          <w:numId w:val="2"/>
        </w:numPr>
        <w:spacing w:after="0" w:line="360" w:lineRule="auto"/>
        <w:ind w:left="0" w:firstLine="720"/>
        <w:contextualSpacing/>
        <w:rPr>
          <w:rFonts w:ascii="Times New Roman" w:eastAsia="Times New Roman" w:hAnsi="Times New Roman" w:cs="Times New Roman"/>
          <w:color w:val="0D0D0D"/>
          <w:sz w:val="26"/>
          <w:szCs w:val="26"/>
        </w:rPr>
      </w:pPr>
      <w:r w:rsidRPr="00446512">
        <w:rPr>
          <w:rFonts w:ascii="Times New Roman" w:eastAsia="Times New Roman" w:hAnsi="Times New Roman" w:cs="Times New Roman"/>
          <w:sz w:val="26"/>
          <w:szCs w:val="26"/>
        </w:rPr>
        <w:t>T</w:t>
      </w:r>
      <w:r w:rsidR="00425FF6" w:rsidRPr="00446512">
        <w:rPr>
          <w:rFonts w:ascii="Times New Roman" w:eastAsia="Times New Roman" w:hAnsi="Times New Roman" w:cs="Times New Roman"/>
          <w:sz w:val="26"/>
          <w:szCs w:val="26"/>
        </w:rPr>
        <w:t xml:space="preserve">hat </w:t>
      </w:r>
      <w:r w:rsidRPr="00446512">
        <w:rPr>
          <w:rFonts w:ascii="Times New Roman" w:hAnsi="Times New Roman" w:cs="Times New Roman"/>
          <w:sz w:val="26"/>
          <w:szCs w:val="26"/>
        </w:rPr>
        <w:t xml:space="preserve">the </w:t>
      </w:r>
      <w:r w:rsidR="00F84876">
        <w:rPr>
          <w:rFonts w:ascii="Times New Roman" w:hAnsi="Times New Roman" w:cs="Times New Roman"/>
          <w:sz w:val="26"/>
          <w:szCs w:val="26"/>
        </w:rPr>
        <w:t>E</w:t>
      </w:r>
      <w:r w:rsidR="00F84876" w:rsidRPr="00446512">
        <w:rPr>
          <w:rFonts w:ascii="Times New Roman" w:hAnsi="Times New Roman" w:cs="Times New Roman"/>
          <w:sz w:val="26"/>
          <w:szCs w:val="26"/>
        </w:rPr>
        <w:t xml:space="preserve">lectric </w:t>
      </w:r>
      <w:r w:rsidR="00F84876">
        <w:rPr>
          <w:rFonts w:ascii="Times New Roman" w:hAnsi="Times New Roman" w:cs="Times New Roman"/>
          <w:sz w:val="26"/>
          <w:szCs w:val="26"/>
        </w:rPr>
        <w:t>D</w:t>
      </w:r>
      <w:r w:rsidR="00F84876" w:rsidRPr="00446512">
        <w:rPr>
          <w:rFonts w:ascii="Times New Roman" w:hAnsi="Times New Roman" w:cs="Times New Roman"/>
          <w:sz w:val="26"/>
          <w:szCs w:val="26"/>
        </w:rPr>
        <w:t xml:space="preserve">istribution </w:t>
      </w:r>
      <w:r w:rsidR="00F84876">
        <w:rPr>
          <w:rFonts w:ascii="Times New Roman" w:hAnsi="Times New Roman" w:cs="Times New Roman"/>
          <w:sz w:val="26"/>
          <w:szCs w:val="26"/>
        </w:rPr>
        <w:t>C</w:t>
      </w:r>
      <w:r w:rsidR="00F84876" w:rsidRPr="00446512">
        <w:rPr>
          <w:rFonts w:ascii="Times New Roman" w:hAnsi="Times New Roman" w:cs="Times New Roman"/>
          <w:sz w:val="26"/>
          <w:szCs w:val="26"/>
        </w:rPr>
        <w:t xml:space="preserve">ompanies </w:t>
      </w:r>
      <w:r w:rsidRPr="00446512">
        <w:rPr>
          <w:rFonts w:ascii="Times New Roman" w:hAnsi="Times New Roman" w:cs="Times New Roman"/>
          <w:sz w:val="26"/>
          <w:szCs w:val="26"/>
        </w:rPr>
        <w:t xml:space="preserve">and </w:t>
      </w:r>
      <w:r w:rsidR="00F84876">
        <w:rPr>
          <w:rFonts w:ascii="Times New Roman" w:hAnsi="Times New Roman" w:cs="Times New Roman"/>
          <w:sz w:val="26"/>
          <w:szCs w:val="26"/>
        </w:rPr>
        <w:t>N</w:t>
      </w:r>
      <w:r w:rsidR="00F84876" w:rsidRPr="00446512">
        <w:rPr>
          <w:rFonts w:ascii="Times New Roman" w:hAnsi="Times New Roman" w:cs="Times New Roman"/>
          <w:sz w:val="26"/>
          <w:szCs w:val="26"/>
        </w:rPr>
        <w:t xml:space="preserve">atural </w:t>
      </w:r>
      <w:r w:rsidR="00F84876">
        <w:rPr>
          <w:rFonts w:ascii="Times New Roman" w:hAnsi="Times New Roman" w:cs="Times New Roman"/>
          <w:sz w:val="26"/>
          <w:szCs w:val="26"/>
        </w:rPr>
        <w:t>G</w:t>
      </w:r>
      <w:r w:rsidR="00F84876" w:rsidRPr="00446512">
        <w:rPr>
          <w:rFonts w:ascii="Times New Roman" w:hAnsi="Times New Roman" w:cs="Times New Roman"/>
          <w:sz w:val="26"/>
          <w:szCs w:val="26"/>
        </w:rPr>
        <w:t xml:space="preserve">as </w:t>
      </w:r>
      <w:r w:rsidR="00F84876">
        <w:rPr>
          <w:rFonts w:ascii="Times New Roman" w:hAnsi="Times New Roman" w:cs="Times New Roman"/>
          <w:sz w:val="26"/>
          <w:szCs w:val="26"/>
        </w:rPr>
        <w:t>D</w:t>
      </w:r>
      <w:r w:rsidR="00F84876" w:rsidRPr="00446512">
        <w:rPr>
          <w:rFonts w:ascii="Times New Roman" w:hAnsi="Times New Roman" w:cs="Times New Roman"/>
          <w:sz w:val="26"/>
          <w:szCs w:val="26"/>
        </w:rPr>
        <w:t xml:space="preserve">istribution </w:t>
      </w:r>
      <w:r w:rsidR="00DF05BF">
        <w:rPr>
          <w:rFonts w:ascii="Times New Roman" w:hAnsi="Times New Roman" w:cs="Times New Roman"/>
          <w:sz w:val="26"/>
          <w:szCs w:val="26"/>
        </w:rPr>
        <w:t>C</w:t>
      </w:r>
      <w:r w:rsidRPr="00446512">
        <w:rPr>
          <w:rFonts w:ascii="Times New Roman" w:hAnsi="Times New Roman" w:cs="Times New Roman"/>
          <w:sz w:val="26"/>
          <w:szCs w:val="26"/>
        </w:rPr>
        <w:t>ompanies listed in Ordering Paragraph No. 5</w:t>
      </w:r>
      <w:r w:rsidRPr="00446512">
        <w:rPr>
          <w:rFonts w:ascii="Times New Roman" w:hAnsi="Times New Roman" w:cs="Times New Roman"/>
          <w:color w:val="0D0D0D"/>
          <w:sz w:val="26"/>
          <w:szCs w:val="26"/>
        </w:rPr>
        <w:t xml:space="preserve"> shall file and serve addendums to their existing or proposed </w:t>
      </w:r>
      <w:r w:rsidR="00552627">
        <w:rPr>
          <w:rFonts w:ascii="Times New Roman" w:hAnsi="Times New Roman" w:cs="Times New Roman"/>
          <w:color w:val="0D0D0D"/>
          <w:sz w:val="26"/>
          <w:szCs w:val="26"/>
        </w:rPr>
        <w:t xml:space="preserve">(if applicable) </w:t>
      </w:r>
      <w:r w:rsidR="00F84876">
        <w:rPr>
          <w:rFonts w:ascii="Times New Roman" w:hAnsi="Times New Roman" w:cs="Times New Roman"/>
          <w:color w:val="0D0D0D"/>
          <w:sz w:val="26"/>
          <w:szCs w:val="26"/>
        </w:rPr>
        <w:t>U</w:t>
      </w:r>
      <w:r w:rsidR="00F84876" w:rsidRPr="00446512">
        <w:rPr>
          <w:rFonts w:ascii="Times New Roman" w:hAnsi="Times New Roman" w:cs="Times New Roman"/>
          <w:color w:val="0D0D0D"/>
          <w:sz w:val="26"/>
          <w:szCs w:val="26"/>
        </w:rPr>
        <w:t xml:space="preserve">niversal </w:t>
      </w:r>
      <w:r w:rsidR="00F84876">
        <w:rPr>
          <w:rFonts w:ascii="Times New Roman" w:hAnsi="Times New Roman" w:cs="Times New Roman"/>
          <w:color w:val="0D0D0D"/>
          <w:sz w:val="26"/>
          <w:szCs w:val="26"/>
        </w:rPr>
        <w:t>S</w:t>
      </w:r>
      <w:r w:rsidR="00F84876" w:rsidRPr="00446512">
        <w:rPr>
          <w:rFonts w:ascii="Times New Roman" w:hAnsi="Times New Roman" w:cs="Times New Roman"/>
          <w:color w:val="0D0D0D"/>
          <w:sz w:val="26"/>
          <w:szCs w:val="26"/>
        </w:rPr>
        <w:t xml:space="preserve">ervice </w:t>
      </w:r>
      <w:r w:rsidRPr="00446512">
        <w:rPr>
          <w:rFonts w:ascii="Times New Roman" w:hAnsi="Times New Roman" w:cs="Times New Roman"/>
          <w:color w:val="0D0D0D"/>
          <w:sz w:val="26"/>
          <w:szCs w:val="26"/>
        </w:rPr>
        <w:t xml:space="preserve">and </w:t>
      </w:r>
      <w:r w:rsidR="00F84876">
        <w:rPr>
          <w:rFonts w:ascii="Times New Roman" w:hAnsi="Times New Roman" w:cs="Times New Roman"/>
          <w:color w:val="0D0D0D"/>
          <w:sz w:val="26"/>
          <w:szCs w:val="26"/>
        </w:rPr>
        <w:t>E</w:t>
      </w:r>
      <w:r w:rsidR="00F84876" w:rsidRPr="00446512">
        <w:rPr>
          <w:rFonts w:ascii="Times New Roman" w:hAnsi="Times New Roman" w:cs="Times New Roman"/>
          <w:color w:val="0D0D0D"/>
          <w:sz w:val="26"/>
          <w:szCs w:val="26"/>
        </w:rPr>
        <w:t xml:space="preserve">nergy </w:t>
      </w:r>
      <w:r w:rsidR="00F84876">
        <w:rPr>
          <w:rFonts w:ascii="Times New Roman" w:hAnsi="Times New Roman" w:cs="Times New Roman"/>
          <w:color w:val="0D0D0D"/>
          <w:sz w:val="26"/>
          <w:szCs w:val="26"/>
        </w:rPr>
        <w:t>C</w:t>
      </w:r>
      <w:r w:rsidR="00F84876" w:rsidRPr="00446512">
        <w:rPr>
          <w:rFonts w:ascii="Times New Roman" w:hAnsi="Times New Roman" w:cs="Times New Roman"/>
          <w:color w:val="0D0D0D"/>
          <w:sz w:val="26"/>
          <w:szCs w:val="26"/>
        </w:rPr>
        <w:t xml:space="preserve">onservation </w:t>
      </w:r>
      <w:r w:rsidR="00F84876">
        <w:rPr>
          <w:rFonts w:ascii="Times New Roman" w:hAnsi="Times New Roman" w:cs="Times New Roman"/>
          <w:color w:val="0D0D0D"/>
          <w:sz w:val="26"/>
          <w:szCs w:val="26"/>
        </w:rPr>
        <w:t>P</w:t>
      </w:r>
      <w:r w:rsidR="00F84876" w:rsidRPr="00446512">
        <w:rPr>
          <w:rFonts w:ascii="Times New Roman" w:hAnsi="Times New Roman" w:cs="Times New Roman"/>
          <w:color w:val="0D0D0D"/>
          <w:sz w:val="26"/>
          <w:szCs w:val="26"/>
        </w:rPr>
        <w:t>lans</w:t>
      </w:r>
      <w:r w:rsidRPr="00446512">
        <w:rPr>
          <w:rFonts w:ascii="Times New Roman" w:hAnsi="Times New Roman" w:cs="Times New Roman"/>
          <w:color w:val="0D0D0D"/>
          <w:sz w:val="26"/>
          <w:szCs w:val="26"/>
        </w:rPr>
        <w:t>, at their respective dockets, in response to this Order, within 60 days of entry date of this Order.</w:t>
      </w:r>
      <w:r w:rsidRPr="00446512">
        <w:rPr>
          <w:rFonts w:ascii="Times New Roman" w:hAnsi="Times New Roman" w:cs="Times New Roman"/>
          <w:sz w:val="26"/>
          <w:szCs w:val="26"/>
        </w:rPr>
        <w:t xml:space="preserve"> </w:t>
      </w:r>
      <w:r w:rsidR="007059E7">
        <w:rPr>
          <w:rFonts w:ascii="Times New Roman" w:hAnsi="Times New Roman" w:cs="Times New Roman"/>
          <w:sz w:val="26"/>
          <w:szCs w:val="26"/>
        </w:rPr>
        <w:t xml:space="preserve"> </w:t>
      </w:r>
      <w:r w:rsidRPr="00446512">
        <w:rPr>
          <w:rFonts w:ascii="Times New Roman" w:hAnsi="Times New Roman" w:cs="Times New Roman"/>
          <w:color w:val="0D0D0D"/>
          <w:sz w:val="26"/>
          <w:szCs w:val="26"/>
        </w:rPr>
        <w:t xml:space="preserve">The addendums are to </w:t>
      </w:r>
      <w:r w:rsidR="00F84876">
        <w:rPr>
          <w:rFonts w:ascii="Times New Roman" w:hAnsi="Times New Roman" w:cs="Times New Roman"/>
          <w:color w:val="0D0D0D"/>
          <w:sz w:val="26"/>
          <w:szCs w:val="26"/>
        </w:rPr>
        <w:t>indicate how the Electric Distribution Companies and Natural Gas Distribution Companies intend to implement the policy changes specifi</w:t>
      </w:r>
      <w:r w:rsidR="00DF05BF">
        <w:rPr>
          <w:rFonts w:ascii="Times New Roman" w:hAnsi="Times New Roman" w:cs="Times New Roman"/>
          <w:color w:val="0D0D0D"/>
          <w:sz w:val="26"/>
          <w:szCs w:val="26"/>
        </w:rPr>
        <w:t>ed</w:t>
      </w:r>
      <w:r w:rsidR="00F84876">
        <w:rPr>
          <w:rFonts w:ascii="Times New Roman" w:hAnsi="Times New Roman" w:cs="Times New Roman"/>
          <w:color w:val="0D0D0D"/>
          <w:sz w:val="26"/>
          <w:szCs w:val="26"/>
        </w:rPr>
        <w:t xml:space="preserve"> in the amended CAP Policy Statement, numbered as in the discussion herein, by or before January 1, 2021. </w:t>
      </w:r>
      <w:r w:rsidR="00F84876" w:rsidRPr="00494B41">
        <w:rPr>
          <w:rFonts w:ascii="Times New Roman" w:hAnsi="Times New Roman" w:cs="Times New Roman"/>
          <w:color w:val="0D0D0D"/>
          <w:sz w:val="26"/>
          <w:szCs w:val="26"/>
        </w:rPr>
        <w:t xml:space="preserve"> </w:t>
      </w:r>
      <w:r w:rsidRPr="00446512">
        <w:rPr>
          <w:rFonts w:ascii="Times New Roman" w:hAnsi="Times New Roman" w:cs="Times New Roman"/>
          <w:color w:val="0D0D0D"/>
          <w:sz w:val="26"/>
          <w:szCs w:val="26"/>
        </w:rPr>
        <w:t xml:space="preserve">The </w:t>
      </w:r>
      <w:r w:rsidR="00F84876">
        <w:rPr>
          <w:rFonts w:ascii="Times New Roman" w:hAnsi="Times New Roman" w:cs="Times New Roman"/>
          <w:sz w:val="26"/>
          <w:szCs w:val="26"/>
        </w:rPr>
        <w:t>E</w:t>
      </w:r>
      <w:r w:rsidR="00F84876" w:rsidRPr="00446512">
        <w:rPr>
          <w:rFonts w:ascii="Times New Roman" w:hAnsi="Times New Roman" w:cs="Times New Roman"/>
          <w:sz w:val="26"/>
          <w:szCs w:val="26"/>
        </w:rPr>
        <w:t xml:space="preserve">lectric </w:t>
      </w:r>
      <w:r w:rsidR="00F84876">
        <w:rPr>
          <w:rFonts w:ascii="Times New Roman" w:hAnsi="Times New Roman" w:cs="Times New Roman"/>
          <w:sz w:val="26"/>
          <w:szCs w:val="26"/>
        </w:rPr>
        <w:t>D</w:t>
      </w:r>
      <w:r w:rsidR="00F84876" w:rsidRPr="00446512">
        <w:rPr>
          <w:rFonts w:ascii="Times New Roman" w:hAnsi="Times New Roman" w:cs="Times New Roman"/>
          <w:sz w:val="26"/>
          <w:szCs w:val="26"/>
        </w:rPr>
        <w:t xml:space="preserve">istribution </w:t>
      </w:r>
      <w:r w:rsidR="00F84876">
        <w:rPr>
          <w:rFonts w:ascii="Times New Roman" w:hAnsi="Times New Roman" w:cs="Times New Roman"/>
          <w:sz w:val="26"/>
          <w:szCs w:val="26"/>
        </w:rPr>
        <w:t>C</w:t>
      </w:r>
      <w:r w:rsidR="00F84876" w:rsidRPr="00446512">
        <w:rPr>
          <w:rFonts w:ascii="Times New Roman" w:hAnsi="Times New Roman" w:cs="Times New Roman"/>
          <w:sz w:val="26"/>
          <w:szCs w:val="26"/>
        </w:rPr>
        <w:t xml:space="preserve">ompanies </w:t>
      </w:r>
      <w:r w:rsidRPr="00446512">
        <w:rPr>
          <w:rFonts w:ascii="Times New Roman" w:hAnsi="Times New Roman" w:cs="Times New Roman"/>
          <w:sz w:val="26"/>
          <w:szCs w:val="26"/>
        </w:rPr>
        <w:t xml:space="preserve">and </w:t>
      </w:r>
      <w:r w:rsidR="00F84876">
        <w:rPr>
          <w:rFonts w:ascii="Times New Roman" w:hAnsi="Times New Roman" w:cs="Times New Roman"/>
          <w:sz w:val="26"/>
          <w:szCs w:val="26"/>
        </w:rPr>
        <w:t>N</w:t>
      </w:r>
      <w:r w:rsidRPr="00446512">
        <w:rPr>
          <w:rFonts w:ascii="Times New Roman" w:hAnsi="Times New Roman" w:cs="Times New Roman"/>
          <w:sz w:val="26"/>
          <w:szCs w:val="26"/>
        </w:rPr>
        <w:t xml:space="preserve">atural </w:t>
      </w:r>
      <w:r w:rsidR="00F84876">
        <w:rPr>
          <w:rFonts w:ascii="Times New Roman" w:hAnsi="Times New Roman" w:cs="Times New Roman"/>
          <w:sz w:val="26"/>
          <w:szCs w:val="26"/>
        </w:rPr>
        <w:t>G</w:t>
      </w:r>
      <w:r w:rsidR="00F84876" w:rsidRPr="00446512">
        <w:rPr>
          <w:rFonts w:ascii="Times New Roman" w:hAnsi="Times New Roman" w:cs="Times New Roman"/>
          <w:sz w:val="26"/>
          <w:szCs w:val="26"/>
        </w:rPr>
        <w:t xml:space="preserve">as </w:t>
      </w:r>
      <w:r w:rsidR="00F84876">
        <w:rPr>
          <w:rFonts w:ascii="Times New Roman" w:hAnsi="Times New Roman" w:cs="Times New Roman"/>
          <w:sz w:val="26"/>
          <w:szCs w:val="26"/>
        </w:rPr>
        <w:t>D</w:t>
      </w:r>
      <w:r w:rsidR="00F84876" w:rsidRPr="00446512">
        <w:rPr>
          <w:rFonts w:ascii="Times New Roman" w:hAnsi="Times New Roman" w:cs="Times New Roman"/>
          <w:sz w:val="26"/>
          <w:szCs w:val="26"/>
        </w:rPr>
        <w:t xml:space="preserve">istribution </w:t>
      </w:r>
      <w:r w:rsidR="00F84876">
        <w:rPr>
          <w:rFonts w:ascii="Times New Roman" w:hAnsi="Times New Roman" w:cs="Times New Roman"/>
          <w:sz w:val="26"/>
          <w:szCs w:val="26"/>
        </w:rPr>
        <w:t>C</w:t>
      </w:r>
      <w:r w:rsidR="00F84876" w:rsidRPr="00446512">
        <w:rPr>
          <w:rFonts w:ascii="Times New Roman" w:hAnsi="Times New Roman" w:cs="Times New Roman"/>
          <w:sz w:val="26"/>
          <w:szCs w:val="26"/>
        </w:rPr>
        <w:t xml:space="preserve">ompanies </w:t>
      </w:r>
      <w:r w:rsidRPr="00446512">
        <w:rPr>
          <w:rFonts w:ascii="Times New Roman" w:hAnsi="Times New Roman" w:cs="Times New Roman"/>
          <w:color w:val="0D0D0D"/>
          <w:sz w:val="26"/>
          <w:szCs w:val="26"/>
        </w:rPr>
        <w:t>should indicate in the cover letter to the</w:t>
      </w:r>
      <w:r>
        <w:rPr>
          <w:rFonts w:ascii="Times New Roman" w:hAnsi="Times New Roman" w:cs="Times New Roman"/>
          <w:color w:val="0D0D0D"/>
          <w:sz w:val="26"/>
          <w:szCs w:val="26"/>
        </w:rPr>
        <w:t>ir</w:t>
      </w:r>
      <w:r w:rsidRPr="00446512">
        <w:rPr>
          <w:rFonts w:ascii="Times New Roman" w:hAnsi="Times New Roman" w:cs="Times New Roman"/>
          <w:color w:val="0D0D0D"/>
          <w:sz w:val="26"/>
          <w:szCs w:val="26"/>
        </w:rPr>
        <w:t xml:space="preserve"> addendum</w:t>
      </w:r>
      <w:r>
        <w:rPr>
          <w:rFonts w:ascii="Times New Roman" w:hAnsi="Times New Roman" w:cs="Times New Roman"/>
          <w:color w:val="0D0D0D"/>
          <w:sz w:val="26"/>
          <w:szCs w:val="26"/>
        </w:rPr>
        <w:t>s</w:t>
      </w:r>
      <w:r w:rsidRPr="00446512">
        <w:rPr>
          <w:rFonts w:ascii="Times New Roman" w:hAnsi="Times New Roman" w:cs="Times New Roman"/>
          <w:color w:val="0D0D0D"/>
          <w:sz w:val="26"/>
          <w:szCs w:val="26"/>
        </w:rPr>
        <w:t xml:space="preserve"> any provisions with which they are already compliant.</w:t>
      </w:r>
      <w:r>
        <w:rPr>
          <w:rFonts w:ascii="Times New Roman" w:hAnsi="Times New Roman" w:cs="Times New Roman"/>
          <w:color w:val="0D0D0D"/>
          <w:sz w:val="26"/>
          <w:szCs w:val="26"/>
        </w:rPr>
        <w:t xml:space="preserve">  </w:t>
      </w:r>
    </w:p>
    <w:p w14:paraId="38043E52" w14:textId="77777777" w:rsidR="007737BE" w:rsidRPr="00C80D3A" w:rsidRDefault="007737BE" w:rsidP="007737BE">
      <w:pPr>
        <w:spacing w:after="0" w:line="360" w:lineRule="auto"/>
        <w:ind w:firstLine="720"/>
        <w:contextualSpacing/>
        <w:rPr>
          <w:rFonts w:ascii="Times New Roman" w:eastAsia="Times New Roman" w:hAnsi="Times New Roman" w:cs="Times New Roman"/>
          <w:color w:val="0D0D0D"/>
          <w:sz w:val="26"/>
          <w:szCs w:val="26"/>
        </w:rPr>
      </w:pPr>
    </w:p>
    <w:p w14:paraId="15D79BB2" w14:textId="7D9D73EE" w:rsidR="007737BE" w:rsidRPr="006109DF" w:rsidRDefault="007737BE" w:rsidP="00727E84">
      <w:pPr>
        <w:numPr>
          <w:ilvl w:val="0"/>
          <w:numId w:val="2"/>
        </w:numPr>
        <w:tabs>
          <w:tab w:val="left" w:pos="720"/>
        </w:tabs>
        <w:autoSpaceDE w:val="0"/>
        <w:autoSpaceDN w:val="0"/>
        <w:adjustRightInd w:val="0"/>
        <w:spacing w:after="0" w:line="360" w:lineRule="auto"/>
        <w:ind w:left="0" w:firstLine="720"/>
        <w:contextualSpacing/>
        <w:rPr>
          <w:rFonts w:ascii="Times New Roman" w:eastAsia="Times New Roman" w:hAnsi="Times New Roman" w:cs="Times New Roman"/>
          <w:sz w:val="26"/>
          <w:szCs w:val="26"/>
        </w:rPr>
      </w:pPr>
      <w:r w:rsidRPr="006109DF">
        <w:rPr>
          <w:rFonts w:ascii="Times New Roman" w:hAnsi="Times New Roman" w:cs="Times New Roman"/>
          <w:color w:val="0D0D0D" w:themeColor="text1" w:themeTint="F2"/>
          <w:sz w:val="26"/>
          <w:szCs w:val="26"/>
        </w:rPr>
        <w:t xml:space="preserve">That the </w:t>
      </w:r>
      <w:r w:rsidR="004F2D65" w:rsidRPr="006109DF">
        <w:rPr>
          <w:rFonts w:ascii="Times New Roman" w:hAnsi="Times New Roman" w:cs="Times New Roman"/>
          <w:color w:val="0D0D0D" w:themeColor="text1" w:themeTint="F2"/>
          <w:sz w:val="26"/>
          <w:szCs w:val="26"/>
        </w:rPr>
        <w:t>addendums to the</w:t>
      </w:r>
      <w:r w:rsidRPr="006109DF">
        <w:rPr>
          <w:rFonts w:ascii="Times New Roman" w:eastAsia="Times New Roman" w:hAnsi="Times New Roman" w:cs="Times New Roman"/>
          <w:color w:val="0D0D0D" w:themeColor="text1" w:themeTint="F2"/>
          <w:sz w:val="26"/>
          <w:szCs w:val="26"/>
        </w:rPr>
        <w:t xml:space="preserve"> </w:t>
      </w:r>
      <w:r w:rsidR="00B56C7F" w:rsidRPr="006109DF">
        <w:rPr>
          <w:rFonts w:ascii="Times New Roman" w:eastAsia="Times New Roman" w:hAnsi="Times New Roman" w:cs="Times New Roman"/>
          <w:color w:val="0D0D0D" w:themeColor="text1" w:themeTint="F2"/>
          <w:sz w:val="26"/>
          <w:szCs w:val="26"/>
        </w:rPr>
        <w:t>universal service</w:t>
      </w:r>
      <w:r w:rsidRPr="006109DF">
        <w:rPr>
          <w:rFonts w:ascii="Times New Roman" w:eastAsia="Times New Roman" w:hAnsi="Times New Roman" w:cs="Times New Roman"/>
          <w:color w:val="0D0D0D" w:themeColor="text1" w:themeTint="F2"/>
          <w:sz w:val="26"/>
          <w:szCs w:val="26"/>
        </w:rPr>
        <w:t xml:space="preserve"> and </w:t>
      </w:r>
      <w:r w:rsidR="00B56C7F" w:rsidRPr="006109DF">
        <w:rPr>
          <w:rFonts w:ascii="Times New Roman" w:eastAsia="Times New Roman" w:hAnsi="Times New Roman" w:cs="Times New Roman"/>
          <w:color w:val="0D0D0D" w:themeColor="text1" w:themeTint="F2"/>
          <w:sz w:val="26"/>
          <w:szCs w:val="26"/>
        </w:rPr>
        <w:t>energy conservation plans</w:t>
      </w:r>
      <w:r w:rsidR="005218BE" w:rsidRPr="006109DF">
        <w:rPr>
          <w:rFonts w:ascii="Times New Roman" w:eastAsia="Times New Roman" w:hAnsi="Times New Roman" w:cs="Times New Roman"/>
          <w:color w:val="0D0D0D" w:themeColor="text1" w:themeTint="F2"/>
          <w:sz w:val="26"/>
          <w:szCs w:val="26"/>
        </w:rPr>
        <w:t xml:space="preserve"> </w:t>
      </w:r>
      <w:r w:rsidRPr="006109DF">
        <w:rPr>
          <w:rFonts w:ascii="Times New Roman" w:eastAsia="Times New Roman" w:hAnsi="Times New Roman" w:cs="Times New Roman"/>
          <w:color w:val="0D0D0D" w:themeColor="text1" w:themeTint="F2"/>
          <w:sz w:val="26"/>
          <w:szCs w:val="26"/>
        </w:rPr>
        <w:t xml:space="preserve">shall be filed in both clean and redline copies and served on the parties </w:t>
      </w:r>
      <w:r w:rsidR="00F34574" w:rsidRPr="006109DF">
        <w:rPr>
          <w:rFonts w:ascii="Times New Roman" w:eastAsia="Times New Roman" w:hAnsi="Times New Roman" w:cs="Times New Roman"/>
          <w:color w:val="0D0D0D" w:themeColor="text1" w:themeTint="F2"/>
          <w:sz w:val="26"/>
          <w:szCs w:val="26"/>
        </w:rPr>
        <w:t>at the utilit</w:t>
      </w:r>
      <w:r w:rsidR="007F1943" w:rsidRPr="00354397">
        <w:rPr>
          <w:rFonts w:ascii="Times New Roman" w:eastAsia="Times New Roman" w:hAnsi="Times New Roman" w:cs="Times New Roman"/>
          <w:color w:val="0D0D0D" w:themeColor="text1" w:themeTint="F2"/>
          <w:sz w:val="26"/>
          <w:szCs w:val="26"/>
        </w:rPr>
        <w:t>i</w:t>
      </w:r>
      <w:r w:rsidR="00F34574" w:rsidRPr="006109DF">
        <w:rPr>
          <w:rFonts w:ascii="Times New Roman" w:eastAsia="Times New Roman" w:hAnsi="Times New Roman" w:cs="Times New Roman"/>
          <w:color w:val="0D0D0D" w:themeColor="text1" w:themeTint="F2"/>
          <w:sz w:val="26"/>
          <w:szCs w:val="26"/>
        </w:rPr>
        <w:t>es</w:t>
      </w:r>
      <w:r w:rsidR="001529C6">
        <w:rPr>
          <w:rFonts w:ascii="Times New Roman" w:eastAsia="Times New Roman" w:hAnsi="Times New Roman" w:cs="Times New Roman"/>
          <w:color w:val="0D0D0D" w:themeColor="text1" w:themeTint="F2"/>
          <w:sz w:val="26"/>
          <w:szCs w:val="26"/>
        </w:rPr>
        <w:t>’</w:t>
      </w:r>
      <w:r w:rsidR="00F34574" w:rsidRPr="006109DF">
        <w:rPr>
          <w:rFonts w:ascii="Times New Roman" w:eastAsia="Times New Roman" w:hAnsi="Times New Roman" w:cs="Times New Roman"/>
          <w:color w:val="0D0D0D" w:themeColor="text1" w:themeTint="F2"/>
          <w:sz w:val="26"/>
          <w:szCs w:val="26"/>
        </w:rPr>
        <w:t xml:space="preserve"> respective existing or pending USECP </w:t>
      </w:r>
      <w:r w:rsidRPr="006109DF">
        <w:rPr>
          <w:rFonts w:ascii="Times New Roman" w:eastAsia="Times New Roman" w:hAnsi="Times New Roman" w:cs="Times New Roman"/>
          <w:color w:val="0D0D0D" w:themeColor="text1" w:themeTint="F2"/>
          <w:sz w:val="26"/>
          <w:szCs w:val="26"/>
        </w:rPr>
        <w:t>dockets.</w:t>
      </w:r>
    </w:p>
    <w:p w14:paraId="0B7CAF38" w14:textId="77777777" w:rsidR="007737BE" w:rsidRPr="006109DF" w:rsidRDefault="007737BE" w:rsidP="007737BE">
      <w:pPr>
        <w:tabs>
          <w:tab w:val="left" w:pos="720"/>
        </w:tabs>
        <w:autoSpaceDE w:val="0"/>
        <w:autoSpaceDN w:val="0"/>
        <w:adjustRightInd w:val="0"/>
        <w:spacing w:after="0" w:line="360" w:lineRule="auto"/>
        <w:ind w:left="720"/>
        <w:contextualSpacing/>
        <w:rPr>
          <w:rFonts w:ascii="Times New Roman" w:eastAsia="Times New Roman" w:hAnsi="Times New Roman" w:cs="Times New Roman"/>
          <w:sz w:val="26"/>
          <w:szCs w:val="26"/>
        </w:rPr>
      </w:pPr>
    </w:p>
    <w:p w14:paraId="495AA99F" w14:textId="78065F1C" w:rsidR="007737BE" w:rsidRPr="006109DF" w:rsidRDefault="00F11351" w:rsidP="00727E84">
      <w:pPr>
        <w:numPr>
          <w:ilvl w:val="0"/>
          <w:numId w:val="2"/>
        </w:numPr>
        <w:tabs>
          <w:tab w:val="left" w:pos="720"/>
        </w:tabs>
        <w:autoSpaceDE w:val="0"/>
        <w:autoSpaceDN w:val="0"/>
        <w:adjustRightInd w:val="0"/>
        <w:spacing w:after="0" w:line="360" w:lineRule="auto"/>
        <w:ind w:left="0" w:firstLine="720"/>
        <w:contextualSpacing/>
        <w:rPr>
          <w:rFonts w:ascii="Times New Roman" w:eastAsia="Times New Roman" w:hAnsi="Times New Roman" w:cs="Times New Roman"/>
          <w:sz w:val="26"/>
          <w:szCs w:val="26"/>
        </w:rPr>
      </w:pPr>
      <w:r w:rsidRPr="006109DF">
        <w:rPr>
          <w:rFonts w:ascii="Times New Roman" w:eastAsia="Times New Roman" w:hAnsi="Times New Roman" w:cs="Times New Roman"/>
          <w:color w:val="0D0D0D" w:themeColor="text1" w:themeTint="F2"/>
          <w:sz w:val="26"/>
          <w:szCs w:val="26"/>
        </w:rPr>
        <w:t xml:space="preserve">That the </w:t>
      </w:r>
      <w:r w:rsidR="00C56AF6" w:rsidRPr="006109DF">
        <w:rPr>
          <w:rFonts w:ascii="Times New Roman" w:eastAsia="Times New Roman" w:hAnsi="Times New Roman" w:cs="Times New Roman"/>
          <w:color w:val="0D0D0D" w:themeColor="text1" w:themeTint="F2"/>
          <w:sz w:val="26"/>
          <w:szCs w:val="26"/>
        </w:rPr>
        <w:t xml:space="preserve">addendums to the </w:t>
      </w:r>
      <w:r w:rsidR="00B56C7F" w:rsidRPr="006109DF">
        <w:rPr>
          <w:rFonts w:ascii="Times New Roman" w:eastAsia="Times New Roman" w:hAnsi="Times New Roman" w:cs="Times New Roman"/>
          <w:color w:val="0D0D0D" w:themeColor="text1" w:themeTint="F2"/>
          <w:sz w:val="26"/>
          <w:szCs w:val="26"/>
        </w:rPr>
        <w:t>universal service</w:t>
      </w:r>
      <w:r w:rsidR="007737BE" w:rsidRPr="006109DF">
        <w:rPr>
          <w:rFonts w:ascii="Times New Roman" w:eastAsia="Times New Roman" w:hAnsi="Times New Roman" w:cs="Times New Roman"/>
          <w:color w:val="0D0D0D" w:themeColor="text1" w:themeTint="F2"/>
          <w:sz w:val="26"/>
          <w:szCs w:val="26"/>
        </w:rPr>
        <w:t xml:space="preserve"> and </w:t>
      </w:r>
      <w:r w:rsidR="00B56C7F" w:rsidRPr="006109DF">
        <w:rPr>
          <w:rFonts w:ascii="Times New Roman" w:eastAsia="Times New Roman" w:hAnsi="Times New Roman" w:cs="Times New Roman"/>
          <w:color w:val="0D0D0D" w:themeColor="text1" w:themeTint="F2"/>
          <w:sz w:val="26"/>
          <w:szCs w:val="26"/>
        </w:rPr>
        <w:t>energy conservation plans</w:t>
      </w:r>
      <w:r w:rsidR="007737BE" w:rsidRPr="006109DF">
        <w:rPr>
          <w:rFonts w:ascii="Times New Roman" w:eastAsia="Times New Roman" w:hAnsi="Times New Roman" w:cs="Times New Roman"/>
          <w:color w:val="0D0D0D" w:themeColor="text1" w:themeTint="F2"/>
          <w:sz w:val="26"/>
          <w:szCs w:val="26"/>
        </w:rPr>
        <w:t xml:space="preserve"> shall be provided electronically in Word</w:t>
      </w:r>
      <w:r w:rsidR="007737BE" w:rsidRPr="006109DF">
        <w:rPr>
          <w:rFonts w:ascii="Times New Roman" w:eastAsia="Times New Roman" w:hAnsi="Times New Roman" w:cs="Times New Roman"/>
          <w:color w:val="0D0D0D" w:themeColor="text1" w:themeTint="F2"/>
          <w:sz w:val="26"/>
          <w:szCs w:val="26"/>
          <w:vertAlign w:val="superscript"/>
        </w:rPr>
        <w:t>®</w:t>
      </w:r>
      <w:r w:rsidR="007737BE" w:rsidRPr="006109DF">
        <w:rPr>
          <w:rFonts w:ascii="Times New Roman" w:eastAsia="Times New Roman" w:hAnsi="Times New Roman" w:cs="Times New Roman"/>
          <w:color w:val="0D0D0D" w:themeColor="text1" w:themeTint="F2"/>
          <w:sz w:val="26"/>
          <w:szCs w:val="26"/>
        </w:rPr>
        <w:t xml:space="preserve">-compatible format to </w:t>
      </w:r>
      <w:r w:rsidR="00583178" w:rsidRPr="006109DF">
        <w:rPr>
          <w:rFonts w:ascii="Times New Roman" w:eastAsia="Times New Roman" w:hAnsi="Times New Roman" w:cs="Times New Roman"/>
          <w:color w:val="0D0D0D" w:themeColor="text1" w:themeTint="F2"/>
          <w:sz w:val="26"/>
          <w:szCs w:val="26"/>
        </w:rPr>
        <w:t xml:space="preserve">Joseph Magee, Bureau of Consumer Services, </w:t>
      </w:r>
      <w:hyperlink r:id="rId11" w:history="1">
        <w:r w:rsidR="00583178" w:rsidRPr="006109DF">
          <w:rPr>
            <w:rStyle w:val="Hyperlink"/>
            <w:rFonts w:ascii="Times New Roman" w:hAnsi="Times New Roman" w:cs="Times New Roman"/>
            <w:sz w:val="26"/>
            <w:szCs w:val="26"/>
          </w:rPr>
          <w:t>jmagee@pa.gov</w:t>
        </w:r>
      </w:hyperlink>
      <w:r w:rsidR="00583178" w:rsidRPr="006109DF">
        <w:rPr>
          <w:rFonts w:ascii="Times New Roman" w:hAnsi="Times New Roman" w:cs="Times New Roman"/>
          <w:sz w:val="26"/>
          <w:szCs w:val="26"/>
        </w:rPr>
        <w:t xml:space="preserve">; </w:t>
      </w:r>
      <w:r w:rsidR="007737BE" w:rsidRPr="006109DF">
        <w:rPr>
          <w:rFonts w:ascii="Times New Roman" w:eastAsia="Times New Roman" w:hAnsi="Times New Roman" w:cs="Times New Roman"/>
          <w:color w:val="0D0D0D" w:themeColor="text1" w:themeTint="F2"/>
          <w:sz w:val="26"/>
          <w:szCs w:val="26"/>
        </w:rPr>
        <w:t xml:space="preserve">Jennifer Johnson, Bureau of Consumer Services, </w:t>
      </w:r>
      <w:hyperlink r:id="rId12" w:history="1">
        <w:r w:rsidR="001E1A03" w:rsidRPr="006109DF">
          <w:rPr>
            <w:rStyle w:val="Hyperlink"/>
            <w:rFonts w:ascii="Times New Roman" w:hAnsi="Times New Roman" w:cs="Times New Roman"/>
            <w:sz w:val="26"/>
            <w:szCs w:val="26"/>
          </w:rPr>
          <w:t>jennifjohn</w:t>
        </w:r>
        <w:r w:rsidR="007737BE" w:rsidRPr="006109DF">
          <w:rPr>
            <w:rStyle w:val="Hyperlink"/>
            <w:rFonts w:ascii="Times New Roman" w:hAnsi="Times New Roman" w:cs="Times New Roman"/>
            <w:sz w:val="26"/>
            <w:szCs w:val="26"/>
          </w:rPr>
          <w:t>@pa.gov</w:t>
        </w:r>
      </w:hyperlink>
      <w:r w:rsidR="00583178" w:rsidRPr="006109DF">
        <w:rPr>
          <w:rFonts w:ascii="Times New Roman" w:eastAsia="Times New Roman" w:hAnsi="Times New Roman" w:cs="Times New Roman"/>
          <w:color w:val="0D0D0D" w:themeColor="text1" w:themeTint="F2"/>
          <w:sz w:val="26"/>
          <w:szCs w:val="26"/>
        </w:rPr>
        <w:t>;</w:t>
      </w:r>
      <w:r w:rsidR="007737BE" w:rsidRPr="006109DF">
        <w:rPr>
          <w:rFonts w:ascii="Times New Roman" w:eastAsia="Times New Roman" w:hAnsi="Times New Roman" w:cs="Times New Roman"/>
          <w:color w:val="0D0D0D" w:themeColor="text1" w:themeTint="F2"/>
          <w:sz w:val="26"/>
          <w:szCs w:val="26"/>
        </w:rPr>
        <w:t xml:space="preserve"> </w:t>
      </w:r>
      <w:r w:rsidR="00E10958" w:rsidRPr="006109DF">
        <w:rPr>
          <w:rFonts w:ascii="Times New Roman" w:hAnsi="Times New Roman" w:cs="Times New Roman"/>
          <w:sz w:val="26"/>
          <w:szCs w:val="26"/>
        </w:rPr>
        <w:t xml:space="preserve">Christina Chase-Pettis, </w:t>
      </w:r>
      <w:r w:rsidR="003F1467">
        <w:rPr>
          <w:rFonts w:ascii="Times New Roman" w:hAnsi="Times New Roman" w:cs="Times New Roman"/>
          <w:sz w:val="26"/>
          <w:szCs w:val="26"/>
        </w:rPr>
        <w:t>Office</w:t>
      </w:r>
      <w:r w:rsidR="00E10958" w:rsidRPr="006109DF">
        <w:rPr>
          <w:rFonts w:ascii="Times New Roman" w:hAnsi="Times New Roman" w:cs="Times New Roman"/>
          <w:sz w:val="26"/>
          <w:szCs w:val="26"/>
        </w:rPr>
        <w:t xml:space="preserve"> of Communications, </w:t>
      </w:r>
      <w:hyperlink r:id="rId13" w:history="1">
        <w:r w:rsidR="00E10958" w:rsidRPr="006109DF">
          <w:rPr>
            <w:rStyle w:val="Hyperlink"/>
            <w:rFonts w:ascii="Times New Roman" w:hAnsi="Times New Roman" w:cs="Times New Roman"/>
            <w:sz w:val="26"/>
            <w:szCs w:val="26"/>
          </w:rPr>
          <w:t>cchasepett@pa.gov</w:t>
        </w:r>
      </w:hyperlink>
      <w:r w:rsidR="00E10958" w:rsidRPr="006109DF">
        <w:rPr>
          <w:rFonts w:ascii="Times New Roman" w:hAnsi="Times New Roman" w:cs="Times New Roman"/>
          <w:sz w:val="26"/>
          <w:szCs w:val="26"/>
        </w:rPr>
        <w:t xml:space="preserve">; Shari A. Williams, </w:t>
      </w:r>
      <w:r w:rsidR="003F1467">
        <w:rPr>
          <w:rFonts w:ascii="Times New Roman" w:hAnsi="Times New Roman" w:cs="Times New Roman"/>
          <w:sz w:val="26"/>
          <w:szCs w:val="26"/>
        </w:rPr>
        <w:t>Office</w:t>
      </w:r>
      <w:r w:rsidR="00E10958" w:rsidRPr="006109DF">
        <w:rPr>
          <w:rFonts w:ascii="Times New Roman" w:hAnsi="Times New Roman" w:cs="Times New Roman"/>
          <w:sz w:val="26"/>
          <w:szCs w:val="26"/>
        </w:rPr>
        <w:t xml:space="preserve"> of Communications, </w:t>
      </w:r>
      <w:hyperlink r:id="rId14" w:history="1">
        <w:r w:rsidR="00E10958" w:rsidRPr="006109DF">
          <w:rPr>
            <w:rStyle w:val="Hyperlink"/>
            <w:rFonts w:ascii="Times New Roman" w:hAnsi="Times New Roman" w:cs="Times New Roman"/>
            <w:sz w:val="26"/>
            <w:szCs w:val="26"/>
          </w:rPr>
          <w:t>shariwilli@pa.gov</w:t>
        </w:r>
      </w:hyperlink>
      <w:r w:rsidR="00E10958" w:rsidRPr="006109DF">
        <w:rPr>
          <w:rFonts w:ascii="Times New Roman" w:hAnsi="Times New Roman" w:cs="Times New Roman"/>
          <w:sz w:val="26"/>
          <w:szCs w:val="26"/>
        </w:rPr>
        <w:t>;</w:t>
      </w:r>
      <w:r w:rsidR="00E10958" w:rsidRPr="006109DF">
        <w:rPr>
          <w:rFonts w:ascii="Times New Roman" w:hAnsi="Times New Roman" w:cs="Times New Roman"/>
          <w:b/>
          <w:bCs/>
          <w:sz w:val="26"/>
          <w:szCs w:val="26"/>
          <w:u w:val="single"/>
        </w:rPr>
        <w:t xml:space="preserve"> </w:t>
      </w:r>
      <w:r w:rsidR="007737BE" w:rsidRPr="006109DF">
        <w:rPr>
          <w:rFonts w:ascii="Times New Roman" w:eastAsia="Times New Roman" w:hAnsi="Times New Roman" w:cs="Times New Roman"/>
          <w:color w:val="0D0D0D" w:themeColor="text1" w:themeTint="F2"/>
          <w:sz w:val="26"/>
          <w:szCs w:val="26"/>
        </w:rPr>
        <w:t xml:space="preserve">and Louise Fink Smith, Law Bureau, </w:t>
      </w:r>
      <w:hyperlink r:id="rId15" w:history="1">
        <w:r w:rsidR="007737BE" w:rsidRPr="006109DF">
          <w:rPr>
            <w:rStyle w:val="Hyperlink"/>
            <w:rFonts w:ascii="Times New Roman" w:hAnsi="Times New Roman" w:cs="Times New Roman"/>
            <w:sz w:val="26"/>
            <w:szCs w:val="26"/>
          </w:rPr>
          <w:t>finksmith@pa.gov</w:t>
        </w:r>
      </w:hyperlink>
      <w:r w:rsidR="007737BE" w:rsidRPr="006109DF">
        <w:rPr>
          <w:rFonts w:ascii="Times New Roman" w:eastAsia="Times New Roman" w:hAnsi="Times New Roman" w:cs="Times New Roman"/>
          <w:color w:val="0D0D0D" w:themeColor="text1" w:themeTint="F2"/>
          <w:sz w:val="26"/>
          <w:szCs w:val="26"/>
        </w:rPr>
        <w:t>.</w:t>
      </w:r>
    </w:p>
    <w:p w14:paraId="0C3ADD78" w14:textId="7C6DE068" w:rsidR="00425FF6" w:rsidRPr="00C80D3A" w:rsidRDefault="00425FF6" w:rsidP="00425FF6">
      <w:pPr>
        <w:pStyle w:val="NoSpacing"/>
        <w:spacing w:line="360" w:lineRule="auto"/>
        <w:ind w:left="720"/>
        <w:contextualSpacing/>
        <w:rPr>
          <w:rFonts w:ascii="Times New Roman" w:hAnsi="Times New Roman" w:cs="Times New Roman"/>
          <w:sz w:val="26"/>
          <w:szCs w:val="26"/>
        </w:rPr>
      </w:pPr>
    </w:p>
    <w:p w14:paraId="494F0435" w14:textId="1B069FF5" w:rsidR="00D23B03" w:rsidRDefault="00425FF6" w:rsidP="00425FF6">
      <w:pPr>
        <w:pStyle w:val="NoSpacing"/>
        <w:numPr>
          <w:ilvl w:val="0"/>
          <w:numId w:val="2"/>
        </w:numPr>
        <w:spacing w:line="360" w:lineRule="auto"/>
        <w:ind w:left="0" w:firstLine="720"/>
        <w:contextualSpacing/>
        <w:rPr>
          <w:rFonts w:ascii="Times New Roman" w:hAnsi="Times New Roman" w:cs="Times New Roman"/>
          <w:sz w:val="26"/>
          <w:szCs w:val="26"/>
        </w:rPr>
      </w:pPr>
      <w:r w:rsidRPr="00C80D3A">
        <w:rPr>
          <w:rFonts w:ascii="Times New Roman" w:hAnsi="Times New Roman" w:cs="Times New Roman"/>
          <w:sz w:val="26"/>
          <w:szCs w:val="26"/>
        </w:rPr>
        <w:t xml:space="preserve">That the electric distribution companies and natural gas distribution companies listed in Ordering Paragraph No. </w:t>
      </w:r>
      <w:r w:rsidR="002E4EA9" w:rsidRPr="00C80D3A">
        <w:rPr>
          <w:rFonts w:ascii="Times New Roman" w:hAnsi="Times New Roman" w:cs="Times New Roman"/>
          <w:sz w:val="26"/>
          <w:szCs w:val="26"/>
        </w:rPr>
        <w:t>5</w:t>
      </w:r>
      <w:r w:rsidRPr="00C80D3A">
        <w:rPr>
          <w:rFonts w:ascii="Times New Roman" w:hAnsi="Times New Roman" w:cs="Times New Roman"/>
          <w:sz w:val="26"/>
          <w:szCs w:val="26"/>
        </w:rPr>
        <w:t xml:space="preserve"> be prepared to address recovery of </w:t>
      </w:r>
      <w:r w:rsidR="0021192A" w:rsidRPr="00C80D3A">
        <w:rPr>
          <w:rFonts w:ascii="Times New Roman" w:hAnsi="Times New Roman" w:cs="Times New Roman"/>
          <w:sz w:val="26"/>
          <w:szCs w:val="26"/>
        </w:rPr>
        <w:t xml:space="preserve">customer assistance program </w:t>
      </w:r>
      <w:r w:rsidR="00B27EB7" w:rsidRPr="00C80D3A">
        <w:rPr>
          <w:rFonts w:ascii="Times New Roman" w:hAnsi="Times New Roman" w:cs="Times New Roman"/>
          <w:sz w:val="26"/>
          <w:szCs w:val="26"/>
        </w:rPr>
        <w:t>costs (</w:t>
      </w:r>
      <w:r w:rsidR="00286B59" w:rsidRPr="00C80D3A">
        <w:rPr>
          <w:rFonts w:ascii="Times New Roman" w:hAnsi="Times New Roman" w:cs="Times New Roman"/>
          <w:sz w:val="26"/>
          <w:szCs w:val="26"/>
        </w:rPr>
        <w:t xml:space="preserve">and other </w:t>
      </w:r>
      <w:r w:rsidRPr="00C80D3A">
        <w:rPr>
          <w:rFonts w:ascii="Times New Roman" w:hAnsi="Times New Roman" w:cs="Times New Roman"/>
          <w:sz w:val="26"/>
          <w:szCs w:val="26"/>
        </w:rPr>
        <w:t>universal service costs</w:t>
      </w:r>
      <w:r w:rsidR="00B27EB7" w:rsidRPr="00C80D3A">
        <w:rPr>
          <w:rFonts w:ascii="Times New Roman" w:hAnsi="Times New Roman" w:cs="Times New Roman"/>
          <w:sz w:val="26"/>
          <w:szCs w:val="26"/>
        </w:rPr>
        <w:t>)</w:t>
      </w:r>
      <w:r w:rsidRPr="00C80D3A">
        <w:rPr>
          <w:rFonts w:ascii="Times New Roman" w:hAnsi="Times New Roman" w:cs="Times New Roman"/>
          <w:sz w:val="26"/>
          <w:szCs w:val="26"/>
        </w:rPr>
        <w:t xml:space="preserve"> in their next individual rate case </w:t>
      </w:r>
      <w:r w:rsidR="005C148D" w:rsidRPr="00C80D3A">
        <w:rPr>
          <w:rFonts w:ascii="Times New Roman" w:hAnsi="Times New Roman" w:cs="Times New Roman"/>
          <w:sz w:val="26"/>
          <w:szCs w:val="26"/>
        </w:rPr>
        <w:t>proceedings</w:t>
      </w:r>
      <w:r w:rsidR="00722351" w:rsidRPr="00C80D3A">
        <w:rPr>
          <w:rFonts w:ascii="Times New Roman" w:hAnsi="Times New Roman" w:cs="Times New Roman"/>
          <w:sz w:val="26"/>
          <w:szCs w:val="26"/>
        </w:rPr>
        <w:t xml:space="preserve">, recognizing that </w:t>
      </w:r>
      <w:r w:rsidR="009A639F" w:rsidRPr="00C80D3A">
        <w:rPr>
          <w:rFonts w:ascii="Times New Roman" w:hAnsi="Times New Roman" w:cs="Times New Roman"/>
          <w:sz w:val="26"/>
          <w:szCs w:val="26"/>
        </w:rPr>
        <w:t xml:space="preserve">non-residential classes </w:t>
      </w:r>
      <w:r w:rsidR="00722351" w:rsidRPr="00C80D3A">
        <w:rPr>
          <w:rFonts w:ascii="Times New Roman" w:hAnsi="Times New Roman" w:cs="Times New Roman"/>
          <w:sz w:val="26"/>
          <w:szCs w:val="26"/>
        </w:rPr>
        <w:t xml:space="preserve">need not </w:t>
      </w:r>
      <w:r w:rsidR="002C1981" w:rsidRPr="00C80D3A">
        <w:rPr>
          <w:rFonts w:ascii="Times New Roman" w:hAnsi="Times New Roman" w:cs="Times New Roman"/>
          <w:sz w:val="26"/>
          <w:szCs w:val="26"/>
        </w:rPr>
        <w:t xml:space="preserve">be </w:t>
      </w:r>
      <w:r w:rsidR="00722351" w:rsidRPr="00C80D3A">
        <w:rPr>
          <w:rFonts w:ascii="Times New Roman" w:hAnsi="Times New Roman" w:cs="Times New Roman"/>
          <w:sz w:val="26"/>
          <w:szCs w:val="26"/>
        </w:rPr>
        <w:t xml:space="preserve">routinely considered exempt </w:t>
      </w:r>
      <w:r w:rsidR="009A639F" w:rsidRPr="00C80D3A">
        <w:rPr>
          <w:rFonts w:ascii="Times New Roman" w:hAnsi="Times New Roman" w:cs="Times New Roman"/>
          <w:sz w:val="26"/>
          <w:szCs w:val="26"/>
        </w:rPr>
        <w:t>from universal service obligations</w:t>
      </w:r>
      <w:r w:rsidRPr="00C80D3A">
        <w:rPr>
          <w:rFonts w:ascii="Times New Roman" w:hAnsi="Times New Roman" w:cs="Times New Roman"/>
          <w:sz w:val="26"/>
          <w:szCs w:val="26"/>
        </w:rPr>
        <w:t>.</w:t>
      </w:r>
      <w:r w:rsidR="00D23B03" w:rsidRPr="00C80D3A">
        <w:rPr>
          <w:rFonts w:ascii="Times New Roman" w:hAnsi="Times New Roman" w:cs="Times New Roman"/>
          <w:sz w:val="26"/>
          <w:szCs w:val="26"/>
        </w:rPr>
        <w:t xml:space="preserve"> </w:t>
      </w:r>
    </w:p>
    <w:p w14:paraId="62A05D23" w14:textId="77777777" w:rsidR="00190144" w:rsidRDefault="00190144" w:rsidP="003A2C6D">
      <w:pPr>
        <w:pStyle w:val="ListParagraph"/>
        <w:rPr>
          <w:sz w:val="26"/>
          <w:szCs w:val="26"/>
        </w:rPr>
      </w:pPr>
    </w:p>
    <w:p w14:paraId="39007BF6" w14:textId="0776CC73" w:rsidR="00190144" w:rsidRPr="00C80D3A" w:rsidRDefault="000000AB" w:rsidP="00425FF6">
      <w:pPr>
        <w:pStyle w:val="NoSpacing"/>
        <w:numPr>
          <w:ilvl w:val="0"/>
          <w:numId w:val="2"/>
        </w:numPr>
        <w:spacing w:line="360" w:lineRule="auto"/>
        <w:ind w:left="0" w:firstLine="720"/>
        <w:contextualSpacing/>
        <w:rPr>
          <w:rFonts w:ascii="Times New Roman" w:hAnsi="Times New Roman" w:cs="Times New Roman"/>
          <w:sz w:val="26"/>
          <w:szCs w:val="26"/>
        </w:rPr>
      </w:pPr>
      <w:r>
        <w:rPr>
          <w:rFonts w:ascii="Times New Roman" w:hAnsi="Times New Roman" w:cs="Times New Roman"/>
          <w:sz w:val="26"/>
          <w:szCs w:val="26"/>
        </w:rPr>
        <w:t xml:space="preserve">That this Order be </w:t>
      </w:r>
      <w:r w:rsidR="008A4811">
        <w:rPr>
          <w:rFonts w:ascii="Times New Roman" w:hAnsi="Times New Roman" w:cs="Times New Roman"/>
          <w:sz w:val="26"/>
          <w:szCs w:val="26"/>
        </w:rPr>
        <w:t>filed i</w:t>
      </w:r>
      <w:r>
        <w:rPr>
          <w:rFonts w:ascii="Times New Roman" w:hAnsi="Times New Roman" w:cs="Times New Roman"/>
          <w:sz w:val="26"/>
          <w:szCs w:val="26"/>
        </w:rPr>
        <w:t xml:space="preserve">n the record at </w:t>
      </w:r>
      <w:r w:rsidRPr="00C80D3A">
        <w:rPr>
          <w:rFonts w:ascii="Times New Roman" w:hAnsi="Times New Roman" w:cs="Times New Roman"/>
          <w:i/>
          <w:iCs/>
          <w:spacing w:val="15"/>
          <w:sz w:val="26"/>
          <w:szCs w:val="26"/>
        </w:rPr>
        <w:t>Energy Affordability for Low-Income Customers</w:t>
      </w:r>
      <w:r w:rsidRPr="00C80D3A">
        <w:rPr>
          <w:rFonts w:ascii="Times New Roman" w:hAnsi="Times New Roman" w:cs="Times New Roman"/>
          <w:sz w:val="26"/>
          <w:szCs w:val="26"/>
        </w:rPr>
        <w:t>, Docket No. M</w:t>
      </w:r>
      <w:r w:rsidRPr="00C80D3A">
        <w:rPr>
          <w:rFonts w:ascii="Times New Roman" w:hAnsi="Times New Roman" w:cs="Times New Roman"/>
          <w:sz w:val="26"/>
          <w:szCs w:val="26"/>
        </w:rPr>
        <w:noBreakHyphen/>
        <w:t>2017</w:t>
      </w:r>
      <w:r w:rsidRPr="00C80D3A">
        <w:rPr>
          <w:rFonts w:ascii="Times New Roman" w:hAnsi="Times New Roman" w:cs="Times New Roman"/>
          <w:sz w:val="26"/>
          <w:szCs w:val="26"/>
        </w:rPr>
        <w:noBreakHyphen/>
        <w:t xml:space="preserve">2587711, and </w:t>
      </w:r>
      <w:r w:rsidRPr="00C80D3A">
        <w:rPr>
          <w:rFonts w:ascii="Times New Roman" w:hAnsi="Times New Roman" w:cs="Times New Roman"/>
          <w:i/>
          <w:iCs/>
          <w:spacing w:val="15"/>
          <w:sz w:val="26"/>
          <w:szCs w:val="26"/>
        </w:rPr>
        <w:t>Review of Universal Service and Energy Conservation Programs</w:t>
      </w:r>
      <w:r w:rsidRPr="00C80D3A">
        <w:rPr>
          <w:rFonts w:ascii="Times New Roman" w:hAnsi="Times New Roman" w:cs="Times New Roman"/>
          <w:spacing w:val="15"/>
          <w:sz w:val="26"/>
          <w:szCs w:val="26"/>
        </w:rPr>
        <w:t xml:space="preserve">, Docket No. </w:t>
      </w:r>
      <w:r w:rsidRPr="00C80D3A">
        <w:rPr>
          <w:rFonts w:ascii="Times New Roman" w:hAnsi="Times New Roman" w:cs="Times New Roman"/>
          <w:sz w:val="26"/>
          <w:szCs w:val="26"/>
        </w:rPr>
        <w:t>M-2017-2596907,</w:t>
      </w:r>
      <w:r w:rsidR="008A4811">
        <w:rPr>
          <w:rFonts w:ascii="Times New Roman" w:hAnsi="Times New Roman" w:cs="Times New Roman"/>
          <w:sz w:val="26"/>
          <w:szCs w:val="26"/>
        </w:rPr>
        <w:t xml:space="preserve"> and that </w:t>
      </w:r>
      <w:r w:rsidR="00B954E0">
        <w:rPr>
          <w:rFonts w:ascii="Times New Roman" w:hAnsi="Times New Roman" w:cs="Times New Roman"/>
          <w:sz w:val="26"/>
          <w:szCs w:val="26"/>
        </w:rPr>
        <w:t>D</w:t>
      </w:r>
      <w:r w:rsidR="008A4811">
        <w:rPr>
          <w:rFonts w:ascii="Times New Roman" w:hAnsi="Times New Roman" w:cs="Times New Roman"/>
          <w:sz w:val="26"/>
          <w:szCs w:val="26"/>
        </w:rPr>
        <w:t>ocket</w:t>
      </w:r>
      <w:r w:rsidR="00B954E0">
        <w:rPr>
          <w:rFonts w:ascii="Times New Roman" w:hAnsi="Times New Roman" w:cs="Times New Roman"/>
          <w:sz w:val="26"/>
          <w:szCs w:val="26"/>
        </w:rPr>
        <w:t xml:space="preserve"> No. M-2017</w:t>
      </w:r>
      <w:r w:rsidR="0063639D">
        <w:rPr>
          <w:rFonts w:ascii="Times New Roman" w:hAnsi="Times New Roman" w:cs="Times New Roman"/>
          <w:sz w:val="26"/>
          <w:szCs w:val="26"/>
        </w:rPr>
        <w:t>-</w:t>
      </w:r>
      <w:r w:rsidR="00B954E0">
        <w:rPr>
          <w:rFonts w:ascii="Times New Roman" w:hAnsi="Times New Roman" w:cs="Times New Roman"/>
          <w:sz w:val="26"/>
          <w:szCs w:val="26"/>
        </w:rPr>
        <w:t>2587711</w:t>
      </w:r>
      <w:r w:rsidR="008A4811">
        <w:rPr>
          <w:rFonts w:ascii="Times New Roman" w:hAnsi="Times New Roman" w:cs="Times New Roman"/>
          <w:sz w:val="26"/>
          <w:szCs w:val="26"/>
        </w:rPr>
        <w:t xml:space="preserve"> be marked closed.</w:t>
      </w:r>
    </w:p>
    <w:p w14:paraId="77614742" w14:textId="77777777" w:rsidR="00506216" w:rsidRPr="00C80D3A" w:rsidRDefault="00506216" w:rsidP="00001FBF">
      <w:pPr>
        <w:spacing w:after="0" w:line="360" w:lineRule="auto"/>
        <w:contextualSpacing/>
        <w:rPr>
          <w:rFonts w:ascii="Times New Roman" w:eastAsia="Times New Roman" w:hAnsi="Times New Roman" w:cs="Times New Roman"/>
          <w:sz w:val="26"/>
          <w:szCs w:val="26"/>
        </w:rPr>
      </w:pPr>
    </w:p>
    <w:p w14:paraId="69F79F4B" w14:textId="77777777" w:rsidR="00506216" w:rsidRPr="005573DF" w:rsidRDefault="00506216" w:rsidP="006A59F2">
      <w:pPr>
        <w:pStyle w:val="ListParagraph"/>
        <w:keepNext/>
        <w:numPr>
          <w:ilvl w:val="0"/>
          <w:numId w:val="2"/>
        </w:numPr>
        <w:spacing w:line="360" w:lineRule="auto"/>
        <w:ind w:left="0" w:firstLine="720"/>
        <w:rPr>
          <w:sz w:val="26"/>
          <w:szCs w:val="26"/>
        </w:rPr>
      </w:pPr>
      <w:r w:rsidRPr="005573DF">
        <w:rPr>
          <w:sz w:val="26"/>
          <w:szCs w:val="26"/>
        </w:rPr>
        <w:t xml:space="preserve">That the contact person regarding policy and technical issues for this proceeding is Joseph Magee, Bureau of Consumer Services, </w:t>
      </w:r>
      <w:hyperlink r:id="rId16" w:history="1">
        <w:r w:rsidRPr="005573DF">
          <w:rPr>
            <w:rStyle w:val="Hyperlink"/>
            <w:sz w:val="26"/>
            <w:szCs w:val="26"/>
          </w:rPr>
          <w:t>jmagee@pa.gov</w:t>
        </w:r>
      </w:hyperlink>
      <w:r w:rsidRPr="005573DF">
        <w:rPr>
          <w:sz w:val="26"/>
          <w:szCs w:val="26"/>
        </w:rPr>
        <w:t xml:space="preserve">.  The contact person regarding legal issues for this proceeding is Assistant Counsel Louise Fink Smith, Law Bureau, </w:t>
      </w:r>
      <w:hyperlink r:id="rId17" w:history="1">
        <w:r w:rsidRPr="005573DF">
          <w:rPr>
            <w:color w:val="0000FF"/>
            <w:sz w:val="26"/>
            <w:szCs w:val="26"/>
            <w:u w:val="single"/>
          </w:rPr>
          <w:t>finksmith@pa.gov</w:t>
        </w:r>
      </w:hyperlink>
      <w:r w:rsidRPr="005573DF">
        <w:rPr>
          <w:sz w:val="26"/>
          <w:szCs w:val="26"/>
        </w:rPr>
        <w:t>.</w:t>
      </w:r>
    </w:p>
    <w:p w14:paraId="2B4CAB6C" w14:textId="77777777" w:rsidR="00506216" w:rsidRPr="005573DF" w:rsidRDefault="00506216" w:rsidP="00315DBC">
      <w:pPr>
        <w:keepNext/>
        <w:spacing w:after="0" w:line="360" w:lineRule="auto"/>
        <w:ind w:firstLine="720"/>
        <w:contextualSpacing/>
        <w:rPr>
          <w:rFonts w:ascii="Times New Roman" w:hAnsi="Times New Roman" w:cs="Times New Roman"/>
          <w:sz w:val="26"/>
          <w:szCs w:val="26"/>
        </w:rPr>
      </w:pPr>
    </w:p>
    <w:p w14:paraId="375926BA" w14:textId="77777777" w:rsidR="00506216" w:rsidRPr="005573DF" w:rsidRDefault="00506216" w:rsidP="00315DBC">
      <w:pPr>
        <w:keepNext/>
        <w:keepLines/>
        <w:spacing w:after="0" w:line="240" w:lineRule="auto"/>
        <w:ind w:left="2880" w:firstLine="720"/>
        <w:contextualSpacing/>
        <w:rPr>
          <w:rFonts w:ascii="Times New Roman" w:eastAsia="Times New Roman" w:hAnsi="Times New Roman" w:cs="Times New Roman"/>
          <w:b/>
          <w:sz w:val="26"/>
          <w:szCs w:val="26"/>
        </w:rPr>
      </w:pP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b/>
          <w:sz w:val="26"/>
          <w:szCs w:val="26"/>
        </w:rPr>
        <w:t>BY THE COMMISSION,</w:t>
      </w:r>
    </w:p>
    <w:p w14:paraId="722F74E6" w14:textId="77777777" w:rsidR="00506216" w:rsidRPr="005573DF" w:rsidRDefault="00506216" w:rsidP="00315DBC">
      <w:pPr>
        <w:keepNext/>
        <w:keepLines/>
        <w:spacing w:after="0" w:line="240" w:lineRule="auto"/>
        <w:contextualSpacing/>
        <w:rPr>
          <w:rFonts w:ascii="Times New Roman" w:hAnsi="Times New Roman" w:cs="Times New Roman"/>
          <w:sz w:val="26"/>
          <w:szCs w:val="26"/>
        </w:rPr>
      </w:pPr>
    </w:p>
    <w:p w14:paraId="21A498C3" w14:textId="41B6F2CE" w:rsidR="00506216" w:rsidRPr="005573DF" w:rsidRDefault="00A22560" w:rsidP="00A22560">
      <w:pPr>
        <w:keepNext/>
        <w:keepLines/>
        <w:spacing w:after="0" w:line="240" w:lineRule="auto"/>
        <w:ind w:left="3600" w:firstLine="720"/>
        <w:contextualSpacing/>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228D9F28" wp14:editId="28640915">
            <wp:extent cx="1728216" cy="658368"/>
            <wp:effectExtent l="0" t="0" r="5715" b="889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28216" cy="658368"/>
                    </a:xfrm>
                    <a:prstGeom prst="rect">
                      <a:avLst/>
                    </a:prstGeom>
                  </pic:spPr>
                </pic:pic>
              </a:graphicData>
            </a:graphic>
          </wp:inline>
        </w:drawing>
      </w:r>
    </w:p>
    <w:p w14:paraId="0BD16671" w14:textId="77777777" w:rsidR="00506216" w:rsidRPr="005573DF" w:rsidRDefault="00506216" w:rsidP="00315DBC">
      <w:pPr>
        <w:keepNext/>
        <w:keepLines/>
        <w:spacing w:after="0" w:line="240" w:lineRule="auto"/>
        <w:contextualSpacing/>
        <w:rPr>
          <w:rFonts w:ascii="Times New Roman" w:eastAsia="Times New Roman" w:hAnsi="Times New Roman" w:cs="Times New Roman"/>
          <w:sz w:val="26"/>
          <w:szCs w:val="26"/>
        </w:rPr>
      </w:pP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t>Rosemary Chiavetta</w:t>
      </w:r>
    </w:p>
    <w:p w14:paraId="7B53B82A" w14:textId="77777777" w:rsidR="00506216" w:rsidRPr="005573DF" w:rsidRDefault="00506216" w:rsidP="00315DBC">
      <w:pPr>
        <w:keepNext/>
        <w:keepLines/>
        <w:spacing w:after="0" w:line="240" w:lineRule="auto"/>
        <w:contextualSpacing/>
        <w:rPr>
          <w:rFonts w:ascii="Times New Roman" w:eastAsia="Times New Roman" w:hAnsi="Times New Roman" w:cs="Times New Roman"/>
          <w:sz w:val="26"/>
          <w:szCs w:val="26"/>
        </w:rPr>
      </w:pP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r>
      <w:r w:rsidRPr="005573DF">
        <w:rPr>
          <w:rFonts w:ascii="Times New Roman" w:eastAsia="Times New Roman" w:hAnsi="Times New Roman" w:cs="Times New Roman"/>
          <w:sz w:val="26"/>
          <w:szCs w:val="26"/>
        </w:rPr>
        <w:tab/>
        <w:t>Secretary</w:t>
      </w:r>
    </w:p>
    <w:p w14:paraId="55CD2F86" w14:textId="77777777" w:rsidR="00506216" w:rsidRPr="005573DF" w:rsidRDefault="00506216" w:rsidP="00315DBC">
      <w:pPr>
        <w:keepNext/>
        <w:keepLines/>
        <w:spacing w:after="0" w:line="360" w:lineRule="auto"/>
        <w:contextualSpacing/>
        <w:rPr>
          <w:rFonts w:ascii="Times New Roman" w:eastAsia="Times New Roman" w:hAnsi="Times New Roman" w:cs="Times New Roman"/>
          <w:sz w:val="26"/>
          <w:szCs w:val="26"/>
        </w:rPr>
      </w:pPr>
    </w:p>
    <w:p w14:paraId="3BA502B8" w14:textId="77777777" w:rsidR="00506216" w:rsidRPr="005573DF" w:rsidRDefault="00506216" w:rsidP="00315DBC">
      <w:pPr>
        <w:keepNext/>
        <w:keepLines/>
        <w:spacing w:after="0" w:line="360" w:lineRule="auto"/>
        <w:contextualSpacing/>
        <w:rPr>
          <w:rFonts w:ascii="Times New Roman" w:eastAsia="Times New Roman" w:hAnsi="Times New Roman" w:cs="Times New Roman"/>
          <w:sz w:val="26"/>
          <w:szCs w:val="26"/>
        </w:rPr>
      </w:pPr>
      <w:r w:rsidRPr="005573DF">
        <w:rPr>
          <w:rFonts w:ascii="Times New Roman" w:eastAsia="Times New Roman" w:hAnsi="Times New Roman" w:cs="Times New Roman"/>
          <w:sz w:val="26"/>
          <w:szCs w:val="26"/>
        </w:rPr>
        <w:t>(SEAL)</w:t>
      </w:r>
    </w:p>
    <w:p w14:paraId="44661AEB" w14:textId="2C83373B" w:rsidR="00506216" w:rsidRPr="005573DF" w:rsidRDefault="00506216" w:rsidP="00315DBC">
      <w:pPr>
        <w:keepNext/>
        <w:keepLines/>
        <w:spacing w:after="0" w:line="360" w:lineRule="auto"/>
        <w:contextualSpacing/>
        <w:rPr>
          <w:rFonts w:ascii="Times New Roman" w:eastAsia="Times New Roman" w:hAnsi="Times New Roman" w:cs="Times New Roman"/>
          <w:sz w:val="26"/>
          <w:szCs w:val="26"/>
        </w:rPr>
      </w:pPr>
      <w:r w:rsidRPr="005573DF">
        <w:rPr>
          <w:rFonts w:ascii="Times New Roman" w:eastAsia="Times New Roman" w:hAnsi="Times New Roman" w:cs="Times New Roman"/>
          <w:sz w:val="26"/>
          <w:szCs w:val="26"/>
        </w:rPr>
        <w:t xml:space="preserve">ORDER ADOPTED:  </w:t>
      </w:r>
      <w:r w:rsidR="00E00131" w:rsidRPr="005573DF">
        <w:rPr>
          <w:rFonts w:ascii="Times New Roman" w:eastAsia="Times New Roman" w:hAnsi="Times New Roman" w:cs="Times New Roman"/>
          <w:sz w:val="26"/>
          <w:szCs w:val="26"/>
        </w:rPr>
        <w:t xml:space="preserve">September </w:t>
      </w:r>
      <w:r w:rsidR="00E462DB" w:rsidRPr="005573DF">
        <w:rPr>
          <w:rFonts w:ascii="Times New Roman" w:eastAsia="Times New Roman" w:hAnsi="Times New Roman" w:cs="Times New Roman"/>
          <w:sz w:val="26"/>
          <w:szCs w:val="26"/>
        </w:rPr>
        <w:t xml:space="preserve">19, </w:t>
      </w:r>
      <w:r w:rsidRPr="005573DF">
        <w:rPr>
          <w:rFonts w:ascii="Times New Roman" w:eastAsia="Times New Roman" w:hAnsi="Times New Roman" w:cs="Times New Roman"/>
          <w:sz w:val="26"/>
          <w:szCs w:val="26"/>
        </w:rPr>
        <w:t>2019</w:t>
      </w:r>
    </w:p>
    <w:p w14:paraId="73967128" w14:textId="17FE4102" w:rsidR="00135026" w:rsidRPr="00A22560" w:rsidRDefault="00506216" w:rsidP="00A22560">
      <w:pPr>
        <w:keepNext/>
        <w:keepLines/>
        <w:spacing w:after="0" w:line="360" w:lineRule="auto"/>
        <w:contextualSpacing/>
        <w:rPr>
          <w:rFonts w:ascii="Times New Roman" w:eastAsia="Times New Roman" w:hAnsi="Times New Roman" w:cs="Times New Roman"/>
          <w:sz w:val="26"/>
          <w:szCs w:val="26"/>
        </w:rPr>
        <w:sectPr w:rsidR="00135026" w:rsidRPr="00A22560" w:rsidSect="00A668EF">
          <w:headerReference w:type="even" r:id="rId19"/>
          <w:footerReference w:type="even" r:id="rId20"/>
          <w:footerReference w:type="default" r:id="rId21"/>
          <w:footerReference w:type="first" r:id="rId22"/>
          <w:pgSz w:w="12240" w:h="15840"/>
          <w:pgMar w:top="1440" w:right="1440" w:bottom="1440" w:left="1440" w:header="720" w:footer="720" w:gutter="0"/>
          <w:cols w:space="720"/>
          <w:titlePg/>
          <w:docGrid w:linePitch="299"/>
        </w:sectPr>
      </w:pPr>
      <w:r w:rsidRPr="005573DF">
        <w:rPr>
          <w:rFonts w:ascii="Times New Roman" w:eastAsia="Times New Roman" w:hAnsi="Times New Roman" w:cs="Times New Roman"/>
          <w:sz w:val="26"/>
          <w:szCs w:val="26"/>
        </w:rPr>
        <w:t xml:space="preserve">ORDER ENTERED:  </w:t>
      </w:r>
      <w:r w:rsidR="00A22560">
        <w:rPr>
          <w:rFonts w:ascii="Times New Roman" w:eastAsia="Times New Roman" w:hAnsi="Times New Roman" w:cs="Times New Roman"/>
          <w:sz w:val="26"/>
          <w:szCs w:val="26"/>
        </w:rPr>
        <w:t xml:space="preserve"> November 5, 2019</w:t>
      </w:r>
    </w:p>
    <w:p w14:paraId="1B4A3F0F" w14:textId="3F8F531B" w:rsidR="00016C8F" w:rsidRDefault="00016C8F">
      <w:pPr>
        <w:rPr>
          <w:rFonts w:ascii="Times New Roman" w:eastAsia="Times New Roman" w:hAnsi="Times New Roman" w:cs="Times New Roman"/>
          <w:sz w:val="26"/>
          <w:szCs w:val="26"/>
        </w:rPr>
      </w:pPr>
    </w:p>
    <w:p w14:paraId="20318E2E" w14:textId="77777777" w:rsidR="00506216" w:rsidRDefault="00506216" w:rsidP="00315DBC">
      <w:pPr>
        <w:pStyle w:val="ListParagraph"/>
        <w:tabs>
          <w:tab w:val="left" w:pos="270"/>
        </w:tabs>
        <w:spacing w:line="360" w:lineRule="auto"/>
        <w:ind w:left="0"/>
        <w:rPr>
          <w:sz w:val="26"/>
          <w:szCs w:val="26"/>
        </w:rPr>
      </w:pPr>
    </w:p>
    <w:p w14:paraId="0A61F1F4" w14:textId="77777777" w:rsidR="00506216" w:rsidRDefault="00506216" w:rsidP="00315DBC">
      <w:pPr>
        <w:pStyle w:val="ListParagraph"/>
        <w:tabs>
          <w:tab w:val="left" w:pos="270"/>
        </w:tabs>
        <w:spacing w:line="360" w:lineRule="auto"/>
        <w:ind w:left="0"/>
        <w:rPr>
          <w:sz w:val="26"/>
          <w:szCs w:val="26"/>
        </w:rPr>
      </w:pPr>
    </w:p>
    <w:p w14:paraId="6A8BC666" w14:textId="77777777" w:rsidR="00506216" w:rsidRDefault="00506216" w:rsidP="00315DBC">
      <w:pPr>
        <w:pStyle w:val="ListParagraph"/>
        <w:tabs>
          <w:tab w:val="left" w:pos="270"/>
        </w:tabs>
        <w:spacing w:line="360" w:lineRule="auto"/>
        <w:ind w:left="0"/>
        <w:rPr>
          <w:sz w:val="26"/>
          <w:szCs w:val="26"/>
        </w:rPr>
      </w:pPr>
    </w:p>
    <w:p w14:paraId="0F473011" w14:textId="77777777" w:rsidR="00506216" w:rsidRDefault="00506216" w:rsidP="00315DBC">
      <w:pPr>
        <w:pStyle w:val="ListParagraph"/>
        <w:tabs>
          <w:tab w:val="left" w:pos="270"/>
        </w:tabs>
        <w:spacing w:line="360" w:lineRule="auto"/>
        <w:ind w:left="0"/>
        <w:rPr>
          <w:sz w:val="26"/>
          <w:szCs w:val="26"/>
        </w:rPr>
      </w:pPr>
    </w:p>
    <w:p w14:paraId="390BBD10" w14:textId="77777777" w:rsidR="00506216" w:rsidRDefault="00506216" w:rsidP="00315DBC">
      <w:pPr>
        <w:pStyle w:val="ListParagraph"/>
        <w:tabs>
          <w:tab w:val="left" w:pos="270"/>
        </w:tabs>
        <w:spacing w:line="360" w:lineRule="auto"/>
        <w:ind w:left="0"/>
        <w:rPr>
          <w:sz w:val="26"/>
          <w:szCs w:val="26"/>
        </w:rPr>
      </w:pPr>
    </w:p>
    <w:p w14:paraId="1260F432" w14:textId="77777777" w:rsidR="00506216" w:rsidRDefault="00506216" w:rsidP="00315DBC">
      <w:pPr>
        <w:pStyle w:val="ListParagraph"/>
        <w:tabs>
          <w:tab w:val="left" w:pos="270"/>
        </w:tabs>
        <w:spacing w:line="360" w:lineRule="auto"/>
        <w:ind w:left="0"/>
        <w:rPr>
          <w:sz w:val="26"/>
          <w:szCs w:val="26"/>
        </w:rPr>
      </w:pPr>
    </w:p>
    <w:p w14:paraId="2C84CC6D" w14:textId="77777777" w:rsidR="00506216" w:rsidRDefault="00506216" w:rsidP="00315DBC">
      <w:pPr>
        <w:pStyle w:val="ListParagraph"/>
        <w:tabs>
          <w:tab w:val="left" w:pos="270"/>
        </w:tabs>
        <w:spacing w:line="360" w:lineRule="auto"/>
        <w:ind w:left="0"/>
        <w:rPr>
          <w:sz w:val="26"/>
          <w:szCs w:val="26"/>
        </w:rPr>
      </w:pPr>
    </w:p>
    <w:p w14:paraId="7DA33627" w14:textId="77777777" w:rsidR="00506216" w:rsidRDefault="00506216" w:rsidP="00315DBC">
      <w:pPr>
        <w:pStyle w:val="ListParagraph"/>
        <w:tabs>
          <w:tab w:val="left" w:pos="270"/>
        </w:tabs>
        <w:spacing w:line="360" w:lineRule="auto"/>
        <w:ind w:left="0"/>
        <w:rPr>
          <w:sz w:val="26"/>
          <w:szCs w:val="26"/>
        </w:rPr>
      </w:pPr>
    </w:p>
    <w:p w14:paraId="79617E16" w14:textId="77777777" w:rsidR="00506216" w:rsidRDefault="00506216" w:rsidP="00315DBC">
      <w:pPr>
        <w:pStyle w:val="ListParagraph"/>
        <w:tabs>
          <w:tab w:val="left" w:pos="270"/>
        </w:tabs>
        <w:spacing w:line="360" w:lineRule="auto"/>
        <w:ind w:left="0"/>
        <w:rPr>
          <w:sz w:val="26"/>
          <w:szCs w:val="26"/>
        </w:rPr>
      </w:pPr>
    </w:p>
    <w:p w14:paraId="2C2EFF04" w14:textId="49C8E92A" w:rsidR="00506216" w:rsidRDefault="00B769AE" w:rsidP="00315DBC">
      <w:pPr>
        <w:pStyle w:val="ListParagraph"/>
        <w:tabs>
          <w:tab w:val="left" w:pos="270"/>
        </w:tabs>
        <w:spacing w:line="360" w:lineRule="auto"/>
        <w:ind w:left="0"/>
        <w:jc w:val="center"/>
        <w:rPr>
          <w:sz w:val="96"/>
          <w:szCs w:val="96"/>
        </w:rPr>
      </w:pPr>
      <w:r>
        <w:rPr>
          <w:sz w:val="96"/>
          <w:szCs w:val="96"/>
        </w:rPr>
        <w:t>Appendix</w:t>
      </w:r>
      <w:r w:rsidR="00506216" w:rsidRPr="00AD7E41">
        <w:rPr>
          <w:sz w:val="96"/>
          <w:szCs w:val="96"/>
        </w:rPr>
        <w:t xml:space="preserve"> A</w:t>
      </w:r>
    </w:p>
    <w:p w14:paraId="22869D1A" w14:textId="0B6387F4" w:rsidR="00B35E14" w:rsidRDefault="002C7991" w:rsidP="00315DBC">
      <w:pPr>
        <w:pStyle w:val="ListParagraph"/>
        <w:tabs>
          <w:tab w:val="left" w:pos="270"/>
        </w:tabs>
        <w:spacing w:line="360" w:lineRule="auto"/>
        <w:ind w:left="0"/>
        <w:jc w:val="center"/>
        <w:rPr>
          <w:sz w:val="96"/>
          <w:szCs w:val="96"/>
        </w:rPr>
      </w:pPr>
      <w:r>
        <w:rPr>
          <w:sz w:val="96"/>
          <w:szCs w:val="96"/>
        </w:rPr>
        <w:t>Timeline</w:t>
      </w:r>
    </w:p>
    <w:p w14:paraId="5CC7E7AF" w14:textId="77777777" w:rsidR="00A1677A" w:rsidRDefault="00506216" w:rsidP="00315DBC">
      <w:pPr>
        <w:spacing w:after="0"/>
        <w:contextualSpacing/>
        <w:rPr>
          <w:rFonts w:ascii="Times New Roman" w:hAnsi="Times New Roman"/>
          <w:sz w:val="96"/>
          <w:szCs w:val="96"/>
        </w:rPr>
        <w:sectPr w:rsidR="00A1677A" w:rsidSect="00A1677A">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titlePg/>
          <w:docGrid w:linePitch="299"/>
        </w:sectPr>
      </w:pPr>
      <w:r>
        <w:rPr>
          <w:rFonts w:ascii="Times New Roman" w:hAnsi="Times New Roman"/>
          <w:sz w:val="96"/>
          <w:szCs w:val="96"/>
        </w:rPr>
        <w:br w:type="page"/>
      </w:r>
    </w:p>
    <w:p w14:paraId="0E1FBBFF" w14:textId="48970280" w:rsidR="00506216" w:rsidRDefault="00506216" w:rsidP="008A554A">
      <w:pPr>
        <w:spacing w:after="0"/>
        <w:contextualSpacing/>
        <w:jc w:val="center"/>
        <w:rPr>
          <w:rFonts w:ascii="Times New Roman" w:hAnsi="Times New Roman"/>
          <w:b/>
          <w:bCs/>
          <w:sz w:val="26"/>
          <w:szCs w:val="26"/>
        </w:rPr>
      </w:pPr>
      <w:r w:rsidRPr="008E2907">
        <w:rPr>
          <w:rFonts w:ascii="Times New Roman" w:hAnsi="Times New Roman"/>
          <w:b/>
          <w:bCs/>
          <w:sz w:val="26"/>
          <w:szCs w:val="26"/>
        </w:rPr>
        <w:t>Universal Service Review and Energy Affordability Proceedings Timeline</w:t>
      </w:r>
    </w:p>
    <w:p w14:paraId="0ED57052" w14:textId="77777777" w:rsidR="005F5405" w:rsidRPr="005F5405" w:rsidRDefault="005F5405" w:rsidP="005F5405">
      <w:pPr>
        <w:pStyle w:val="ListParagraph"/>
        <w:tabs>
          <w:tab w:val="left" w:pos="270"/>
        </w:tabs>
        <w:spacing w:line="360" w:lineRule="auto"/>
        <w:ind w:left="0"/>
        <w:jc w:val="center"/>
        <w:rPr>
          <w:sz w:val="26"/>
          <w:szCs w:val="28"/>
        </w:rPr>
      </w:pPr>
      <w:r w:rsidRPr="005F5405">
        <w:rPr>
          <w:sz w:val="26"/>
          <w:szCs w:val="28"/>
        </w:rPr>
        <w:t>In M-2017-2587711 &amp; M-2017-2596907</w:t>
      </w:r>
    </w:p>
    <w:p w14:paraId="727BDC8E" w14:textId="27652CD7" w:rsidR="00506216" w:rsidRPr="008E2907" w:rsidRDefault="00506216" w:rsidP="00315DBC">
      <w:pPr>
        <w:spacing w:after="0"/>
        <w:contextualSpacing/>
        <w:jc w:val="center"/>
        <w:rPr>
          <w:rFonts w:ascii="Times New Roman" w:hAnsi="Times New Roman"/>
          <w:sz w:val="26"/>
          <w:szCs w:val="26"/>
        </w:rPr>
      </w:pPr>
      <w:r w:rsidRPr="008E2907">
        <w:rPr>
          <w:rFonts w:ascii="Times New Roman" w:hAnsi="Times New Roman"/>
          <w:sz w:val="26"/>
          <w:szCs w:val="26"/>
        </w:rPr>
        <w:t xml:space="preserve">(5/2017 to </w:t>
      </w:r>
      <w:r w:rsidR="0093252B">
        <w:rPr>
          <w:rFonts w:ascii="Times New Roman" w:hAnsi="Times New Roman"/>
          <w:sz w:val="26"/>
          <w:szCs w:val="26"/>
        </w:rPr>
        <w:t>5</w:t>
      </w:r>
      <w:r w:rsidRPr="008E2907">
        <w:rPr>
          <w:rFonts w:ascii="Times New Roman" w:hAnsi="Times New Roman"/>
          <w:sz w:val="26"/>
          <w:szCs w:val="26"/>
        </w:rPr>
        <w:t>/2019)</w:t>
      </w:r>
    </w:p>
    <w:p w14:paraId="14C93943" w14:textId="77777777" w:rsidR="00506216" w:rsidRPr="008E2907" w:rsidRDefault="00506216" w:rsidP="00315DBC">
      <w:pPr>
        <w:spacing w:after="0"/>
        <w:contextualSpacing/>
        <w:rPr>
          <w:rFonts w:ascii="Times New Roman" w:hAnsi="Times New Roman"/>
          <w:sz w:val="26"/>
          <w:szCs w:val="26"/>
        </w:rPr>
      </w:pPr>
    </w:p>
    <w:p w14:paraId="06A6749E" w14:textId="77777777" w:rsidR="00506216" w:rsidRPr="008E2907" w:rsidRDefault="00506216" w:rsidP="00315DBC">
      <w:pPr>
        <w:spacing w:after="0"/>
        <w:contextualSpacing/>
        <w:rPr>
          <w:rFonts w:ascii="Times New Roman" w:hAnsi="Times New Roman"/>
          <w:b/>
          <w:bCs/>
          <w:sz w:val="26"/>
          <w:szCs w:val="26"/>
        </w:rPr>
      </w:pPr>
      <w:r w:rsidRPr="008E2907">
        <w:rPr>
          <w:rFonts w:ascii="Times New Roman" w:hAnsi="Times New Roman"/>
          <w:b/>
          <w:bCs/>
          <w:sz w:val="26"/>
          <w:szCs w:val="26"/>
        </w:rPr>
        <w:t xml:space="preserve">5/5/17 </w:t>
      </w:r>
      <w:r w:rsidRPr="008E2907">
        <w:rPr>
          <w:rFonts w:ascii="Times New Roman" w:hAnsi="Times New Roman"/>
          <w:sz w:val="26"/>
          <w:szCs w:val="26"/>
        </w:rPr>
        <w:t xml:space="preserve">– Opinion and Order entered entitled </w:t>
      </w:r>
      <w:r w:rsidRPr="008E2907">
        <w:rPr>
          <w:rFonts w:ascii="Times New Roman" w:hAnsi="Times New Roman"/>
          <w:i/>
          <w:iCs/>
          <w:sz w:val="26"/>
          <w:szCs w:val="26"/>
        </w:rPr>
        <w:t>Energy Affordability for Low Income Customers</w:t>
      </w:r>
      <w:r w:rsidRPr="008E2907">
        <w:rPr>
          <w:rFonts w:ascii="Times New Roman" w:hAnsi="Times New Roman"/>
          <w:sz w:val="26"/>
          <w:szCs w:val="26"/>
        </w:rPr>
        <w:t xml:space="preserve"> (Docket No. M-2017-2587711) initiating a study regarding home energy burdens in Pennsylvania</w:t>
      </w:r>
    </w:p>
    <w:p w14:paraId="3AD48A7F" w14:textId="77777777" w:rsidR="00506216" w:rsidRPr="008E2907" w:rsidRDefault="00506216" w:rsidP="00315DBC">
      <w:pPr>
        <w:spacing w:after="0"/>
        <w:contextualSpacing/>
        <w:rPr>
          <w:rFonts w:ascii="Times New Roman" w:hAnsi="Times New Roman"/>
          <w:b/>
          <w:bCs/>
          <w:sz w:val="26"/>
          <w:szCs w:val="26"/>
        </w:rPr>
      </w:pPr>
    </w:p>
    <w:p w14:paraId="06D1ED5A" w14:textId="77777777"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 xml:space="preserve">5/10/17 </w:t>
      </w:r>
      <w:r w:rsidRPr="008E2907">
        <w:rPr>
          <w:rFonts w:ascii="Times New Roman" w:hAnsi="Times New Roman"/>
          <w:sz w:val="26"/>
          <w:szCs w:val="26"/>
        </w:rPr>
        <w:t xml:space="preserve">– Opinion and Order entered entitled </w:t>
      </w:r>
      <w:r w:rsidRPr="008E2907">
        <w:rPr>
          <w:rFonts w:ascii="Times New Roman" w:hAnsi="Times New Roman"/>
          <w:i/>
          <w:iCs/>
          <w:sz w:val="26"/>
          <w:szCs w:val="26"/>
        </w:rPr>
        <w:t>Review of Universal Service and Energy Conservation Programs</w:t>
      </w:r>
      <w:r w:rsidRPr="008E2907">
        <w:rPr>
          <w:rFonts w:ascii="Times New Roman" w:hAnsi="Times New Roman"/>
          <w:sz w:val="26"/>
          <w:szCs w:val="26"/>
        </w:rPr>
        <w:t xml:space="preserve"> (Docket No. M-2017-2596907) initiating a comprehensive review of the entire Universal Service and Energy Conservation model </w:t>
      </w:r>
    </w:p>
    <w:p w14:paraId="3E8B468D" w14:textId="77777777" w:rsidR="00506216" w:rsidRPr="008E2907" w:rsidRDefault="00506216" w:rsidP="00315DBC">
      <w:pPr>
        <w:spacing w:after="0"/>
        <w:contextualSpacing/>
        <w:rPr>
          <w:rFonts w:ascii="Times New Roman" w:hAnsi="Times New Roman"/>
          <w:sz w:val="26"/>
          <w:szCs w:val="26"/>
        </w:rPr>
      </w:pPr>
    </w:p>
    <w:p w14:paraId="001E5330" w14:textId="77777777" w:rsidR="00506216" w:rsidRPr="008E2907" w:rsidRDefault="00506216" w:rsidP="00315DBC">
      <w:pPr>
        <w:spacing w:after="0"/>
        <w:contextualSpacing/>
        <w:rPr>
          <w:rFonts w:ascii="Times New Roman" w:hAnsi="Times New Roman"/>
          <w:b/>
          <w:bCs/>
          <w:sz w:val="26"/>
          <w:szCs w:val="26"/>
        </w:rPr>
      </w:pPr>
      <w:r w:rsidRPr="008E2907">
        <w:rPr>
          <w:rFonts w:ascii="Times New Roman" w:hAnsi="Times New Roman"/>
          <w:b/>
          <w:bCs/>
          <w:sz w:val="26"/>
          <w:szCs w:val="26"/>
        </w:rPr>
        <w:t xml:space="preserve">7/14/17 </w:t>
      </w:r>
      <w:r w:rsidRPr="008E2907">
        <w:rPr>
          <w:rFonts w:ascii="Times New Roman" w:hAnsi="Times New Roman"/>
          <w:sz w:val="26"/>
          <w:szCs w:val="26"/>
        </w:rPr>
        <w:t>– Law Bureau staff report issued in compliance with the May 10, 2017 Order (with assistance from BCS)</w:t>
      </w:r>
      <w:r w:rsidRPr="008E2907">
        <w:rPr>
          <w:rFonts w:ascii="Times New Roman" w:hAnsi="Times New Roman"/>
          <w:b/>
          <w:bCs/>
          <w:sz w:val="26"/>
          <w:szCs w:val="26"/>
        </w:rPr>
        <w:t xml:space="preserve"> </w:t>
      </w:r>
      <w:r w:rsidRPr="008E2907">
        <w:rPr>
          <w:rFonts w:ascii="Times New Roman" w:hAnsi="Times New Roman"/>
          <w:sz w:val="26"/>
          <w:szCs w:val="26"/>
        </w:rPr>
        <w:t>discussing the history of universal service programs and the processes required to initiate changes</w:t>
      </w:r>
      <w:r w:rsidRPr="008E2907">
        <w:rPr>
          <w:rFonts w:ascii="Times New Roman" w:hAnsi="Times New Roman"/>
          <w:b/>
          <w:bCs/>
          <w:sz w:val="26"/>
          <w:szCs w:val="26"/>
        </w:rPr>
        <w:t xml:space="preserve"> </w:t>
      </w:r>
    </w:p>
    <w:p w14:paraId="266A0240" w14:textId="77777777" w:rsidR="00506216" w:rsidRPr="008E2907" w:rsidRDefault="00506216" w:rsidP="00315DBC">
      <w:pPr>
        <w:spacing w:after="0"/>
        <w:contextualSpacing/>
        <w:rPr>
          <w:rFonts w:ascii="Times New Roman" w:hAnsi="Times New Roman"/>
          <w:b/>
          <w:bCs/>
          <w:sz w:val="26"/>
          <w:szCs w:val="26"/>
        </w:rPr>
      </w:pPr>
    </w:p>
    <w:p w14:paraId="4BE5125D" w14:textId="77777777" w:rsidR="00506216" w:rsidRPr="008E2907" w:rsidRDefault="00506216" w:rsidP="00315DBC">
      <w:pPr>
        <w:spacing w:after="0"/>
        <w:contextualSpacing/>
        <w:rPr>
          <w:rFonts w:ascii="Times New Roman" w:hAnsi="Times New Roman"/>
          <w:sz w:val="26"/>
          <w:szCs w:val="26"/>
        </w:rPr>
      </w:pPr>
      <w:bookmarkStart w:id="40" w:name="_Hlk14161302"/>
      <w:r w:rsidRPr="008E2907">
        <w:rPr>
          <w:rFonts w:ascii="Times New Roman" w:hAnsi="Times New Roman"/>
          <w:b/>
          <w:bCs/>
          <w:sz w:val="26"/>
          <w:szCs w:val="26"/>
        </w:rPr>
        <w:t xml:space="preserve">8/8/17 </w:t>
      </w:r>
      <w:r w:rsidRPr="008E2907">
        <w:rPr>
          <w:rFonts w:ascii="Times New Roman" w:hAnsi="Times New Roman"/>
          <w:sz w:val="26"/>
          <w:szCs w:val="26"/>
        </w:rPr>
        <w:t xml:space="preserve">– Stakeholder comment period closed for </w:t>
      </w:r>
      <w:r w:rsidRPr="008E2907">
        <w:rPr>
          <w:rFonts w:ascii="Times New Roman" w:hAnsi="Times New Roman"/>
          <w:i/>
          <w:iCs/>
          <w:sz w:val="26"/>
          <w:szCs w:val="26"/>
        </w:rPr>
        <w:t>Review of Universal Service and Energy Conservation Programs</w:t>
      </w:r>
      <w:r w:rsidRPr="008E2907">
        <w:rPr>
          <w:rFonts w:ascii="Times New Roman" w:hAnsi="Times New Roman"/>
          <w:sz w:val="26"/>
          <w:szCs w:val="26"/>
        </w:rPr>
        <w:t xml:space="preserve"> (Docket No. M-2017-2596907)</w:t>
      </w:r>
    </w:p>
    <w:p w14:paraId="2DFE5C18" w14:textId="77777777" w:rsidR="00506216" w:rsidRPr="008E2907" w:rsidRDefault="00506216" w:rsidP="00315DBC">
      <w:pPr>
        <w:spacing w:after="0"/>
        <w:contextualSpacing/>
        <w:rPr>
          <w:rFonts w:ascii="Times New Roman" w:hAnsi="Times New Roman"/>
          <w:sz w:val="26"/>
          <w:szCs w:val="26"/>
        </w:rPr>
      </w:pPr>
    </w:p>
    <w:bookmarkEnd w:id="40"/>
    <w:p w14:paraId="121FC430" w14:textId="77777777"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 xml:space="preserve">9/13/17-9/14/17 </w:t>
      </w:r>
      <w:r w:rsidRPr="008E2907">
        <w:rPr>
          <w:rFonts w:ascii="Times New Roman" w:hAnsi="Times New Roman"/>
          <w:sz w:val="26"/>
          <w:szCs w:val="26"/>
        </w:rPr>
        <w:t>– BCS held stakeholder meetings to gather feedback on previously submitted comments/priorities/concerns/suggested changes pertaining to the universal service programs</w:t>
      </w:r>
    </w:p>
    <w:p w14:paraId="67B61324" w14:textId="77777777" w:rsidR="00506216" w:rsidRPr="008E2907" w:rsidRDefault="00506216" w:rsidP="00315DBC">
      <w:pPr>
        <w:spacing w:after="0"/>
        <w:contextualSpacing/>
        <w:rPr>
          <w:rFonts w:ascii="Times New Roman" w:hAnsi="Times New Roman"/>
          <w:sz w:val="26"/>
          <w:szCs w:val="26"/>
        </w:rPr>
      </w:pPr>
    </w:p>
    <w:p w14:paraId="4F0944A3" w14:textId="77777777"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 xml:space="preserve">10/16/17 </w:t>
      </w:r>
      <w:r w:rsidRPr="008E2907">
        <w:rPr>
          <w:rFonts w:ascii="Times New Roman" w:hAnsi="Times New Roman"/>
          <w:sz w:val="26"/>
          <w:szCs w:val="26"/>
        </w:rPr>
        <w:t>– Stakeholder reply comment period closed for Docket No. M-2017-2596907</w:t>
      </w:r>
    </w:p>
    <w:p w14:paraId="319B0505" w14:textId="77777777" w:rsidR="00506216" w:rsidRPr="008E2907" w:rsidRDefault="00506216" w:rsidP="00315DBC">
      <w:pPr>
        <w:spacing w:after="0"/>
        <w:contextualSpacing/>
        <w:rPr>
          <w:rFonts w:ascii="Times New Roman" w:hAnsi="Times New Roman"/>
          <w:sz w:val="26"/>
          <w:szCs w:val="26"/>
        </w:rPr>
      </w:pPr>
    </w:p>
    <w:p w14:paraId="231C688F" w14:textId="0BD82338"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10/16/17</w:t>
      </w:r>
      <w:r w:rsidRPr="008E2907">
        <w:rPr>
          <w:rFonts w:ascii="Times New Roman" w:hAnsi="Times New Roman"/>
          <w:sz w:val="26"/>
          <w:szCs w:val="26"/>
        </w:rPr>
        <w:t xml:space="preserve"> – Sec</w:t>
      </w:r>
      <w:r w:rsidR="00CB0A9D">
        <w:rPr>
          <w:rFonts w:ascii="Times New Roman" w:hAnsi="Times New Roman"/>
          <w:sz w:val="26"/>
          <w:szCs w:val="26"/>
        </w:rPr>
        <w:t>retary</w:t>
      </w:r>
      <w:r w:rsidRPr="008E2907">
        <w:rPr>
          <w:rFonts w:ascii="Times New Roman" w:hAnsi="Times New Roman"/>
          <w:sz w:val="26"/>
          <w:szCs w:val="26"/>
        </w:rPr>
        <w:t xml:space="preserve"> Letter issued notifying the major jurisdictional energy distribution utilities of the intent to conduct an energy affordability study and requesting data from 2012-2016</w:t>
      </w:r>
    </w:p>
    <w:p w14:paraId="13E40454" w14:textId="77777777" w:rsidR="00506216" w:rsidRPr="008E2907" w:rsidRDefault="00506216" w:rsidP="00315DBC">
      <w:pPr>
        <w:spacing w:after="0"/>
        <w:contextualSpacing/>
        <w:rPr>
          <w:rFonts w:ascii="Times New Roman" w:hAnsi="Times New Roman"/>
          <w:sz w:val="26"/>
          <w:szCs w:val="26"/>
        </w:rPr>
      </w:pPr>
    </w:p>
    <w:p w14:paraId="2D86BDD8" w14:textId="130E2759"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 xml:space="preserve">10/31/17 </w:t>
      </w:r>
      <w:r w:rsidRPr="008E2907">
        <w:rPr>
          <w:rFonts w:ascii="Times New Roman" w:hAnsi="Times New Roman"/>
          <w:sz w:val="26"/>
          <w:szCs w:val="26"/>
        </w:rPr>
        <w:t>– Sec</w:t>
      </w:r>
      <w:r w:rsidR="00CB0A9D">
        <w:rPr>
          <w:rFonts w:ascii="Times New Roman" w:hAnsi="Times New Roman"/>
          <w:sz w:val="26"/>
          <w:szCs w:val="26"/>
        </w:rPr>
        <w:t>retary</w:t>
      </w:r>
      <w:r w:rsidRPr="008E2907">
        <w:rPr>
          <w:rFonts w:ascii="Times New Roman" w:hAnsi="Times New Roman"/>
          <w:sz w:val="26"/>
          <w:szCs w:val="26"/>
        </w:rPr>
        <w:t xml:space="preserve"> Letter issued granting an extension for providing requested energy affordability data from 11/17/17 to 12/1/17</w:t>
      </w:r>
    </w:p>
    <w:p w14:paraId="252DCB35" w14:textId="77777777" w:rsidR="00506216" w:rsidRPr="008E2907" w:rsidRDefault="00506216" w:rsidP="00315DBC">
      <w:pPr>
        <w:spacing w:after="0"/>
        <w:contextualSpacing/>
        <w:rPr>
          <w:rFonts w:ascii="Times New Roman" w:hAnsi="Times New Roman"/>
          <w:sz w:val="26"/>
          <w:szCs w:val="26"/>
        </w:rPr>
      </w:pPr>
    </w:p>
    <w:p w14:paraId="68D96B85" w14:textId="71712FB7"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 xml:space="preserve">12/1/17 </w:t>
      </w:r>
      <w:r w:rsidRPr="008E2907">
        <w:rPr>
          <w:rFonts w:ascii="Times New Roman" w:hAnsi="Times New Roman"/>
          <w:sz w:val="26"/>
          <w:szCs w:val="26"/>
        </w:rPr>
        <w:t>– Sec</w:t>
      </w:r>
      <w:r w:rsidR="00CB0A9D">
        <w:rPr>
          <w:rFonts w:ascii="Times New Roman" w:hAnsi="Times New Roman"/>
          <w:sz w:val="26"/>
          <w:szCs w:val="26"/>
        </w:rPr>
        <w:t>retary</w:t>
      </w:r>
      <w:r w:rsidRPr="008E2907">
        <w:rPr>
          <w:rFonts w:ascii="Times New Roman" w:hAnsi="Times New Roman"/>
          <w:sz w:val="26"/>
          <w:szCs w:val="26"/>
        </w:rPr>
        <w:t xml:space="preserve"> Letter issued granting an extension for providing requested energy affordability data from 12/1/17 to 12/8/17</w:t>
      </w:r>
    </w:p>
    <w:p w14:paraId="77FEC127" w14:textId="77777777" w:rsidR="00506216" w:rsidRPr="008E2907" w:rsidRDefault="00506216" w:rsidP="00315DBC">
      <w:pPr>
        <w:spacing w:after="0"/>
        <w:contextualSpacing/>
        <w:rPr>
          <w:rFonts w:ascii="Times New Roman" w:hAnsi="Times New Roman"/>
          <w:sz w:val="26"/>
          <w:szCs w:val="26"/>
        </w:rPr>
      </w:pPr>
    </w:p>
    <w:p w14:paraId="0344EE55" w14:textId="20D9D206"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 xml:space="preserve">2/12/18 </w:t>
      </w:r>
      <w:r w:rsidRPr="008E2907">
        <w:rPr>
          <w:rFonts w:ascii="Times New Roman" w:hAnsi="Times New Roman"/>
          <w:sz w:val="26"/>
          <w:szCs w:val="26"/>
        </w:rPr>
        <w:t>– Sec</w:t>
      </w:r>
      <w:r w:rsidR="00CB0A9D">
        <w:rPr>
          <w:rFonts w:ascii="Times New Roman" w:hAnsi="Times New Roman"/>
          <w:sz w:val="26"/>
          <w:szCs w:val="26"/>
        </w:rPr>
        <w:t>retary</w:t>
      </w:r>
      <w:r w:rsidRPr="008E2907">
        <w:rPr>
          <w:rFonts w:ascii="Times New Roman" w:hAnsi="Times New Roman"/>
          <w:sz w:val="26"/>
          <w:szCs w:val="26"/>
        </w:rPr>
        <w:t xml:space="preserve"> Letter issued extending data request clarification/validation process for three utilities by 2/13/18 and extending due date for BCS to submit the Energy Affordability Report (originally May 5, 2018)</w:t>
      </w:r>
    </w:p>
    <w:p w14:paraId="0677DB6B" w14:textId="77777777" w:rsidR="00506216" w:rsidRPr="008E2907" w:rsidRDefault="00506216" w:rsidP="00315DBC">
      <w:pPr>
        <w:spacing w:after="0"/>
        <w:contextualSpacing/>
        <w:rPr>
          <w:rFonts w:ascii="Times New Roman" w:hAnsi="Times New Roman"/>
          <w:b/>
          <w:bCs/>
          <w:sz w:val="26"/>
          <w:szCs w:val="26"/>
        </w:rPr>
      </w:pPr>
    </w:p>
    <w:p w14:paraId="3F29559D" w14:textId="77777777"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3/28/18</w:t>
      </w:r>
      <w:r w:rsidRPr="008E2907">
        <w:rPr>
          <w:rFonts w:ascii="Times New Roman" w:hAnsi="Times New Roman"/>
          <w:sz w:val="26"/>
          <w:szCs w:val="26"/>
        </w:rPr>
        <w:t xml:space="preserve"> </w:t>
      </w:r>
      <w:bookmarkStart w:id="41" w:name="_Hlk14099078"/>
      <w:r w:rsidRPr="008E2907">
        <w:rPr>
          <w:rFonts w:ascii="Times New Roman" w:hAnsi="Times New Roman"/>
          <w:sz w:val="26"/>
          <w:szCs w:val="26"/>
        </w:rPr>
        <w:t xml:space="preserve">– Sec Letter issued </w:t>
      </w:r>
      <w:bookmarkEnd w:id="41"/>
      <w:r w:rsidRPr="008E2907">
        <w:rPr>
          <w:rFonts w:ascii="Times New Roman" w:hAnsi="Times New Roman"/>
          <w:sz w:val="26"/>
          <w:szCs w:val="26"/>
        </w:rPr>
        <w:t xml:space="preserve">releasing the </w:t>
      </w:r>
      <w:r w:rsidRPr="008E2907">
        <w:rPr>
          <w:rFonts w:ascii="Times New Roman" w:hAnsi="Times New Roman"/>
          <w:i/>
          <w:iCs/>
          <w:sz w:val="26"/>
          <w:szCs w:val="26"/>
        </w:rPr>
        <w:t>Staff Report Summarizing Public Comments, Feedback and Suggestions Regarding Universal Service and Energy Conservation Programs</w:t>
      </w:r>
      <w:r w:rsidRPr="008E2907">
        <w:rPr>
          <w:rFonts w:ascii="Times New Roman" w:hAnsi="Times New Roman"/>
          <w:sz w:val="26"/>
          <w:szCs w:val="26"/>
        </w:rPr>
        <w:t xml:space="preserve"> and establishing a Universal Service Working Group to further explore universal service policies and practices (press release issued)  </w:t>
      </w:r>
    </w:p>
    <w:p w14:paraId="2FC64C48" w14:textId="77777777" w:rsidR="00506216" w:rsidRPr="008E2907" w:rsidRDefault="00506216" w:rsidP="00315DBC">
      <w:pPr>
        <w:spacing w:after="0"/>
        <w:contextualSpacing/>
        <w:rPr>
          <w:rFonts w:ascii="Times New Roman" w:hAnsi="Times New Roman"/>
          <w:sz w:val="26"/>
          <w:szCs w:val="26"/>
        </w:rPr>
      </w:pPr>
    </w:p>
    <w:p w14:paraId="6569320F" w14:textId="456FB0A1"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5/7/18</w:t>
      </w:r>
      <w:r w:rsidRPr="008E2907">
        <w:rPr>
          <w:rFonts w:ascii="Times New Roman" w:hAnsi="Times New Roman"/>
          <w:sz w:val="26"/>
          <w:szCs w:val="26"/>
        </w:rPr>
        <w:t xml:space="preserve"> – </w:t>
      </w:r>
      <w:r w:rsidR="00CB0A9D" w:rsidRPr="008E2907">
        <w:rPr>
          <w:rFonts w:ascii="Times New Roman" w:hAnsi="Times New Roman"/>
          <w:sz w:val="26"/>
          <w:szCs w:val="26"/>
        </w:rPr>
        <w:t xml:space="preserve">Universal Service Working Group </w:t>
      </w:r>
      <w:r w:rsidRPr="008E2907">
        <w:rPr>
          <w:rFonts w:ascii="Times New Roman" w:hAnsi="Times New Roman"/>
          <w:sz w:val="26"/>
          <w:szCs w:val="26"/>
        </w:rPr>
        <w:t xml:space="preserve">Meeting held to </w:t>
      </w:r>
      <w:r w:rsidR="001D1280">
        <w:rPr>
          <w:rFonts w:ascii="Times New Roman" w:hAnsi="Times New Roman"/>
          <w:sz w:val="26"/>
          <w:szCs w:val="26"/>
        </w:rPr>
        <w:t>d</w:t>
      </w:r>
      <w:r w:rsidRPr="008E2907">
        <w:rPr>
          <w:rFonts w:ascii="Times New Roman" w:hAnsi="Times New Roman"/>
          <w:sz w:val="26"/>
          <w:szCs w:val="26"/>
        </w:rPr>
        <w:t xml:space="preserve">iscuss </w:t>
      </w:r>
      <w:r w:rsidR="001D1280">
        <w:rPr>
          <w:rFonts w:ascii="Times New Roman" w:hAnsi="Times New Roman"/>
          <w:sz w:val="26"/>
          <w:szCs w:val="26"/>
        </w:rPr>
        <w:t>z</w:t>
      </w:r>
      <w:r w:rsidRPr="008E2907">
        <w:rPr>
          <w:rFonts w:ascii="Times New Roman" w:hAnsi="Times New Roman"/>
          <w:sz w:val="26"/>
          <w:szCs w:val="26"/>
        </w:rPr>
        <w:t>ero-</w:t>
      </w:r>
      <w:r w:rsidR="001D1280">
        <w:rPr>
          <w:rFonts w:ascii="Times New Roman" w:hAnsi="Times New Roman"/>
          <w:sz w:val="26"/>
          <w:szCs w:val="26"/>
        </w:rPr>
        <w:t>i</w:t>
      </w:r>
      <w:r w:rsidRPr="008E2907">
        <w:rPr>
          <w:rFonts w:ascii="Times New Roman" w:hAnsi="Times New Roman"/>
          <w:sz w:val="26"/>
          <w:szCs w:val="26"/>
        </w:rPr>
        <w:t xml:space="preserve">ncome </w:t>
      </w:r>
      <w:r w:rsidR="001D1280">
        <w:rPr>
          <w:rFonts w:ascii="Times New Roman" w:hAnsi="Times New Roman"/>
          <w:sz w:val="26"/>
          <w:szCs w:val="26"/>
        </w:rPr>
        <w:t>f</w:t>
      </w:r>
      <w:r w:rsidRPr="008E2907">
        <w:rPr>
          <w:rFonts w:ascii="Times New Roman" w:hAnsi="Times New Roman"/>
          <w:sz w:val="26"/>
          <w:szCs w:val="26"/>
        </w:rPr>
        <w:t>orms</w:t>
      </w:r>
    </w:p>
    <w:p w14:paraId="0FB2435E" w14:textId="77777777" w:rsidR="00506216" w:rsidRPr="008E2907" w:rsidRDefault="00506216" w:rsidP="00315DBC">
      <w:pPr>
        <w:spacing w:after="0"/>
        <w:contextualSpacing/>
        <w:rPr>
          <w:rFonts w:ascii="Times New Roman" w:hAnsi="Times New Roman"/>
          <w:sz w:val="26"/>
          <w:szCs w:val="26"/>
        </w:rPr>
      </w:pPr>
    </w:p>
    <w:p w14:paraId="44CF1F6D" w14:textId="10C78072"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7/18/18</w:t>
      </w:r>
      <w:r w:rsidRPr="008E2907">
        <w:rPr>
          <w:rFonts w:ascii="Times New Roman" w:hAnsi="Times New Roman"/>
          <w:sz w:val="26"/>
          <w:szCs w:val="26"/>
        </w:rPr>
        <w:t xml:space="preserve"> – </w:t>
      </w:r>
      <w:r w:rsidR="00CB0A9D" w:rsidRPr="008E2907">
        <w:rPr>
          <w:rFonts w:ascii="Times New Roman" w:hAnsi="Times New Roman"/>
          <w:sz w:val="26"/>
          <w:szCs w:val="26"/>
        </w:rPr>
        <w:t xml:space="preserve">Universal Service Working Group </w:t>
      </w:r>
      <w:r w:rsidRPr="008E2907">
        <w:rPr>
          <w:rFonts w:ascii="Times New Roman" w:hAnsi="Times New Roman"/>
          <w:sz w:val="26"/>
          <w:szCs w:val="26"/>
        </w:rPr>
        <w:t>Meeting held to discuss zero-income forms and possible revisions to the USECP filing schedule</w:t>
      </w:r>
    </w:p>
    <w:p w14:paraId="58F56DDD" w14:textId="77777777" w:rsidR="00506216" w:rsidRPr="008E2907" w:rsidRDefault="00506216" w:rsidP="00315DBC">
      <w:pPr>
        <w:spacing w:after="0"/>
        <w:contextualSpacing/>
        <w:rPr>
          <w:rFonts w:ascii="Times New Roman" w:hAnsi="Times New Roman"/>
          <w:sz w:val="26"/>
          <w:szCs w:val="26"/>
        </w:rPr>
      </w:pPr>
    </w:p>
    <w:p w14:paraId="5A84AC3F" w14:textId="3FE991BF"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9/27/18</w:t>
      </w:r>
      <w:r w:rsidRPr="008E2907">
        <w:rPr>
          <w:rFonts w:ascii="Times New Roman" w:hAnsi="Times New Roman"/>
          <w:sz w:val="26"/>
          <w:szCs w:val="26"/>
        </w:rPr>
        <w:t xml:space="preserve"> – </w:t>
      </w:r>
      <w:r w:rsidR="00CB0A9D" w:rsidRPr="008E2907">
        <w:rPr>
          <w:rFonts w:ascii="Times New Roman" w:hAnsi="Times New Roman"/>
          <w:sz w:val="26"/>
          <w:szCs w:val="26"/>
        </w:rPr>
        <w:t xml:space="preserve">Universal Service Working Group </w:t>
      </w:r>
      <w:r w:rsidRPr="008E2907">
        <w:rPr>
          <w:rFonts w:ascii="Times New Roman" w:hAnsi="Times New Roman"/>
          <w:sz w:val="26"/>
          <w:szCs w:val="26"/>
        </w:rPr>
        <w:t>meeting held to discuss possible revisions to the USECP filing schedule</w:t>
      </w:r>
    </w:p>
    <w:p w14:paraId="736E7AA0" w14:textId="77777777" w:rsidR="00506216" w:rsidRPr="008E2907" w:rsidRDefault="00506216" w:rsidP="00315DBC">
      <w:pPr>
        <w:spacing w:after="0"/>
        <w:contextualSpacing/>
        <w:rPr>
          <w:rFonts w:ascii="Times New Roman" w:hAnsi="Times New Roman"/>
          <w:sz w:val="26"/>
          <w:szCs w:val="26"/>
        </w:rPr>
      </w:pPr>
    </w:p>
    <w:p w14:paraId="70633566" w14:textId="7B363721"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1/17/19</w:t>
      </w:r>
      <w:r w:rsidRPr="008E2907">
        <w:rPr>
          <w:rFonts w:ascii="Times New Roman" w:hAnsi="Times New Roman"/>
          <w:sz w:val="26"/>
          <w:szCs w:val="26"/>
        </w:rPr>
        <w:t xml:space="preserve"> – Order approved at P</w:t>
      </w:r>
      <w:r w:rsidR="00CB0A9D">
        <w:rPr>
          <w:rFonts w:ascii="Times New Roman" w:hAnsi="Times New Roman"/>
          <w:sz w:val="26"/>
          <w:szCs w:val="26"/>
        </w:rPr>
        <w:t xml:space="preserve">ublic </w:t>
      </w:r>
      <w:r w:rsidRPr="008E2907">
        <w:rPr>
          <w:rFonts w:ascii="Times New Roman" w:hAnsi="Times New Roman"/>
          <w:sz w:val="26"/>
          <w:szCs w:val="26"/>
        </w:rPr>
        <w:t>M</w:t>
      </w:r>
      <w:r w:rsidR="00CB0A9D">
        <w:rPr>
          <w:rFonts w:ascii="Times New Roman" w:hAnsi="Times New Roman"/>
          <w:sz w:val="26"/>
          <w:szCs w:val="26"/>
        </w:rPr>
        <w:t>eeting</w:t>
      </w:r>
      <w:r w:rsidRPr="008E2907">
        <w:rPr>
          <w:rFonts w:ascii="Times New Roman" w:hAnsi="Times New Roman"/>
          <w:sz w:val="26"/>
          <w:szCs w:val="26"/>
        </w:rPr>
        <w:t xml:space="preserve"> releasing the Energy Affordability Report and requesting supplemental information from utilities (press release issued)</w:t>
      </w:r>
    </w:p>
    <w:p w14:paraId="29046BD6" w14:textId="77777777" w:rsidR="00506216" w:rsidRPr="008E2907" w:rsidRDefault="00506216" w:rsidP="00315DBC">
      <w:pPr>
        <w:spacing w:after="0"/>
        <w:contextualSpacing/>
        <w:rPr>
          <w:rFonts w:ascii="Times New Roman" w:hAnsi="Times New Roman"/>
          <w:sz w:val="26"/>
          <w:szCs w:val="26"/>
        </w:rPr>
      </w:pPr>
    </w:p>
    <w:p w14:paraId="29A9CC3B" w14:textId="7E8916F0"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2/2/19</w:t>
      </w:r>
      <w:r w:rsidRPr="008E2907">
        <w:rPr>
          <w:rFonts w:ascii="Times New Roman" w:hAnsi="Times New Roman"/>
          <w:sz w:val="26"/>
          <w:szCs w:val="26"/>
        </w:rPr>
        <w:t xml:space="preserve"> – PA Bulletin announcement publicizing release of Energy Affordability Report and announcing 2/6/19 </w:t>
      </w:r>
      <w:r w:rsidR="00CB0A9D" w:rsidRPr="008E2907">
        <w:rPr>
          <w:rFonts w:ascii="Times New Roman" w:hAnsi="Times New Roman"/>
          <w:sz w:val="26"/>
          <w:szCs w:val="26"/>
        </w:rPr>
        <w:t xml:space="preserve">Universal Service Working Group </w:t>
      </w:r>
      <w:r w:rsidRPr="008E2907">
        <w:rPr>
          <w:rFonts w:ascii="Times New Roman" w:hAnsi="Times New Roman"/>
          <w:sz w:val="26"/>
          <w:szCs w:val="26"/>
        </w:rPr>
        <w:t>meeting</w:t>
      </w:r>
    </w:p>
    <w:p w14:paraId="720CC4F4" w14:textId="77777777" w:rsidR="00506216" w:rsidRPr="008E2907" w:rsidRDefault="00506216" w:rsidP="00315DBC">
      <w:pPr>
        <w:spacing w:after="0"/>
        <w:contextualSpacing/>
        <w:rPr>
          <w:rFonts w:ascii="Times New Roman" w:hAnsi="Times New Roman"/>
          <w:sz w:val="26"/>
          <w:szCs w:val="26"/>
        </w:rPr>
      </w:pPr>
    </w:p>
    <w:p w14:paraId="6EECB674" w14:textId="6C41EB1F" w:rsidR="00506216" w:rsidRPr="008E2907" w:rsidRDefault="00506216" w:rsidP="00315DBC">
      <w:pPr>
        <w:spacing w:after="0"/>
        <w:contextualSpacing/>
        <w:rPr>
          <w:rFonts w:ascii="Times New Roman" w:hAnsi="Times New Roman"/>
          <w:sz w:val="26"/>
          <w:szCs w:val="26"/>
        </w:rPr>
      </w:pPr>
      <w:bookmarkStart w:id="42" w:name="_Hlk14084046"/>
      <w:r w:rsidRPr="008E2907">
        <w:rPr>
          <w:rFonts w:ascii="Times New Roman" w:hAnsi="Times New Roman"/>
          <w:b/>
          <w:bCs/>
          <w:sz w:val="26"/>
          <w:szCs w:val="26"/>
        </w:rPr>
        <w:t>2/6/19</w:t>
      </w:r>
      <w:r w:rsidRPr="008E2907">
        <w:rPr>
          <w:rFonts w:ascii="Times New Roman" w:hAnsi="Times New Roman"/>
          <w:sz w:val="26"/>
          <w:szCs w:val="26"/>
        </w:rPr>
        <w:t xml:space="preserve"> – </w:t>
      </w:r>
      <w:r w:rsidR="00CB0A9D" w:rsidRPr="008E2907">
        <w:rPr>
          <w:rFonts w:ascii="Times New Roman" w:hAnsi="Times New Roman"/>
          <w:sz w:val="26"/>
          <w:szCs w:val="26"/>
        </w:rPr>
        <w:t xml:space="preserve">Universal Service Working Group </w:t>
      </w:r>
      <w:r w:rsidRPr="008E2907">
        <w:rPr>
          <w:rFonts w:ascii="Times New Roman" w:hAnsi="Times New Roman"/>
          <w:sz w:val="26"/>
          <w:szCs w:val="26"/>
        </w:rPr>
        <w:t>meeting held to discuss Energy Affordability Report and requested supplemental information</w:t>
      </w:r>
    </w:p>
    <w:bookmarkEnd w:id="42"/>
    <w:p w14:paraId="0A207D0D" w14:textId="77777777" w:rsidR="00506216" w:rsidRPr="008E2907" w:rsidRDefault="00506216" w:rsidP="00315DBC">
      <w:pPr>
        <w:spacing w:after="0"/>
        <w:contextualSpacing/>
        <w:rPr>
          <w:rFonts w:ascii="Times New Roman" w:hAnsi="Times New Roman"/>
          <w:sz w:val="26"/>
          <w:szCs w:val="26"/>
        </w:rPr>
      </w:pPr>
    </w:p>
    <w:p w14:paraId="1B6A0769" w14:textId="44F7C156"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3/7/19</w:t>
      </w:r>
      <w:r w:rsidRPr="008E2907">
        <w:rPr>
          <w:rFonts w:ascii="Times New Roman" w:hAnsi="Times New Roman"/>
          <w:sz w:val="26"/>
          <w:szCs w:val="26"/>
        </w:rPr>
        <w:t xml:space="preserve"> – Sec</w:t>
      </w:r>
      <w:r w:rsidR="00CB0A9D">
        <w:rPr>
          <w:rFonts w:ascii="Times New Roman" w:hAnsi="Times New Roman"/>
          <w:sz w:val="26"/>
          <w:szCs w:val="26"/>
        </w:rPr>
        <w:t>retary</w:t>
      </w:r>
      <w:r w:rsidRPr="008E2907">
        <w:rPr>
          <w:rFonts w:ascii="Times New Roman" w:hAnsi="Times New Roman"/>
          <w:sz w:val="26"/>
          <w:szCs w:val="26"/>
        </w:rPr>
        <w:t xml:space="preserve"> Letter issued providing clarifications to requested supplemental information and establishing a 30-day comment period and 15-day reply comment period</w:t>
      </w:r>
    </w:p>
    <w:p w14:paraId="4DAAF6A6" w14:textId="77777777" w:rsidR="00506216" w:rsidRPr="008E2907" w:rsidRDefault="00506216" w:rsidP="00315DBC">
      <w:pPr>
        <w:spacing w:after="0"/>
        <w:contextualSpacing/>
        <w:rPr>
          <w:rFonts w:ascii="Times New Roman" w:hAnsi="Times New Roman"/>
          <w:sz w:val="26"/>
          <w:szCs w:val="26"/>
        </w:rPr>
      </w:pPr>
    </w:p>
    <w:p w14:paraId="32C51E4A" w14:textId="77777777" w:rsidR="00506216" w:rsidRPr="008E2907" w:rsidRDefault="00506216" w:rsidP="00315DBC">
      <w:pPr>
        <w:spacing w:after="0"/>
        <w:contextualSpacing/>
        <w:rPr>
          <w:rFonts w:ascii="Times New Roman" w:hAnsi="Times New Roman"/>
          <w:b/>
          <w:bCs/>
          <w:sz w:val="26"/>
          <w:szCs w:val="26"/>
        </w:rPr>
      </w:pPr>
      <w:r w:rsidRPr="008E2907">
        <w:rPr>
          <w:rFonts w:ascii="Times New Roman" w:hAnsi="Times New Roman"/>
          <w:b/>
          <w:bCs/>
          <w:sz w:val="26"/>
          <w:szCs w:val="26"/>
        </w:rPr>
        <w:t xml:space="preserve">4/8/19 </w:t>
      </w:r>
      <w:r w:rsidRPr="008E2907">
        <w:rPr>
          <w:rFonts w:ascii="Times New Roman" w:hAnsi="Times New Roman"/>
          <w:bCs/>
          <w:sz w:val="26"/>
          <w:szCs w:val="26"/>
        </w:rPr>
        <w:t>– Energy Affordability supplemental information filed by utilities</w:t>
      </w:r>
    </w:p>
    <w:p w14:paraId="4F27CA82" w14:textId="77777777" w:rsidR="00506216" w:rsidRPr="008E2907" w:rsidRDefault="00506216" w:rsidP="00315DBC">
      <w:pPr>
        <w:spacing w:after="0"/>
        <w:contextualSpacing/>
        <w:rPr>
          <w:rFonts w:ascii="Times New Roman" w:hAnsi="Times New Roman"/>
          <w:b/>
          <w:bCs/>
          <w:sz w:val="26"/>
          <w:szCs w:val="26"/>
        </w:rPr>
      </w:pPr>
    </w:p>
    <w:p w14:paraId="4490BDF6" w14:textId="77777777" w:rsidR="00506216"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5/8/19</w:t>
      </w:r>
      <w:r w:rsidRPr="008E2907">
        <w:rPr>
          <w:rFonts w:ascii="Times New Roman" w:hAnsi="Times New Roman"/>
          <w:sz w:val="26"/>
          <w:szCs w:val="26"/>
        </w:rPr>
        <w:t xml:space="preserve"> – Energy Affordability comment period closed</w:t>
      </w:r>
    </w:p>
    <w:p w14:paraId="7FD44CF2" w14:textId="77777777" w:rsidR="00506216" w:rsidRPr="008E2907" w:rsidRDefault="00506216" w:rsidP="00315DBC">
      <w:pPr>
        <w:spacing w:after="0"/>
        <w:contextualSpacing/>
        <w:rPr>
          <w:rFonts w:ascii="Times New Roman" w:hAnsi="Times New Roman"/>
          <w:sz w:val="26"/>
          <w:szCs w:val="26"/>
        </w:rPr>
      </w:pPr>
    </w:p>
    <w:p w14:paraId="752C1A5F" w14:textId="00428F96" w:rsidR="00A539CE" w:rsidRPr="008E2907" w:rsidRDefault="00506216" w:rsidP="00315DBC">
      <w:pPr>
        <w:spacing w:after="0"/>
        <w:contextualSpacing/>
        <w:rPr>
          <w:rFonts w:ascii="Times New Roman" w:hAnsi="Times New Roman"/>
          <w:sz w:val="26"/>
          <w:szCs w:val="26"/>
        </w:rPr>
      </w:pPr>
      <w:r w:rsidRPr="008E2907">
        <w:rPr>
          <w:rFonts w:ascii="Times New Roman" w:hAnsi="Times New Roman"/>
          <w:b/>
          <w:bCs/>
          <w:sz w:val="26"/>
          <w:szCs w:val="26"/>
        </w:rPr>
        <w:t>5/23/19</w:t>
      </w:r>
      <w:r w:rsidRPr="008E2907">
        <w:rPr>
          <w:rFonts w:ascii="Times New Roman" w:hAnsi="Times New Roman"/>
          <w:sz w:val="26"/>
          <w:szCs w:val="26"/>
        </w:rPr>
        <w:t xml:space="preserve"> – Energy Affordability reply comment period closed</w:t>
      </w:r>
    </w:p>
    <w:p w14:paraId="4735E55A" w14:textId="77777777" w:rsidR="00A1677A" w:rsidRDefault="00506216" w:rsidP="00315DBC">
      <w:pPr>
        <w:spacing w:after="0"/>
        <w:contextualSpacing/>
        <w:rPr>
          <w:rFonts w:ascii="Times New Roman" w:hAnsi="Times New Roman"/>
          <w:sz w:val="96"/>
          <w:szCs w:val="96"/>
        </w:rPr>
        <w:sectPr w:rsidR="00A1677A" w:rsidSect="00787BFD">
          <w:footerReference w:type="first" r:id="rId27"/>
          <w:pgSz w:w="12240" w:h="15840"/>
          <w:pgMar w:top="1440" w:right="1440" w:bottom="1440" w:left="1440" w:header="720" w:footer="720" w:gutter="0"/>
          <w:pgNumType w:start="1"/>
          <w:cols w:space="720"/>
          <w:docGrid w:linePitch="299"/>
        </w:sectPr>
      </w:pPr>
      <w:r>
        <w:rPr>
          <w:rFonts w:ascii="Times New Roman" w:hAnsi="Times New Roman"/>
          <w:sz w:val="96"/>
          <w:szCs w:val="96"/>
        </w:rPr>
        <w:br w:type="page"/>
      </w:r>
    </w:p>
    <w:p w14:paraId="67070BDE" w14:textId="4BCB0970" w:rsidR="00506216" w:rsidRPr="00150B64" w:rsidRDefault="00506216" w:rsidP="00315DBC">
      <w:pPr>
        <w:spacing w:after="0"/>
        <w:contextualSpacing/>
        <w:rPr>
          <w:rFonts w:ascii="Times New Roman" w:hAnsi="Times New Roman"/>
          <w:sz w:val="28"/>
          <w:szCs w:val="28"/>
        </w:rPr>
      </w:pPr>
    </w:p>
    <w:p w14:paraId="145F2D4D" w14:textId="77777777" w:rsidR="00506216" w:rsidRDefault="00506216" w:rsidP="00315DBC">
      <w:pPr>
        <w:pStyle w:val="ListParagraph"/>
        <w:tabs>
          <w:tab w:val="left" w:pos="270"/>
        </w:tabs>
        <w:spacing w:line="360" w:lineRule="auto"/>
        <w:ind w:left="0"/>
        <w:rPr>
          <w:sz w:val="26"/>
          <w:szCs w:val="26"/>
        </w:rPr>
      </w:pPr>
    </w:p>
    <w:p w14:paraId="22599ACC" w14:textId="77777777" w:rsidR="00506216" w:rsidRDefault="00506216" w:rsidP="00315DBC">
      <w:pPr>
        <w:pStyle w:val="ListParagraph"/>
        <w:tabs>
          <w:tab w:val="left" w:pos="270"/>
        </w:tabs>
        <w:spacing w:line="360" w:lineRule="auto"/>
        <w:ind w:left="0"/>
        <w:rPr>
          <w:sz w:val="26"/>
          <w:szCs w:val="26"/>
        </w:rPr>
      </w:pPr>
    </w:p>
    <w:p w14:paraId="629443F2" w14:textId="77777777" w:rsidR="00506216" w:rsidRDefault="00506216" w:rsidP="00315DBC">
      <w:pPr>
        <w:pStyle w:val="ListParagraph"/>
        <w:tabs>
          <w:tab w:val="left" w:pos="270"/>
        </w:tabs>
        <w:spacing w:line="360" w:lineRule="auto"/>
        <w:ind w:left="0"/>
        <w:rPr>
          <w:sz w:val="26"/>
          <w:szCs w:val="26"/>
        </w:rPr>
      </w:pPr>
    </w:p>
    <w:p w14:paraId="6CFF91D3" w14:textId="77777777" w:rsidR="00506216" w:rsidRDefault="00506216" w:rsidP="00315DBC">
      <w:pPr>
        <w:pStyle w:val="ListParagraph"/>
        <w:tabs>
          <w:tab w:val="left" w:pos="270"/>
        </w:tabs>
        <w:spacing w:line="360" w:lineRule="auto"/>
        <w:ind w:left="0"/>
        <w:rPr>
          <w:sz w:val="26"/>
          <w:szCs w:val="26"/>
        </w:rPr>
      </w:pPr>
    </w:p>
    <w:p w14:paraId="238A2F9C" w14:textId="77777777" w:rsidR="00506216" w:rsidRDefault="00506216" w:rsidP="00315DBC">
      <w:pPr>
        <w:pStyle w:val="ListParagraph"/>
        <w:tabs>
          <w:tab w:val="left" w:pos="270"/>
        </w:tabs>
        <w:spacing w:line="360" w:lineRule="auto"/>
        <w:ind w:left="0"/>
        <w:rPr>
          <w:sz w:val="26"/>
          <w:szCs w:val="26"/>
        </w:rPr>
      </w:pPr>
    </w:p>
    <w:p w14:paraId="07513324" w14:textId="77777777" w:rsidR="00506216" w:rsidRDefault="00506216" w:rsidP="00315DBC">
      <w:pPr>
        <w:pStyle w:val="ListParagraph"/>
        <w:tabs>
          <w:tab w:val="left" w:pos="270"/>
        </w:tabs>
        <w:spacing w:line="360" w:lineRule="auto"/>
        <w:ind w:left="0"/>
        <w:rPr>
          <w:sz w:val="26"/>
          <w:szCs w:val="26"/>
        </w:rPr>
      </w:pPr>
    </w:p>
    <w:p w14:paraId="512399C9" w14:textId="77777777" w:rsidR="00506216" w:rsidRDefault="00506216" w:rsidP="00315DBC">
      <w:pPr>
        <w:pStyle w:val="ListParagraph"/>
        <w:tabs>
          <w:tab w:val="left" w:pos="270"/>
        </w:tabs>
        <w:spacing w:line="360" w:lineRule="auto"/>
        <w:ind w:left="0"/>
        <w:rPr>
          <w:sz w:val="26"/>
          <w:szCs w:val="26"/>
        </w:rPr>
      </w:pPr>
    </w:p>
    <w:p w14:paraId="5DCF8637" w14:textId="77777777" w:rsidR="00506216" w:rsidRDefault="00506216" w:rsidP="00315DBC">
      <w:pPr>
        <w:pStyle w:val="ListParagraph"/>
        <w:tabs>
          <w:tab w:val="left" w:pos="270"/>
        </w:tabs>
        <w:spacing w:line="360" w:lineRule="auto"/>
        <w:ind w:left="0"/>
        <w:rPr>
          <w:sz w:val="26"/>
          <w:szCs w:val="26"/>
        </w:rPr>
      </w:pPr>
    </w:p>
    <w:p w14:paraId="7D5CCFC8" w14:textId="77777777" w:rsidR="00506216" w:rsidRDefault="00506216" w:rsidP="00315DBC">
      <w:pPr>
        <w:pStyle w:val="ListParagraph"/>
        <w:tabs>
          <w:tab w:val="left" w:pos="270"/>
        </w:tabs>
        <w:spacing w:line="360" w:lineRule="auto"/>
        <w:ind w:left="0"/>
        <w:rPr>
          <w:sz w:val="26"/>
          <w:szCs w:val="26"/>
        </w:rPr>
      </w:pPr>
    </w:p>
    <w:p w14:paraId="6C9C29C2" w14:textId="3CA5D3A8" w:rsidR="00506216" w:rsidRDefault="00B769AE" w:rsidP="00315DBC">
      <w:pPr>
        <w:pStyle w:val="ListParagraph"/>
        <w:tabs>
          <w:tab w:val="left" w:pos="270"/>
        </w:tabs>
        <w:spacing w:line="360" w:lineRule="auto"/>
        <w:ind w:left="0"/>
        <w:jc w:val="center"/>
        <w:rPr>
          <w:sz w:val="96"/>
          <w:szCs w:val="96"/>
        </w:rPr>
      </w:pPr>
      <w:r>
        <w:rPr>
          <w:sz w:val="96"/>
          <w:szCs w:val="96"/>
        </w:rPr>
        <w:t>Appendix</w:t>
      </w:r>
      <w:r w:rsidR="00506216" w:rsidRPr="00AD7E41">
        <w:rPr>
          <w:sz w:val="96"/>
          <w:szCs w:val="96"/>
        </w:rPr>
        <w:t xml:space="preserve"> </w:t>
      </w:r>
      <w:r w:rsidR="00506216">
        <w:rPr>
          <w:sz w:val="96"/>
          <w:szCs w:val="96"/>
        </w:rPr>
        <w:t>B</w:t>
      </w:r>
    </w:p>
    <w:p w14:paraId="40B59CB6" w14:textId="4BE75BF5" w:rsidR="00864303" w:rsidRDefault="00B35E14" w:rsidP="00315DBC">
      <w:pPr>
        <w:pStyle w:val="ListParagraph"/>
        <w:tabs>
          <w:tab w:val="left" w:pos="270"/>
        </w:tabs>
        <w:spacing w:line="360" w:lineRule="auto"/>
        <w:ind w:left="0"/>
        <w:jc w:val="center"/>
        <w:rPr>
          <w:sz w:val="96"/>
          <w:szCs w:val="96"/>
        </w:rPr>
      </w:pPr>
      <w:r>
        <w:rPr>
          <w:sz w:val="96"/>
          <w:szCs w:val="96"/>
        </w:rPr>
        <w:t>Participants</w:t>
      </w:r>
    </w:p>
    <w:p w14:paraId="1FBC235C" w14:textId="77777777" w:rsidR="00A1677A" w:rsidRDefault="00506216" w:rsidP="00315DBC">
      <w:pPr>
        <w:spacing w:after="0"/>
        <w:contextualSpacing/>
        <w:rPr>
          <w:rFonts w:ascii="Times New Roman" w:hAnsi="Times New Roman"/>
          <w:sz w:val="96"/>
          <w:szCs w:val="96"/>
        </w:rPr>
        <w:sectPr w:rsidR="00A1677A" w:rsidSect="00A1677A">
          <w:pgSz w:w="12240" w:h="15840"/>
          <w:pgMar w:top="1440" w:right="1440" w:bottom="1440" w:left="1440" w:header="720" w:footer="720" w:gutter="0"/>
          <w:pgNumType w:start="1"/>
          <w:cols w:space="720"/>
          <w:titlePg/>
          <w:docGrid w:linePitch="299"/>
        </w:sectPr>
      </w:pPr>
      <w:r>
        <w:rPr>
          <w:rFonts w:ascii="Times New Roman" w:hAnsi="Times New Roman"/>
          <w:sz w:val="96"/>
          <w:szCs w:val="96"/>
        </w:rPr>
        <w:br w:type="page"/>
      </w:r>
    </w:p>
    <w:p w14:paraId="5E47B39D" w14:textId="77777777" w:rsidR="00506216" w:rsidRPr="00C80D3A" w:rsidRDefault="00506216" w:rsidP="00315DBC">
      <w:pPr>
        <w:pStyle w:val="Heading1"/>
        <w:contextualSpacing/>
        <w:rPr>
          <w:szCs w:val="26"/>
        </w:rPr>
      </w:pPr>
      <w:bookmarkStart w:id="43" w:name="_Toc502736931"/>
      <w:r w:rsidRPr="00C80D3A">
        <w:rPr>
          <w:szCs w:val="26"/>
        </w:rPr>
        <w:t xml:space="preserve">List of </w:t>
      </w:r>
      <w:bookmarkEnd w:id="43"/>
      <w:r w:rsidRPr="00C80D3A">
        <w:rPr>
          <w:szCs w:val="26"/>
        </w:rPr>
        <w:t>Participants</w:t>
      </w:r>
    </w:p>
    <w:p w14:paraId="7FC27AFA" w14:textId="77777777" w:rsidR="00506216" w:rsidRPr="00C80D3A" w:rsidRDefault="00506216" w:rsidP="00315DBC">
      <w:pPr>
        <w:pStyle w:val="BodyText"/>
        <w:ind w:left="119" w:right="113" w:firstLine="720"/>
        <w:contextualSpacing/>
        <w:rPr>
          <w:szCs w:val="26"/>
        </w:rPr>
      </w:pPr>
    </w:p>
    <w:p w14:paraId="5E72FC7C" w14:textId="7C4D15EF" w:rsidR="008A554A" w:rsidRPr="00C80D3A" w:rsidRDefault="00506216" w:rsidP="00315DBC">
      <w:pPr>
        <w:pStyle w:val="BodyText"/>
        <w:ind w:right="0"/>
        <w:contextualSpacing/>
        <w:mirrorIndents/>
        <w:jc w:val="center"/>
        <w:rPr>
          <w:spacing w:val="15"/>
          <w:szCs w:val="26"/>
        </w:rPr>
      </w:pPr>
      <w:r w:rsidRPr="00C80D3A">
        <w:rPr>
          <w:i/>
          <w:iCs/>
          <w:spacing w:val="15"/>
          <w:szCs w:val="26"/>
        </w:rPr>
        <w:t>Review of Universal Service and Energy Conservation Programs</w:t>
      </w:r>
      <w:r w:rsidRPr="00C80D3A">
        <w:rPr>
          <w:spacing w:val="15"/>
          <w:szCs w:val="26"/>
        </w:rPr>
        <w:t xml:space="preserve"> </w:t>
      </w:r>
    </w:p>
    <w:p w14:paraId="62F4CD11" w14:textId="2DACEFA9" w:rsidR="00506216" w:rsidRPr="00C80D3A" w:rsidRDefault="00506216" w:rsidP="00315DBC">
      <w:pPr>
        <w:pStyle w:val="BodyText"/>
        <w:ind w:right="0"/>
        <w:contextualSpacing/>
        <w:mirrorIndents/>
        <w:jc w:val="center"/>
        <w:rPr>
          <w:szCs w:val="26"/>
        </w:rPr>
      </w:pPr>
      <w:r w:rsidRPr="00C80D3A">
        <w:rPr>
          <w:spacing w:val="15"/>
          <w:szCs w:val="26"/>
        </w:rPr>
        <w:t>Docket No. M-2017-2596907</w:t>
      </w:r>
    </w:p>
    <w:p w14:paraId="646BF5F1" w14:textId="77777777" w:rsidR="00506216" w:rsidRPr="00C80D3A" w:rsidRDefault="00506216" w:rsidP="00315DBC">
      <w:pPr>
        <w:pStyle w:val="BodyText"/>
        <w:ind w:right="0"/>
        <w:contextualSpacing/>
        <w:mirrorIndents/>
        <w:jc w:val="left"/>
        <w:rPr>
          <w:szCs w:val="26"/>
        </w:rPr>
      </w:pPr>
    </w:p>
    <w:p w14:paraId="1CC7068E" w14:textId="76FF8272" w:rsidR="00506216" w:rsidRPr="00C80D3A" w:rsidRDefault="00506216" w:rsidP="00315DBC">
      <w:pPr>
        <w:pStyle w:val="BodyText"/>
        <w:ind w:left="119" w:right="113"/>
        <w:contextualSpacing/>
        <w:rPr>
          <w:szCs w:val="26"/>
        </w:rPr>
      </w:pPr>
      <w:r w:rsidRPr="00C80D3A">
        <w:rPr>
          <w:szCs w:val="26"/>
        </w:rPr>
        <w:t>On</w:t>
      </w:r>
      <w:r w:rsidRPr="00C80D3A">
        <w:rPr>
          <w:spacing w:val="14"/>
          <w:szCs w:val="26"/>
        </w:rPr>
        <w:t xml:space="preserve"> or before </w:t>
      </w:r>
      <w:r w:rsidRPr="00C80D3A">
        <w:rPr>
          <w:szCs w:val="26"/>
        </w:rPr>
        <w:t>August</w:t>
      </w:r>
      <w:r w:rsidRPr="00C80D3A">
        <w:rPr>
          <w:spacing w:val="15"/>
          <w:szCs w:val="26"/>
        </w:rPr>
        <w:t xml:space="preserve"> </w:t>
      </w:r>
      <w:r w:rsidRPr="00C80D3A">
        <w:rPr>
          <w:szCs w:val="26"/>
        </w:rPr>
        <w:t>8,</w:t>
      </w:r>
      <w:r w:rsidRPr="00C80D3A">
        <w:rPr>
          <w:spacing w:val="14"/>
          <w:szCs w:val="26"/>
        </w:rPr>
        <w:t xml:space="preserve"> </w:t>
      </w:r>
      <w:r w:rsidRPr="00C80D3A">
        <w:rPr>
          <w:szCs w:val="26"/>
        </w:rPr>
        <w:t>2017,</w:t>
      </w:r>
      <w:r w:rsidRPr="00C80D3A">
        <w:rPr>
          <w:spacing w:val="14"/>
          <w:szCs w:val="26"/>
        </w:rPr>
        <w:t xml:space="preserve"> </w:t>
      </w:r>
      <w:r w:rsidR="00A458FD" w:rsidRPr="00C80D3A">
        <w:rPr>
          <w:szCs w:val="26"/>
        </w:rPr>
        <w:t>c</w:t>
      </w:r>
      <w:r w:rsidRPr="00C80D3A">
        <w:rPr>
          <w:szCs w:val="26"/>
        </w:rPr>
        <w:t>omments</w:t>
      </w:r>
      <w:r w:rsidRPr="00C80D3A">
        <w:rPr>
          <w:spacing w:val="15"/>
          <w:szCs w:val="26"/>
        </w:rPr>
        <w:t xml:space="preserve"> </w:t>
      </w:r>
      <w:r w:rsidRPr="00C80D3A">
        <w:rPr>
          <w:szCs w:val="26"/>
        </w:rPr>
        <w:t>were</w:t>
      </w:r>
      <w:r w:rsidRPr="00C80D3A">
        <w:rPr>
          <w:spacing w:val="13"/>
          <w:szCs w:val="26"/>
        </w:rPr>
        <w:t xml:space="preserve"> </w:t>
      </w:r>
      <w:r w:rsidRPr="00C80D3A">
        <w:rPr>
          <w:szCs w:val="26"/>
        </w:rPr>
        <w:t>filed</w:t>
      </w:r>
      <w:r w:rsidRPr="00C80D3A">
        <w:rPr>
          <w:spacing w:val="14"/>
          <w:szCs w:val="26"/>
        </w:rPr>
        <w:t xml:space="preserve"> </w:t>
      </w:r>
      <w:r w:rsidRPr="00C80D3A">
        <w:rPr>
          <w:szCs w:val="26"/>
        </w:rPr>
        <w:t>at</w:t>
      </w:r>
      <w:r w:rsidRPr="00C80D3A">
        <w:rPr>
          <w:spacing w:val="14"/>
          <w:szCs w:val="26"/>
        </w:rPr>
        <w:t xml:space="preserve"> </w:t>
      </w:r>
      <w:r w:rsidRPr="00C80D3A">
        <w:rPr>
          <w:szCs w:val="26"/>
        </w:rPr>
        <w:t>this</w:t>
      </w:r>
      <w:r w:rsidRPr="00C80D3A">
        <w:rPr>
          <w:spacing w:val="15"/>
          <w:szCs w:val="26"/>
        </w:rPr>
        <w:t xml:space="preserve"> </w:t>
      </w:r>
      <w:r w:rsidRPr="00C80D3A">
        <w:rPr>
          <w:szCs w:val="26"/>
        </w:rPr>
        <w:t>docket</w:t>
      </w:r>
      <w:r w:rsidRPr="00C80D3A">
        <w:rPr>
          <w:spacing w:val="15"/>
          <w:szCs w:val="26"/>
        </w:rPr>
        <w:t xml:space="preserve"> </w:t>
      </w:r>
      <w:r w:rsidRPr="00C80D3A">
        <w:rPr>
          <w:szCs w:val="26"/>
        </w:rPr>
        <w:t>by</w:t>
      </w:r>
      <w:r w:rsidRPr="00C80D3A">
        <w:rPr>
          <w:spacing w:val="7"/>
          <w:szCs w:val="26"/>
        </w:rPr>
        <w:t xml:space="preserve"> </w:t>
      </w:r>
      <w:r w:rsidRPr="00C80D3A">
        <w:rPr>
          <w:szCs w:val="26"/>
        </w:rPr>
        <w:t>the</w:t>
      </w:r>
      <w:r w:rsidRPr="00C80D3A">
        <w:rPr>
          <w:spacing w:val="13"/>
          <w:szCs w:val="26"/>
        </w:rPr>
        <w:t xml:space="preserve"> </w:t>
      </w:r>
      <w:r w:rsidRPr="00C80D3A">
        <w:rPr>
          <w:szCs w:val="26"/>
        </w:rPr>
        <w:t>following</w:t>
      </w:r>
      <w:r w:rsidRPr="00C80D3A">
        <w:rPr>
          <w:spacing w:val="12"/>
          <w:szCs w:val="26"/>
        </w:rPr>
        <w:t xml:space="preserve"> </w:t>
      </w:r>
      <w:r w:rsidRPr="00C80D3A">
        <w:rPr>
          <w:szCs w:val="26"/>
        </w:rPr>
        <w:t xml:space="preserve">organizations: </w:t>
      </w:r>
    </w:p>
    <w:p w14:paraId="1A532D8F"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Blair County Community Action Agency;</w:t>
      </w:r>
    </w:p>
    <w:p w14:paraId="040794BB"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 xml:space="preserve">Commission on Economic Opportunity of Luzerne County (CEO Luzerne); </w:t>
      </w:r>
    </w:p>
    <w:p w14:paraId="31E16BE1"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Coalition for Affordable Utility Services and Energy Efficiency in Pennsylvania</w:t>
      </w:r>
      <w:r w:rsidRPr="00C80D3A">
        <w:rPr>
          <w:spacing w:val="41"/>
          <w:szCs w:val="26"/>
        </w:rPr>
        <w:t xml:space="preserve"> </w:t>
      </w:r>
      <w:r w:rsidRPr="00C80D3A">
        <w:rPr>
          <w:szCs w:val="26"/>
        </w:rPr>
        <w:t>(CAUSE-PA),</w:t>
      </w:r>
      <w:r w:rsidRPr="00C80D3A">
        <w:rPr>
          <w:spacing w:val="-1"/>
          <w:szCs w:val="26"/>
        </w:rPr>
        <w:t xml:space="preserve"> </w:t>
      </w:r>
      <w:r w:rsidRPr="00C80D3A">
        <w:rPr>
          <w:szCs w:val="26"/>
        </w:rPr>
        <w:t>Tenant Union Representative Network (TURN), and Action Alliance of Senior Citizens</w:t>
      </w:r>
      <w:r w:rsidRPr="00C80D3A">
        <w:rPr>
          <w:spacing w:val="47"/>
          <w:szCs w:val="26"/>
        </w:rPr>
        <w:t xml:space="preserve"> </w:t>
      </w:r>
      <w:r w:rsidRPr="00C80D3A">
        <w:rPr>
          <w:szCs w:val="26"/>
        </w:rPr>
        <w:t xml:space="preserve">of Philadelphia (Action Alliance) (collectively Low Income Advocates or Advocates); </w:t>
      </w:r>
    </w:p>
    <w:p w14:paraId="2FF45514" w14:textId="77777777" w:rsidR="00506216" w:rsidRPr="00C80D3A" w:rsidRDefault="00506216" w:rsidP="00E71963">
      <w:pPr>
        <w:pStyle w:val="BodyText"/>
        <w:widowControl w:val="0"/>
        <w:numPr>
          <w:ilvl w:val="0"/>
          <w:numId w:val="14"/>
        </w:numPr>
        <w:ind w:right="115"/>
        <w:contextualSpacing/>
        <w:rPr>
          <w:spacing w:val="26"/>
          <w:szCs w:val="26"/>
        </w:rPr>
      </w:pPr>
      <w:r w:rsidRPr="00C80D3A">
        <w:rPr>
          <w:szCs w:val="26"/>
        </w:rPr>
        <w:t>Columbia Gas</w:t>
      </w:r>
      <w:r w:rsidRPr="00C80D3A">
        <w:rPr>
          <w:spacing w:val="31"/>
          <w:szCs w:val="26"/>
        </w:rPr>
        <w:t xml:space="preserve"> </w:t>
      </w:r>
      <w:r w:rsidRPr="00C80D3A">
        <w:rPr>
          <w:szCs w:val="26"/>
        </w:rPr>
        <w:t>of Pennsylvania,</w:t>
      </w:r>
      <w:r w:rsidRPr="00C80D3A">
        <w:rPr>
          <w:spacing w:val="28"/>
          <w:szCs w:val="26"/>
        </w:rPr>
        <w:t xml:space="preserve"> </w:t>
      </w:r>
      <w:r w:rsidRPr="00C80D3A">
        <w:rPr>
          <w:szCs w:val="26"/>
        </w:rPr>
        <w:t>Inc.</w:t>
      </w:r>
      <w:r w:rsidRPr="00C80D3A">
        <w:rPr>
          <w:spacing w:val="25"/>
          <w:szCs w:val="26"/>
        </w:rPr>
        <w:t xml:space="preserve"> </w:t>
      </w:r>
      <w:r w:rsidRPr="00C80D3A">
        <w:rPr>
          <w:szCs w:val="26"/>
        </w:rPr>
        <w:t>(Columbia);</w:t>
      </w:r>
      <w:r w:rsidRPr="00C80D3A">
        <w:rPr>
          <w:spacing w:val="26"/>
          <w:szCs w:val="26"/>
        </w:rPr>
        <w:t xml:space="preserve"> </w:t>
      </w:r>
    </w:p>
    <w:p w14:paraId="4B70BEE6" w14:textId="77777777" w:rsidR="00506216" w:rsidRPr="00C80D3A" w:rsidRDefault="00506216" w:rsidP="00E71963">
      <w:pPr>
        <w:pStyle w:val="BodyText"/>
        <w:widowControl w:val="0"/>
        <w:numPr>
          <w:ilvl w:val="0"/>
          <w:numId w:val="14"/>
        </w:numPr>
        <w:ind w:right="115"/>
        <w:contextualSpacing/>
        <w:rPr>
          <w:spacing w:val="26"/>
          <w:szCs w:val="26"/>
        </w:rPr>
      </w:pPr>
      <w:r w:rsidRPr="00C80D3A">
        <w:rPr>
          <w:szCs w:val="26"/>
        </w:rPr>
        <w:t>Duquesne</w:t>
      </w:r>
      <w:r w:rsidRPr="00C80D3A">
        <w:rPr>
          <w:spacing w:val="27"/>
          <w:szCs w:val="26"/>
        </w:rPr>
        <w:t xml:space="preserve"> </w:t>
      </w:r>
      <w:r w:rsidRPr="00C80D3A">
        <w:rPr>
          <w:szCs w:val="26"/>
        </w:rPr>
        <w:t>Light</w:t>
      </w:r>
      <w:r w:rsidRPr="00C80D3A">
        <w:rPr>
          <w:spacing w:val="28"/>
          <w:szCs w:val="26"/>
        </w:rPr>
        <w:t xml:space="preserve"> </w:t>
      </w:r>
      <w:r w:rsidRPr="00C80D3A">
        <w:rPr>
          <w:szCs w:val="26"/>
        </w:rPr>
        <w:t>Company</w:t>
      </w:r>
      <w:r w:rsidRPr="00C80D3A">
        <w:rPr>
          <w:spacing w:val="21"/>
          <w:szCs w:val="26"/>
        </w:rPr>
        <w:t xml:space="preserve"> </w:t>
      </w:r>
      <w:r w:rsidRPr="00C80D3A">
        <w:rPr>
          <w:szCs w:val="26"/>
        </w:rPr>
        <w:t>(Duquesne);</w:t>
      </w:r>
      <w:r w:rsidRPr="00C80D3A">
        <w:rPr>
          <w:spacing w:val="26"/>
          <w:szCs w:val="26"/>
        </w:rPr>
        <w:t xml:space="preserve"> </w:t>
      </w:r>
    </w:p>
    <w:p w14:paraId="3F586734"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Energy Association of Pennsylvania (EAP);</w:t>
      </w:r>
    </w:p>
    <w:p w14:paraId="3D7C1413"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Indiana County Community Action Program (ICCAP);</w:t>
      </w:r>
    </w:p>
    <w:p w14:paraId="5C1B031A"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Keystone Energy Efficiency Alliance, Housing Alliance of Pennsylvania, Green and Healthy Homes Initiative, National Consumer Law Center, National Housing Trust, and Natural Resources Defense Council (collectively PA Energy Efficiency for All Coalition [PA-EEFA]);</w:t>
      </w:r>
    </w:p>
    <w:p w14:paraId="1352F35C"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Met-Ed Industrial Users Group, the Penelec Industrial Customer Alliance, the Philadelphia</w:t>
      </w:r>
      <w:r w:rsidRPr="00C80D3A">
        <w:rPr>
          <w:spacing w:val="17"/>
          <w:szCs w:val="26"/>
        </w:rPr>
        <w:t xml:space="preserve"> </w:t>
      </w:r>
      <w:r w:rsidRPr="00C80D3A">
        <w:rPr>
          <w:szCs w:val="26"/>
        </w:rPr>
        <w:t>Area Industrial</w:t>
      </w:r>
      <w:r w:rsidRPr="00C80D3A">
        <w:rPr>
          <w:spacing w:val="46"/>
          <w:szCs w:val="26"/>
        </w:rPr>
        <w:t xml:space="preserve"> </w:t>
      </w:r>
      <w:r w:rsidRPr="00C80D3A">
        <w:rPr>
          <w:szCs w:val="26"/>
        </w:rPr>
        <w:t>Energy</w:t>
      </w:r>
      <w:r w:rsidRPr="00C80D3A">
        <w:rPr>
          <w:spacing w:val="41"/>
          <w:szCs w:val="26"/>
        </w:rPr>
        <w:t xml:space="preserve"> </w:t>
      </w:r>
      <w:r w:rsidRPr="00C80D3A">
        <w:rPr>
          <w:szCs w:val="26"/>
        </w:rPr>
        <w:t>Users</w:t>
      </w:r>
      <w:r w:rsidRPr="00C80D3A">
        <w:rPr>
          <w:spacing w:val="48"/>
          <w:szCs w:val="26"/>
        </w:rPr>
        <w:t xml:space="preserve"> </w:t>
      </w:r>
      <w:r w:rsidRPr="00C80D3A">
        <w:rPr>
          <w:szCs w:val="26"/>
        </w:rPr>
        <w:t>Group,</w:t>
      </w:r>
      <w:r w:rsidRPr="00C80D3A">
        <w:rPr>
          <w:spacing w:val="46"/>
          <w:szCs w:val="26"/>
        </w:rPr>
        <w:t xml:space="preserve"> </w:t>
      </w:r>
      <w:r w:rsidRPr="00C80D3A">
        <w:rPr>
          <w:szCs w:val="26"/>
        </w:rPr>
        <w:t>the</w:t>
      </w:r>
      <w:r w:rsidRPr="00C80D3A">
        <w:rPr>
          <w:spacing w:val="45"/>
          <w:szCs w:val="26"/>
        </w:rPr>
        <w:t xml:space="preserve"> </w:t>
      </w:r>
      <w:r w:rsidRPr="00C80D3A">
        <w:rPr>
          <w:szCs w:val="26"/>
        </w:rPr>
        <w:t>PP&amp;L</w:t>
      </w:r>
      <w:r w:rsidRPr="00C80D3A">
        <w:rPr>
          <w:spacing w:val="45"/>
          <w:szCs w:val="26"/>
        </w:rPr>
        <w:t xml:space="preserve"> </w:t>
      </w:r>
      <w:r w:rsidRPr="00C80D3A">
        <w:rPr>
          <w:szCs w:val="26"/>
        </w:rPr>
        <w:t>Industrial</w:t>
      </w:r>
      <w:r w:rsidRPr="00C80D3A">
        <w:rPr>
          <w:spacing w:val="46"/>
          <w:szCs w:val="26"/>
        </w:rPr>
        <w:t xml:space="preserve"> </w:t>
      </w:r>
      <w:r w:rsidRPr="00C80D3A">
        <w:rPr>
          <w:szCs w:val="26"/>
        </w:rPr>
        <w:t>Customer</w:t>
      </w:r>
      <w:r w:rsidRPr="00C80D3A">
        <w:rPr>
          <w:spacing w:val="45"/>
          <w:szCs w:val="26"/>
        </w:rPr>
        <w:t xml:space="preserve"> </w:t>
      </w:r>
      <w:r w:rsidRPr="00C80D3A">
        <w:rPr>
          <w:szCs w:val="26"/>
        </w:rPr>
        <w:t>Alliance,</w:t>
      </w:r>
      <w:r w:rsidRPr="00C80D3A">
        <w:rPr>
          <w:spacing w:val="46"/>
          <w:szCs w:val="26"/>
        </w:rPr>
        <w:t xml:space="preserve"> </w:t>
      </w:r>
      <w:r w:rsidRPr="00C80D3A">
        <w:rPr>
          <w:szCs w:val="26"/>
        </w:rPr>
        <w:t>and</w:t>
      </w:r>
      <w:r w:rsidRPr="00C80D3A">
        <w:rPr>
          <w:spacing w:val="46"/>
          <w:szCs w:val="26"/>
        </w:rPr>
        <w:t xml:space="preserve"> </w:t>
      </w:r>
      <w:r w:rsidRPr="00C80D3A">
        <w:rPr>
          <w:szCs w:val="26"/>
        </w:rPr>
        <w:t>the</w:t>
      </w:r>
      <w:r w:rsidRPr="00C80D3A">
        <w:rPr>
          <w:spacing w:val="45"/>
          <w:szCs w:val="26"/>
        </w:rPr>
        <w:t xml:space="preserve"> </w:t>
      </w:r>
      <w:r w:rsidRPr="00C80D3A">
        <w:rPr>
          <w:szCs w:val="26"/>
        </w:rPr>
        <w:t>West</w:t>
      </w:r>
      <w:r w:rsidRPr="00C80D3A">
        <w:rPr>
          <w:spacing w:val="46"/>
          <w:szCs w:val="26"/>
        </w:rPr>
        <w:t xml:space="preserve"> </w:t>
      </w:r>
      <w:r w:rsidRPr="00C80D3A">
        <w:rPr>
          <w:szCs w:val="26"/>
        </w:rPr>
        <w:t>Penn Power Industrial Intervenors (collectively Industrial Customers or Industrials);</w:t>
      </w:r>
    </w:p>
    <w:p w14:paraId="704ECE03"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Metropolitan Edison</w:t>
      </w:r>
      <w:r w:rsidRPr="00C80D3A">
        <w:rPr>
          <w:spacing w:val="30"/>
          <w:szCs w:val="26"/>
        </w:rPr>
        <w:t xml:space="preserve"> </w:t>
      </w:r>
      <w:r w:rsidRPr="00C80D3A">
        <w:rPr>
          <w:szCs w:val="26"/>
        </w:rPr>
        <w:t>Company (Met-Ed), Pennsylvania Electric Company (Penelec), Pennsylvania Power Company</w:t>
      </w:r>
      <w:r w:rsidRPr="00C80D3A">
        <w:rPr>
          <w:spacing w:val="49"/>
          <w:szCs w:val="26"/>
        </w:rPr>
        <w:t xml:space="preserve"> </w:t>
      </w:r>
      <w:r w:rsidRPr="00C80D3A">
        <w:rPr>
          <w:szCs w:val="26"/>
        </w:rPr>
        <w:t xml:space="preserve">(Penn Power), and West Penn Power Company (West Penn) (collectively FirstEnergy or FirstEnergy utilities); </w:t>
      </w:r>
    </w:p>
    <w:p w14:paraId="1A422EC5" w14:textId="77777777" w:rsidR="00506216" w:rsidRPr="00C80D3A" w:rsidRDefault="00506216" w:rsidP="00E71963">
      <w:pPr>
        <w:pStyle w:val="BodyText"/>
        <w:widowControl w:val="0"/>
        <w:numPr>
          <w:ilvl w:val="0"/>
          <w:numId w:val="14"/>
        </w:numPr>
        <w:ind w:right="115"/>
        <w:contextualSpacing/>
        <w:rPr>
          <w:spacing w:val="23"/>
          <w:szCs w:val="26"/>
        </w:rPr>
      </w:pPr>
      <w:r w:rsidRPr="00C80D3A">
        <w:rPr>
          <w:szCs w:val="26"/>
        </w:rPr>
        <w:t>National</w:t>
      </w:r>
      <w:r w:rsidRPr="00C80D3A">
        <w:rPr>
          <w:spacing w:val="23"/>
          <w:szCs w:val="26"/>
        </w:rPr>
        <w:t xml:space="preserve"> </w:t>
      </w:r>
      <w:r w:rsidRPr="00C80D3A">
        <w:rPr>
          <w:szCs w:val="26"/>
        </w:rPr>
        <w:t>Fuel</w:t>
      </w:r>
      <w:r w:rsidRPr="00C80D3A">
        <w:rPr>
          <w:spacing w:val="23"/>
          <w:szCs w:val="26"/>
        </w:rPr>
        <w:t xml:space="preserve"> </w:t>
      </w:r>
      <w:r w:rsidRPr="00C80D3A">
        <w:rPr>
          <w:szCs w:val="26"/>
        </w:rPr>
        <w:t>Gas</w:t>
      </w:r>
      <w:r w:rsidRPr="00C80D3A">
        <w:rPr>
          <w:spacing w:val="23"/>
          <w:szCs w:val="26"/>
        </w:rPr>
        <w:t xml:space="preserve"> </w:t>
      </w:r>
      <w:r w:rsidRPr="00C80D3A">
        <w:rPr>
          <w:szCs w:val="26"/>
        </w:rPr>
        <w:t>Distribution</w:t>
      </w:r>
      <w:r w:rsidRPr="00C80D3A">
        <w:rPr>
          <w:spacing w:val="23"/>
          <w:szCs w:val="26"/>
        </w:rPr>
        <w:t xml:space="preserve"> </w:t>
      </w:r>
      <w:r w:rsidRPr="00C80D3A">
        <w:rPr>
          <w:szCs w:val="26"/>
        </w:rPr>
        <w:t>Corporation</w:t>
      </w:r>
      <w:r w:rsidRPr="00C80D3A">
        <w:rPr>
          <w:spacing w:val="23"/>
          <w:szCs w:val="26"/>
        </w:rPr>
        <w:t xml:space="preserve"> </w:t>
      </w:r>
      <w:r w:rsidRPr="00C80D3A">
        <w:rPr>
          <w:szCs w:val="26"/>
        </w:rPr>
        <w:t>(NFG);</w:t>
      </w:r>
      <w:r w:rsidRPr="00C80D3A">
        <w:rPr>
          <w:spacing w:val="23"/>
          <w:szCs w:val="26"/>
        </w:rPr>
        <w:t xml:space="preserve"> </w:t>
      </w:r>
    </w:p>
    <w:p w14:paraId="780901C5" w14:textId="77777777" w:rsidR="00506216" w:rsidRPr="00C80D3A" w:rsidRDefault="00506216" w:rsidP="00E71963">
      <w:pPr>
        <w:pStyle w:val="BodyText"/>
        <w:widowControl w:val="0"/>
        <w:numPr>
          <w:ilvl w:val="0"/>
          <w:numId w:val="14"/>
        </w:numPr>
        <w:ind w:right="115"/>
        <w:contextualSpacing/>
        <w:rPr>
          <w:spacing w:val="23"/>
          <w:szCs w:val="26"/>
        </w:rPr>
      </w:pPr>
      <w:r w:rsidRPr="00C80D3A">
        <w:rPr>
          <w:szCs w:val="26"/>
        </w:rPr>
        <w:t>Office of Consumer Advocate (OCA);</w:t>
      </w:r>
    </w:p>
    <w:p w14:paraId="0C95EA57"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PECO</w:t>
      </w:r>
      <w:r w:rsidRPr="00C80D3A">
        <w:rPr>
          <w:spacing w:val="22"/>
          <w:szCs w:val="26"/>
        </w:rPr>
        <w:t xml:space="preserve"> </w:t>
      </w:r>
      <w:r w:rsidRPr="00C80D3A">
        <w:rPr>
          <w:szCs w:val="26"/>
        </w:rPr>
        <w:t>Energy</w:t>
      </w:r>
      <w:r w:rsidRPr="00C80D3A">
        <w:rPr>
          <w:spacing w:val="18"/>
          <w:szCs w:val="26"/>
        </w:rPr>
        <w:t xml:space="preserve"> </w:t>
      </w:r>
      <w:r w:rsidRPr="00C80D3A">
        <w:rPr>
          <w:szCs w:val="26"/>
        </w:rPr>
        <w:t>Company</w:t>
      </w:r>
      <w:r w:rsidRPr="00C80D3A">
        <w:rPr>
          <w:spacing w:val="16"/>
          <w:szCs w:val="26"/>
        </w:rPr>
        <w:t xml:space="preserve"> </w:t>
      </w:r>
      <w:r w:rsidRPr="00C80D3A">
        <w:rPr>
          <w:szCs w:val="26"/>
        </w:rPr>
        <w:t xml:space="preserve">(PECO); </w:t>
      </w:r>
    </w:p>
    <w:p w14:paraId="6E4BC42D"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 xml:space="preserve">Pennsylvania Energy Marketers Coalition (PEMC); </w:t>
      </w:r>
    </w:p>
    <w:p w14:paraId="6BB1D181"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 xml:space="preserve">Peoples Natural Gas and Peoples-Equitable Gas Company (collectively Peoples); </w:t>
      </w:r>
    </w:p>
    <w:p w14:paraId="1FBF3614" w14:textId="305428AE" w:rsidR="00506216" w:rsidRPr="00C80D3A" w:rsidRDefault="00506216" w:rsidP="00E71963">
      <w:pPr>
        <w:pStyle w:val="BodyText"/>
        <w:widowControl w:val="0"/>
        <w:numPr>
          <w:ilvl w:val="0"/>
          <w:numId w:val="14"/>
        </w:numPr>
        <w:ind w:right="115"/>
        <w:contextualSpacing/>
        <w:rPr>
          <w:szCs w:val="26"/>
        </w:rPr>
      </w:pPr>
      <w:r w:rsidRPr="00C80D3A">
        <w:rPr>
          <w:szCs w:val="26"/>
        </w:rPr>
        <w:t>AARP Pennsylvania; ACTION Housing, Inc.; Community Justice Project; Disability Rights Pennsylvania; Health, Education, and Legal Assistance Project: A Medical-Legal Partnership; Homeless Advocacy Project; Interim House, Inc.; Just Harvest; Laurel Legal Services; Legal Aid of Southeastern Pennsylvania; MidPenn Legal Services; Neighborhood Legal Services Association; North Penn Legal Services; Pennsylvania Coalition Against Domestic Violence; Pennsylvania Council of Churches; Pennsylvania Institutional Law Project; Pennsylvania Legal Aid Network; Philadelphia Legal Assistance; Regional Housing Services; SeniorLAW; Southwestern Pennsylvania Legal Services, Inc.; The Women</w:t>
      </w:r>
      <w:r w:rsidR="001529C6">
        <w:rPr>
          <w:szCs w:val="26"/>
        </w:rPr>
        <w:t>’</w:t>
      </w:r>
      <w:r w:rsidRPr="00C80D3A">
        <w:rPr>
          <w:szCs w:val="26"/>
        </w:rPr>
        <w:t>s Center, Inc.; The Women</w:t>
      </w:r>
      <w:r w:rsidR="001529C6">
        <w:rPr>
          <w:szCs w:val="26"/>
        </w:rPr>
        <w:t>’</w:t>
      </w:r>
      <w:r w:rsidRPr="00C80D3A">
        <w:rPr>
          <w:szCs w:val="26"/>
        </w:rPr>
        <w:t>s Resource Center; Stephen R. Krone; and Medna D. Makhlouf (collectively Pennsylvania</w:t>
      </w:r>
      <w:r w:rsidRPr="00C80D3A">
        <w:rPr>
          <w:spacing w:val="1"/>
          <w:szCs w:val="26"/>
        </w:rPr>
        <w:t xml:space="preserve"> </w:t>
      </w:r>
      <w:r w:rsidRPr="00C80D3A">
        <w:rPr>
          <w:szCs w:val="26"/>
        </w:rPr>
        <w:t>Service Providers);</w:t>
      </w:r>
    </w:p>
    <w:p w14:paraId="058A6C9E"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PA Departments of Aging (Aging), Community and Economic Development (DCED), Environmental Protection (DEP), and Health and Human Services (HHS);</w:t>
      </w:r>
    </w:p>
    <w:p w14:paraId="2A75AA96"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PA Energy Marketers Coalition (PEMC);</w:t>
      </w:r>
    </w:p>
    <w:p w14:paraId="7F1E1760"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PA Weatherization Providers Taskforce;</w:t>
      </w:r>
    </w:p>
    <w:p w14:paraId="4073CABE"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Philadelphia Department of Human Services (PDHS);</w:t>
      </w:r>
    </w:p>
    <w:p w14:paraId="3535A115"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Philadelphia Gas Works (PGW)</w:t>
      </w:r>
      <w:bookmarkStart w:id="44" w:name="_bookmark1"/>
      <w:bookmarkEnd w:id="44"/>
      <w:r w:rsidRPr="00C80D3A">
        <w:rPr>
          <w:szCs w:val="26"/>
        </w:rPr>
        <w:t>;</w:t>
      </w:r>
    </w:p>
    <w:p w14:paraId="65717619"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 xml:space="preserve">PPL Electric Utilities Corporation (PPL); </w:t>
      </w:r>
    </w:p>
    <w:p w14:paraId="4CCC8442" w14:textId="77777777" w:rsidR="00506216" w:rsidRPr="00C80D3A" w:rsidRDefault="00506216" w:rsidP="00E71963">
      <w:pPr>
        <w:pStyle w:val="BodyText"/>
        <w:widowControl w:val="0"/>
        <w:numPr>
          <w:ilvl w:val="0"/>
          <w:numId w:val="14"/>
        </w:numPr>
        <w:ind w:right="115"/>
        <w:contextualSpacing/>
        <w:rPr>
          <w:spacing w:val="15"/>
          <w:szCs w:val="26"/>
        </w:rPr>
      </w:pPr>
      <w:r w:rsidRPr="00C80D3A">
        <w:rPr>
          <w:szCs w:val="26"/>
        </w:rPr>
        <w:t>UGI Utilities, Inc. – Gas Division</w:t>
      </w:r>
      <w:r w:rsidRPr="00C80D3A">
        <w:rPr>
          <w:spacing w:val="30"/>
          <w:szCs w:val="26"/>
        </w:rPr>
        <w:t xml:space="preserve"> </w:t>
      </w:r>
      <w:r w:rsidRPr="00C80D3A">
        <w:rPr>
          <w:szCs w:val="26"/>
        </w:rPr>
        <w:t>(UGI-GD), UGI</w:t>
      </w:r>
      <w:r w:rsidRPr="00C80D3A">
        <w:rPr>
          <w:spacing w:val="17"/>
          <w:szCs w:val="26"/>
        </w:rPr>
        <w:t xml:space="preserve"> </w:t>
      </w:r>
      <w:r w:rsidRPr="00C80D3A">
        <w:rPr>
          <w:szCs w:val="26"/>
        </w:rPr>
        <w:t>Utilities,</w:t>
      </w:r>
      <w:r w:rsidRPr="00C80D3A">
        <w:rPr>
          <w:spacing w:val="23"/>
          <w:szCs w:val="26"/>
        </w:rPr>
        <w:t xml:space="preserve"> </w:t>
      </w:r>
      <w:r w:rsidRPr="00C80D3A">
        <w:rPr>
          <w:szCs w:val="26"/>
        </w:rPr>
        <w:t>Inc.</w:t>
      </w:r>
      <w:r w:rsidRPr="00C80D3A">
        <w:rPr>
          <w:spacing w:val="23"/>
          <w:szCs w:val="26"/>
        </w:rPr>
        <w:t xml:space="preserve"> </w:t>
      </w:r>
      <w:r w:rsidRPr="00C80D3A">
        <w:rPr>
          <w:szCs w:val="26"/>
        </w:rPr>
        <w:t>– Electric</w:t>
      </w:r>
      <w:r w:rsidRPr="00C80D3A">
        <w:rPr>
          <w:spacing w:val="20"/>
          <w:szCs w:val="26"/>
        </w:rPr>
        <w:t xml:space="preserve"> </w:t>
      </w:r>
      <w:r w:rsidRPr="00C80D3A">
        <w:rPr>
          <w:szCs w:val="26"/>
        </w:rPr>
        <w:t>Division</w:t>
      </w:r>
      <w:r w:rsidRPr="00C80D3A">
        <w:rPr>
          <w:spacing w:val="21"/>
          <w:szCs w:val="26"/>
        </w:rPr>
        <w:t xml:space="preserve"> </w:t>
      </w:r>
      <w:r w:rsidRPr="00C80D3A">
        <w:rPr>
          <w:szCs w:val="26"/>
        </w:rPr>
        <w:t>(UGI-ED),</w:t>
      </w:r>
      <w:r w:rsidRPr="00C80D3A">
        <w:rPr>
          <w:spacing w:val="25"/>
          <w:szCs w:val="26"/>
        </w:rPr>
        <w:t xml:space="preserve"> </w:t>
      </w:r>
      <w:r w:rsidRPr="00C80D3A">
        <w:rPr>
          <w:szCs w:val="26"/>
        </w:rPr>
        <w:t>UGI</w:t>
      </w:r>
      <w:r w:rsidRPr="00C80D3A">
        <w:rPr>
          <w:spacing w:val="17"/>
          <w:szCs w:val="26"/>
        </w:rPr>
        <w:t xml:space="preserve"> </w:t>
      </w:r>
      <w:r w:rsidRPr="00C80D3A">
        <w:rPr>
          <w:szCs w:val="26"/>
        </w:rPr>
        <w:t>Penn</w:t>
      </w:r>
      <w:r w:rsidRPr="00C80D3A">
        <w:rPr>
          <w:spacing w:val="23"/>
          <w:szCs w:val="26"/>
        </w:rPr>
        <w:t xml:space="preserve"> </w:t>
      </w:r>
      <w:r w:rsidRPr="00C80D3A">
        <w:rPr>
          <w:szCs w:val="26"/>
        </w:rPr>
        <w:t>Natural</w:t>
      </w:r>
      <w:r w:rsidRPr="00C80D3A">
        <w:rPr>
          <w:spacing w:val="23"/>
          <w:szCs w:val="26"/>
        </w:rPr>
        <w:t xml:space="preserve"> </w:t>
      </w:r>
      <w:r w:rsidRPr="00C80D3A">
        <w:rPr>
          <w:szCs w:val="26"/>
        </w:rPr>
        <w:t>Gas,</w:t>
      </w:r>
      <w:r w:rsidRPr="00C80D3A">
        <w:rPr>
          <w:spacing w:val="23"/>
          <w:szCs w:val="26"/>
        </w:rPr>
        <w:t xml:space="preserve"> </w:t>
      </w:r>
      <w:r w:rsidRPr="00C80D3A">
        <w:rPr>
          <w:szCs w:val="26"/>
        </w:rPr>
        <w:t>Inc.</w:t>
      </w:r>
      <w:r w:rsidRPr="00C80D3A">
        <w:rPr>
          <w:spacing w:val="21"/>
          <w:szCs w:val="26"/>
        </w:rPr>
        <w:t xml:space="preserve"> </w:t>
      </w:r>
      <w:r w:rsidRPr="00C80D3A">
        <w:rPr>
          <w:szCs w:val="26"/>
        </w:rPr>
        <w:t>(UGI-PNG),</w:t>
      </w:r>
      <w:r w:rsidRPr="00C80D3A">
        <w:rPr>
          <w:spacing w:val="21"/>
          <w:szCs w:val="26"/>
        </w:rPr>
        <w:t xml:space="preserve"> </w:t>
      </w:r>
      <w:r w:rsidRPr="00C80D3A">
        <w:rPr>
          <w:szCs w:val="26"/>
        </w:rPr>
        <w:t>and UGI</w:t>
      </w:r>
      <w:r w:rsidRPr="00C80D3A">
        <w:rPr>
          <w:spacing w:val="9"/>
          <w:szCs w:val="26"/>
        </w:rPr>
        <w:t xml:space="preserve"> </w:t>
      </w:r>
      <w:r w:rsidRPr="00C80D3A">
        <w:rPr>
          <w:szCs w:val="26"/>
        </w:rPr>
        <w:t>Central</w:t>
      </w:r>
      <w:r w:rsidRPr="00C80D3A">
        <w:rPr>
          <w:spacing w:val="15"/>
          <w:szCs w:val="26"/>
        </w:rPr>
        <w:t xml:space="preserve"> </w:t>
      </w:r>
      <w:r w:rsidRPr="00C80D3A">
        <w:rPr>
          <w:szCs w:val="26"/>
        </w:rPr>
        <w:t>Penn</w:t>
      </w:r>
      <w:r w:rsidRPr="00C80D3A">
        <w:rPr>
          <w:spacing w:val="14"/>
          <w:szCs w:val="26"/>
        </w:rPr>
        <w:t xml:space="preserve"> </w:t>
      </w:r>
      <w:r w:rsidRPr="00C80D3A">
        <w:rPr>
          <w:szCs w:val="26"/>
        </w:rPr>
        <w:t>Gas,</w:t>
      </w:r>
      <w:r w:rsidRPr="00C80D3A">
        <w:rPr>
          <w:spacing w:val="17"/>
          <w:szCs w:val="26"/>
        </w:rPr>
        <w:t xml:space="preserve"> </w:t>
      </w:r>
      <w:r w:rsidRPr="00C80D3A">
        <w:rPr>
          <w:szCs w:val="26"/>
        </w:rPr>
        <w:t>Inc.</w:t>
      </w:r>
      <w:r w:rsidRPr="00C80D3A">
        <w:rPr>
          <w:spacing w:val="14"/>
          <w:szCs w:val="26"/>
        </w:rPr>
        <w:t xml:space="preserve"> </w:t>
      </w:r>
      <w:r w:rsidRPr="00C80D3A">
        <w:rPr>
          <w:szCs w:val="26"/>
        </w:rPr>
        <w:t>(UGI-CPG)</w:t>
      </w:r>
      <w:r w:rsidRPr="00C80D3A">
        <w:rPr>
          <w:spacing w:val="14"/>
          <w:szCs w:val="26"/>
        </w:rPr>
        <w:t xml:space="preserve"> </w:t>
      </w:r>
      <w:r w:rsidRPr="00C80D3A">
        <w:rPr>
          <w:szCs w:val="26"/>
        </w:rPr>
        <w:t>(collectively UGI or UGI utilities);</w:t>
      </w:r>
      <w:r w:rsidRPr="00C80D3A">
        <w:rPr>
          <w:spacing w:val="15"/>
          <w:szCs w:val="26"/>
        </w:rPr>
        <w:t xml:space="preserve"> </w:t>
      </w:r>
    </w:p>
    <w:p w14:paraId="5CFAB663"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United</w:t>
      </w:r>
      <w:r w:rsidRPr="00C80D3A">
        <w:rPr>
          <w:spacing w:val="14"/>
          <w:szCs w:val="26"/>
        </w:rPr>
        <w:t xml:space="preserve"> </w:t>
      </w:r>
      <w:r w:rsidRPr="00C80D3A">
        <w:rPr>
          <w:szCs w:val="26"/>
        </w:rPr>
        <w:t>Way</w:t>
      </w:r>
      <w:r w:rsidRPr="00C80D3A">
        <w:rPr>
          <w:spacing w:val="10"/>
          <w:szCs w:val="26"/>
        </w:rPr>
        <w:t xml:space="preserve"> </w:t>
      </w:r>
      <w:r w:rsidRPr="00C80D3A">
        <w:rPr>
          <w:szCs w:val="26"/>
        </w:rPr>
        <w:t>of Pennsylvania (United Way); and</w:t>
      </w:r>
    </w:p>
    <w:p w14:paraId="1933C8B6" w14:textId="77777777" w:rsidR="00506216" w:rsidRPr="00C80D3A" w:rsidRDefault="00506216" w:rsidP="00E71963">
      <w:pPr>
        <w:pStyle w:val="BodyText"/>
        <w:widowControl w:val="0"/>
        <w:numPr>
          <w:ilvl w:val="0"/>
          <w:numId w:val="14"/>
        </w:numPr>
        <w:ind w:right="115"/>
        <w:contextualSpacing/>
        <w:rPr>
          <w:szCs w:val="26"/>
        </w:rPr>
      </w:pPr>
      <w:r w:rsidRPr="00C80D3A">
        <w:rPr>
          <w:szCs w:val="26"/>
        </w:rPr>
        <w:t>Weatherization and Conservation Collaborative (WCC);</w:t>
      </w:r>
    </w:p>
    <w:p w14:paraId="72A7B24D" w14:textId="77777777" w:rsidR="00506216" w:rsidRPr="00C80D3A" w:rsidRDefault="00506216" w:rsidP="00315DBC">
      <w:pPr>
        <w:pStyle w:val="BodyText"/>
        <w:ind w:right="117"/>
        <w:contextualSpacing/>
        <w:rPr>
          <w:szCs w:val="26"/>
        </w:rPr>
      </w:pPr>
    </w:p>
    <w:p w14:paraId="2670190E" w14:textId="7C6E9CE8" w:rsidR="00506216" w:rsidRPr="00C80D3A" w:rsidRDefault="00506216" w:rsidP="00315DBC">
      <w:pPr>
        <w:spacing w:after="0"/>
        <w:contextualSpacing/>
        <w:rPr>
          <w:rFonts w:ascii="Times New Roman" w:hAnsi="Times New Roman" w:cs="Times New Roman"/>
          <w:sz w:val="26"/>
          <w:szCs w:val="26"/>
        </w:rPr>
      </w:pPr>
      <w:bookmarkStart w:id="45" w:name="_Hlk14271559"/>
      <w:r w:rsidRPr="00C80D3A">
        <w:rPr>
          <w:rFonts w:ascii="Times New Roman" w:hAnsi="Times New Roman" w:cs="Times New Roman"/>
          <w:sz w:val="26"/>
          <w:szCs w:val="26"/>
        </w:rPr>
        <w:t xml:space="preserve">On October 16, 2017, </w:t>
      </w:r>
      <w:r w:rsidR="00394E91" w:rsidRPr="00C80D3A">
        <w:rPr>
          <w:rFonts w:ascii="Times New Roman" w:hAnsi="Times New Roman" w:cs="Times New Roman"/>
          <w:sz w:val="26"/>
          <w:szCs w:val="26"/>
        </w:rPr>
        <w:t>r</w:t>
      </w:r>
      <w:r w:rsidRPr="00C80D3A">
        <w:rPr>
          <w:rFonts w:ascii="Times New Roman" w:hAnsi="Times New Roman" w:cs="Times New Roman"/>
          <w:sz w:val="26"/>
          <w:szCs w:val="26"/>
        </w:rPr>
        <w:t xml:space="preserve">eply </w:t>
      </w:r>
      <w:r w:rsidR="00394E91" w:rsidRPr="00C80D3A">
        <w:rPr>
          <w:rFonts w:ascii="Times New Roman" w:hAnsi="Times New Roman" w:cs="Times New Roman"/>
          <w:sz w:val="26"/>
          <w:szCs w:val="26"/>
        </w:rPr>
        <w:t>c</w:t>
      </w:r>
      <w:r w:rsidRPr="00C80D3A">
        <w:rPr>
          <w:rFonts w:ascii="Times New Roman" w:hAnsi="Times New Roman" w:cs="Times New Roman"/>
          <w:sz w:val="26"/>
          <w:szCs w:val="26"/>
        </w:rPr>
        <w:t xml:space="preserve">omments in this proceeding were filed at this docket by the following organizations: </w:t>
      </w:r>
    </w:p>
    <w:bookmarkEnd w:id="45"/>
    <w:p w14:paraId="357DE2E9" w14:textId="77777777" w:rsidR="00506216" w:rsidRPr="00C80D3A" w:rsidRDefault="00506216" w:rsidP="004B7326">
      <w:pPr>
        <w:pStyle w:val="ListParagraph"/>
        <w:numPr>
          <w:ilvl w:val="0"/>
          <w:numId w:val="15"/>
        </w:numPr>
        <w:rPr>
          <w:sz w:val="26"/>
          <w:szCs w:val="26"/>
        </w:rPr>
      </w:pPr>
      <w:r w:rsidRPr="00C80D3A">
        <w:rPr>
          <w:sz w:val="26"/>
          <w:szCs w:val="26"/>
        </w:rPr>
        <w:t xml:space="preserve">Commission on Economic Opportunity of Hazelton, PA (CEO Hazelton); </w:t>
      </w:r>
    </w:p>
    <w:p w14:paraId="3976E0A8" w14:textId="77777777" w:rsidR="00506216" w:rsidRPr="00C80D3A" w:rsidRDefault="00506216" w:rsidP="004B7326">
      <w:pPr>
        <w:pStyle w:val="ListParagraph"/>
        <w:numPr>
          <w:ilvl w:val="0"/>
          <w:numId w:val="15"/>
        </w:numPr>
        <w:rPr>
          <w:sz w:val="26"/>
          <w:szCs w:val="26"/>
        </w:rPr>
      </w:pPr>
      <w:r w:rsidRPr="00C80D3A">
        <w:rPr>
          <w:sz w:val="26"/>
          <w:szCs w:val="26"/>
        </w:rPr>
        <w:t xml:space="preserve">Commission on Economic Opportunity of Wyoming County (CEO Wyoming); </w:t>
      </w:r>
    </w:p>
    <w:p w14:paraId="209568F8" w14:textId="77777777" w:rsidR="00506216" w:rsidRPr="00C80D3A" w:rsidRDefault="00506216" w:rsidP="004B7326">
      <w:pPr>
        <w:pStyle w:val="ListParagraph"/>
        <w:numPr>
          <w:ilvl w:val="0"/>
          <w:numId w:val="15"/>
        </w:numPr>
        <w:rPr>
          <w:sz w:val="26"/>
          <w:szCs w:val="26"/>
        </w:rPr>
      </w:pPr>
      <w:r w:rsidRPr="00C80D3A">
        <w:rPr>
          <w:sz w:val="26"/>
          <w:szCs w:val="26"/>
        </w:rPr>
        <w:t xml:space="preserve">CEO Luzerne; </w:t>
      </w:r>
    </w:p>
    <w:p w14:paraId="1EE8C711" w14:textId="77777777" w:rsidR="00506216" w:rsidRPr="00C80D3A" w:rsidRDefault="00506216" w:rsidP="004B7326">
      <w:pPr>
        <w:pStyle w:val="ListParagraph"/>
        <w:numPr>
          <w:ilvl w:val="0"/>
          <w:numId w:val="15"/>
        </w:numPr>
        <w:rPr>
          <w:sz w:val="26"/>
          <w:szCs w:val="26"/>
        </w:rPr>
      </w:pPr>
      <w:r w:rsidRPr="00C80D3A">
        <w:rPr>
          <w:sz w:val="26"/>
          <w:szCs w:val="26"/>
        </w:rPr>
        <w:t xml:space="preserve">Low Income Advocates; </w:t>
      </w:r>
    </w:p>
    <w:p w14:paraId="632989E7" w14:textId="77777777" w:rsidR="00506216" w:rsidRPr="00C80D3A" w:rsidRDefault="00506216" w:rsidP="004B7326">
      <w:pPr>
        <w:pStyle w:val="ListParagraph"/>
        <w:numPr>
          <w:ilvl w:val="0"/>
          <w:numId w:val="15"/>
        </w:numPr>
        <w:rPr>
          <w:sz w:val="26"/>
          <w:szCs w:val="26"/>
        </w:rPr>
      </w:pPr>
      <w:r w:rsidRPr="00C80D3A">
        <w:rPr>
          <w:sz w:val="26"/>
          <w:szCs w:val="26"/>
        </w:rPr>
        <w:t xml:space="preserve">Columbia; </w:t>
      </w:r>
    </w:p>
    <w:p w14:paraId="4B9C3BA2" w14:textId="77777777" w:rsidR="00506216" w:rsidRPr="00C80D3A" w:rsidRDefault="00506216" w:rsidP="004B7326">
      <w:pPr>
        <w:pStyle w:val="ListParagraph"/>
        <w:numPr>
          <w:ilvl w:val="0"/>
          <w:numId w:val="15"/>
        </w:numPr>
        <w:rPr>
          <w:sz w:val="26"/>
          <w:szCs w:val="26"/>
        </w:rPr>
      </w:pPr>
      <w:r w:rsidRPr="00C80D3A">
        <w:rPr>
          <w:sz w:val="26"/>
          <w:szCs w:val="26"/>
        </w:rPr>
        <w:t xml:space="preserve">DLC; </w:t>
      </w:r>
    </w:p>
    <w:p w14:paraId="43A89217" w14:textId="77777777" w:rsidR="00506216" w:rsidRPr="00C80D3A" w:rsidRDefault="00506216" w:rsidP="004B7326">
      <w:pPr>
        <w:pStyle w:val="ListParagraph"/>
        <w:numPr>
          <w:ilvl w:val="0"/>
          <w:numId w:val="15"/>
        </w:numPr>
        <w:rPr>
          <w:sz w:val="26"/>
          <w:szCs w:val="26"/>
        </w:rPr>
      </w:pPr>
      <w:r w:rsidRPr="00C80D3A">
        <w:rPr>
          <w:sz w:val="26"/>
          <w:szCs w:val="26"/>
        </w:rPr>
        <w:t xml:space="preserve">Industrial Customers; </w:t>
      </w:r>
    </w:p>
    <w:p w14:paraId="34F946D6" w14:textId="77777777" w:rsidR="00506216" w:rsidRPr="00C80D3A" w:rsidRDefault="00506216" w:rsidP="004B7326">
      <w:pPr>
        <w:pStyle w:val="ListParagraph"/>
        <w:numPr>
          <w:ilvl w:val="0"/>
          <w:numId w:val="15"/>
        </w:numPr>
        <w:rPr>
          <w:sz w:val="26"/>
          <w:szCs w:val="26"/>
        </w:rPr>
      </w:pPr>
      <w:r w:rsidRPr="00C80D3A">
        <w:rPr>
          <w:sz w:val="26"/>
          <w:szCs w:val="26"/>
        </w:rPr>
        <w:t xml:space="preserve">FirstEnergy; </w:t>
      </w:r>
    </w:p>
    <w:p w14:paraId="5A1F4859" w14:textId="77777777" w:rsidR="00506216" w:rsidRPr="00C80D3A" w:rsidRDefault="00506216" w:rsidP="004B7326">
      <w:pPr>
        <w:pStyle w:val="ListParagraph"/>
        <w:numPr>
          <w:ilvl w:val="0"/>
          <w:numId w:val="15"/>
        </w:numPr>
        <w:rPr>
          <w:sz w:val="26"/>
          <w:szCs w:val="26"/>
        </w:rPr>
      </w:pPr>
      <w:r w:rsidRPr="00C80D3A">
        <w:rPr>
          <w:sz w:val="26"/>
          <w:szCs w:val="26"/>
        </w:rPr>
        <w:t xml:space="preserve">Housing Authority of the County of Beaver; </w:t>
      </w:r>
    </w:p>
    <w:p w14:paraId="7D27588B" w14:textId="77777777" w:rsidR="00506216" w:rsidRPr="00C80D3A" w:rsidRDefault="00506216" w:rsidP="004B7326">
      <w:pPr>
        <w:pStyle w:val="ListParagraph"/>
        <w:numPr>
          <w:ilvl w:val="0"/>
          <w:numId w:val="15"/>
        </w:numPr>
        <w:rPr>
          <w:sz w:val="26"/>
          <w:szCs w:val="26"/>
        </w:rPr>
      </w:pPr>
      <w:r w:rsidRPr="00C80D3A">
        <w:rPr>
          <w:sz w:val="26"/>
          <w:szCs w:val="26"/>
        </w:rPr>
        <w:t xml:space="preserve">Housing Development Corporation of NEPA (HDC); </w:t>
      </w:r>
    </w:p>
    <w:p w14:paraId="697CC102" w14:textId="77777777" w:rsidR="00506216" w:rsidRPr="00C80D3A" w:rsidRDefault="00506216" w:rsidP="004B7326">
      <w:pPr>
        <w:pStyle w:val="ListParagraph"/>
        <w:numPr>
          <w:ilvl w:val="0"/>
          <w:numId w:val="15"/>
        </w:numPr>
        <w:rPr>
          <w:sz w:val="26"/>
          <w:szCs w:val="26"/>
        </w:rPr>
      </w:pPr>
      <w:r w:rsidRPr="00C80D3A">
        <w:rPr>
          <w:sz w:val="26"/>
          <w:szCs w:val="26"/>
        </w:rPr>
        <w:t xml:space="preserve">NFG; </w:t>
      </w:r>
    </w:p>
    <w:p w14:paraId="720554F2" w14:textId="77777777" w:rsidR="00506216" w:rsidRPr="00C80D3A" w:rsidRDefault="00506216" w:rsidP="004B7326">
      <w:pPr>
        <w:pStyle w:val="ListParagraph"/>
        <w:numPr>
          <w:ilvl w:val="0"/>
          <w:numId w:val="15"/>
        </w:numPr>
        <w:rPr>
          <w:sz w:val="26"/>
          <w:szCs w:val="26"/>
        </w:rPr>
      </w:pPr>
      <w:r w:rsidRPr="00C80D3A">
        <w:rPr>
          <w:sz w:val="26"/>
          <w:szCs w:val="26"/>
        </w:rPr>
        <w:t xml:space="preserve">OCA; </w:t>
      </w:r>
    </w:p>
    <w:p w14:paraId="5198C558" w14:textId="77777777" w:rsidR="00506216" w:rsidRPr="00C80D3A" w:rsidRDefault="00506216" w:rsidP="004B7326">
      <w:pPr>
        <w:pStyle w:val="ListParagraph"/>
        <w:numPr>
          <w:ilvl w:val="0"/>
          <w:numId w:val="15"/>
        </w:numPr>
        <w:rPr>
          <w:sz w:val="26"/>
          <w:szCs w:val="26"/>
        </w:rPr>
      </w:pPr>
      <w:r w:rsidRPr="00C80D3A">
        <w:rPr>
          <w:sz w:val="26"/>
          <w:szCs w:val="26"/>
        </w:rPr>
        <w:t xml:space="preserve">Office of Small Business Advocate (OSBA); </w:t>
      </w:r>
    </w:p>
    <w:p w14:paraId="6CD79D81" w14:textId="77777777" w:rsidR="00506216" w:rsidRPr="00C80D3A" w:rsidRDefault="00506216" w:rsidP="004B7326">
      <w:pPr>
        <w:pStyle w:val="ListParagraph"/>
        <w:numPr>
          <w:ilvl w:val="0"/>
          <w:numId w:val="15"/>
        </w:numPr>
        <w:rPr>
          <w:sz w:val="26"/>
          <w:szCs w:val="26"/>
        </w:rPr>
      </w:pPr>
      <w:r w:rsidRPr="00C80D3A">
        <w:rPr>
          <w:sz w:val="26"/>
          <w:szCs w:val="26"/>
        </w:rPr>
        <w:t xml:space="preserve">PA Chamber of Business and Industry; </w:t>
      </w:r>
    </w:p>
    <w:p w14:paraId="26C24438" w14:textId="77777777" w:rsidR="00506216" w:rsidRPr="00C80D3A" w:rsidRDefault="00506216" w:rsidP="004B7326">
      <w:pPr>
        <w:pStyle w:val="ListParagraph"/>
        <w:numPr>
          <w:ilvl w:val="0"/>
          <w:numId w:val="15"/>
        </w:numPr>
        <w:rPr>
          <w:sz w:val="26"/>
          <w:szCs w:val="26"/>
        </w:rPr>
      </w:pPr>
      <w:r w:rsidRPr="00C80D3A">
        <w:rPr>
          <w:sz w:val="26"/>
          <w:szCs w:val="26"/>
        </w:rPr>
        <w:t xml:space="preserve">PA Weatherization Providers Taskforce; </w:t>
      </w:r>
    </w:p>
    <w:p w14:paraId="05BFD09E" w14:textId="77777777" w:rsidR="00506216" w:rsidRPr="00C80D3A" w:rsidRDefault="00506216" w:rsidP="004B7326">
      <w:pPr>
        <w:pStyle w:val="ListParagraph"/>
        <w:numPr>
          <w:ilvl w:val="0"/>
          <w:numId w:val="15"/>
        </w:numPr>
        <w:rPr>
          <w:sz w:val="26"/>
          <w:szCs w:val="26"/>
        </w:rPr>
      </w:pPr>
      <w:r w:rsidRPr="00C80D3A">
        <w:rPr>
          <w:sz w:val="26"/>
          <w:szCs w:val="26"/>
        </w:rPr>
        <w:t xml:space="preserve">PECO; </w:t>
      </w:r>
    </w:p>
    <w:p w14:paraId="2AB300B0" w14:textId="77777777" w:rsidR="00506216" w:rsidRPr="00C80D3A" w:rsidRDefault="00506216" w:rsidP="004B7326">
      <w:pPr>
        <w:pStyle w:val="ListParagraph"/>
        <w:numPr>
          <w:ilvl w:val="0"/>
          <w:numId w:val="15"/>
        </w:numPr>
        <w:rPr>
          <w:sz w:val="26"/>
          <w:szCs w:val="26"/>
        </w:rPr>
      </w:pPr>
      <w:r w:rsidRPr="00C80D3A">
        <w:rPr>
          <w:sz w:val="26"/>
          <w:szCs w:val="26"/>
        </w:rPr>
        <w:t xml:space="preserve">PEMC; </w:t>
      </w:r>
    </w:p>
    <w:p w14:paraId="302E17C3" w14:textId="77777777" w:rsidR="00506216" w:rsidRPr="00C80D3A" w:rsidRDefault="00506216" w:rsidP="004B7326">
      <w:pPr>
        <w:pStyle w:val="ListParagraph"/>
        <w:numPr>
          <w:ilvl w:val="0"/>
          <w:numId w:val="15"/>
        </w:numPr>
        <w:rPr>
          <w:sz w:val="26"/>
          <w:szCs w:val="26"/>
        </w:rPr>
      </w:pPr>
      <w:r w:rsidRPr="00C80D3A">
        <w:rPr>
          <w:sz w:val="26"/>
          <w:szCs w:val="26"/>
        </w:rPr>
        <w:t xml:space="preserve">Peoples; </w:t>
      </w:r>
    </w:p>
    <w:p w14:paraId="735253AD" w14:textId="77777777" w:rsidR="00506216" w:rsidRPr="00C80D3A" w:rsidRDefault="00506216" w:rsidP="004B7326">
      <w:pPr>
        <w:pStyle w:val="ListParagraph"/>
        <w:numPr>
          <w:ilvl w:val="0"/>
          <w:numId w:val="15"/>
        </w:numPr>
        <w:rPr>
          <w:sz w:val="26"/>
          <w:szCs w:val="26"/>
        </w:rPr>
      </w:pPr>
      <w:r w:rsidRPr="00C80D3A">
        <w:rPr>
          <w:sz w:val="26"/>
          <w:szCs w:val="26"/>
        </w:rPr>
        <w:t xml:space="preserve">PDHS; </w:t>
      </w:r>
    </w:p>
    <w:p w14:paraId="38610AC2" w14:textId="77777777" w:rsidR="00506216" w:rsidRPr="00C80D3A" w:rsidRDefault="00506216" w:rsidP="004B7326">
      <w:pPr>
        <w:pStyle w:val="ListParagraph"/>
        <w:numPr>
          <w:ilvl w:val="0"/>
          <w:numId w:val="15"/>
        </w:numPr>
        <w:rPr>
          <w:sz w:val="26"/>
          <w:szCs w:val="26"/>
        </w:rPr>
      </w:pPr>
      <w:r w:rsidRPr="00C80D3A">
        <w:rPr>
          <w:sz w:val="26"/>
          <w:szCs w:val="26"/>
        </w:rPr>
        <w:t>PGW;</w:t>
      </w:r>
    </w:p>
    <w:p w14:paraId="7DE69881" w14:textId="77777777" w:rsidR="00506216" w:rsidRPr="00C80D3A" w:rsidRDefault="00506216" w:rsidP="004B7326">
      <w:pPr>
        <w:pStyle w:val="ListParagraph"/>
        <w:numPr>
          <w:ilvl w:val="0"/>
          <w:numId w:val="15"/>
        </w:numPr>
        <w:rPr>
          <w:sz w:val="26"/>
          <w:szCs w:val="26"/>
        </w:rPr>
      </w:pPr>
      <w:r w:rsidRPr="00C80D3A">
        <w:rPr>
          <w:sz w:val="26"/>
          <w:szCs w:val="26"/>
        </w:rPr>
        <w:t xml:space="preserve">PPL; </w:t>
      </w:r>
    </w:p>
    <w:p w14:paraId="12757983" w14:textId="77777777" w:rsidR="00506216" w:rsidRPr="00C80D3A" w:rsidRDefault="00506216" w:rsidP="004B7326">
      <w:pPr>
        <w:pStyle w:val="ListParagraph"/>
        <w:numPr>
          <w:ilvl w:val="0"/>
          <w:numId w:val="15"/>
        </w:numPr>
        <w:rPr>
          <w:sz w:val="26"/>
          <w:szCs w:val="26"/>
        </w:rPr>
      </w:pPr>
      <w:r w:rsidRPr="00C80D3A">
        <w:rPr>
          <w:sz w:val="26"/>
          <w:szCs w:val="26"/>
        </w:rPr>
        <w:t xml:space="preserve">Scranton-Lackawanna Human Development Agency, Inc. (SLHDA); </w:t>
      </w:r>
    </w:p>
    <w:p w14:paraId="3FC358C0" w14:textId="77777777" w:rsidR="00506216" w:rsidRPr="00C80D3A" w:rsidRDefault="00506216" w:rsidP="004B7326">
      <w:pPr>
        <w:pStyle w:val="ListParagraph"/>
        <w:numPr>
          <w:ilvl w:val="0"/>
          <w:numId w:val="15"/>
        </w:numPr>
        <w:rPr>
          <w:sz w:val="26"/>
          <w:szCs w:val="26"/>
        </w:rPr>
      </w:pPr>
      <w:r w:rsidRPr="00C80D3A">
        <w:rPr>
          <w:sz w:val="26"/>
          <w:szCs w:val="26"/>
        </w:rPr>
        <w:t xml:space="preserve">UGI; </w:t>
      </w:r>
    </w:p>
    <w:p w14:paraId="4430A680" w14:textId="77777777" w:rsidR="00506216" w:rsidRPr="00C80D3A" w:rsidRDefault="00506216" w:rsidP="004B7326">
      <w:pPr>
        <w:pStyle w:val="ListParagraph"/>
        <w:numPr>
          <w:ilvl w:val="0"/>
          <w:numId w:val="15"/>
        </w:numPr>
        <w:rPr>
          <w:sz w:val="26"/>
          <w:szCs w:val="26"/>
        </w:rPr>
      </w:pPr>
      <w:r w:rsidRPr="00C80D3A">
        <w:rPr>
          <w:sz w:val="26"/>
          <w:szCs w:val="26"/>
        </w:rPr>
        <w:t xml:space="preserve">United Way; and </w:t>
      </w:r>
    </w:p>
    <w:p w14:paraId="197053CB" w14:textId="77777777" w:rsidR="00506216" w:rsidRPr="00C80D3A" w:rsidRDefault="00506216" w:rsidP="004B7326">
      <w:pPr>
        <w:pStyle w:val="ListParagraph"/>
        <w:numPr>
          <w:ilvl w:val="0"/>
          <w:numId w:val="15"/>
        </w:numPr>
        <w:rPr>
          <w:sz w:val="26"/>
          <w:szCs w:val="26"/>
        </w:rPr>
      </w:pPr>
      <w:r w:rsidRPr="00C80D3A">
        <w:rPr>
          <w:sz w:val="26"/>
          <w:szCs w:val="26"/>
        </w:rPr>
        <w:t>WCC.</w:t>
      </w:r>
    </w:p>
    <w:p w14:paraId="054B5DAE" w14:textId="77777777" w:rsidR="00506216" w:rsidRPr="00C80D3A" w:rsidRDefault="00506216" w:rsidP="00315DBC">
      <w:pPr>
        <w:spacing w:after="0"/>
        <w:contextualSpacing/>
        <w:rPr>
          <w:rFonts w:ascii="Times New Roman" w:hAnsi="Times New Roman" w:cs="Times New Roman"/>
          <w:sz w:val="26"/>
          <w:szCs w:val="26"/>
        </w:rPr>
      </w:pPr>
    </w:p>
    <w:p w14:paraId="375581E7" w14:textId="293EB971" w:rsidR="00506216" w:rsidRPr="00C80D3A" w:rsidRDefault="00506216" w:rsidP="00315DBC">
      <w:pPr>
        <w:spacing w:after="0"/>
        <w:contextualSpacing/>
        <w:rPr>
          <w:rFonts w:ascii="Times New Roman" w:hAnsi="Times New Roman" w:cs="Times New Roman"/>
          <w:sz w:val="26"/>
          <w:szCs w:val="26"/>
        </w:rPr>
      </w:pPr>
      <w:r w:rsidRPr="00C80D3A">
        <w:rPr>
          <w:rFonts w:ascii="Times New Roman" w:hAnsi="Times New Roman" w:cs="Times New Roman"/>
          <w:sz w:val="26"/>
          <w:szCs w:val="26"/>
        </w:rPr>
        <w:t>The following organizations attended the Commission</w:t>
      </w:r>
      <w:r w:rsidR="001529C6">
        <w:rPr>
          <w:rFonts w:ascii="Times New Roman" w:hAnsi="Times New Roman" w:cs="Times New Roman"/>
          <w:sz w:val="26"/>
          <w:szCs w:val="26"/>
        </w:rPr>
        <w:t>’</w:t>
      </w:r>
      <w:r w:rsidRPr="00C80D3A">
        <w:rPr>
          <w:rFonts w:ascii="Times New Roman" w:hAnsi="Times New Roman" w:cs="Times New Roman"/>
          <w:sz w:val="26"/>
          <w:szCs w:val="26"/>
        </w:rPr>
        <w:t>s Stakeholder meeting, in person or via teleconference, on September 13 and 14, 2017:</w:t>
      </w:r>
    </w:p>
    <w:p w14:paraId="66653C67" w14:textId="77777777" w:rsidR="00506216" w:rsidRPr="00C80D3A" w:rsidRDefault="00506216" w:rsidP="00315DBC">
      <w:pPr>
        <w:spacing w:after="0"/>
        <w:contextualSpacing/>
        <w:rPr>
          <w:rFonts w:ascii="Times New Roman" w:hAnsi="Times New Roman" w:cs="Times New Roman"/>
          <w:sz w:val="26"/>
          <w:szCs w:val="26"/>
        </w:rPr>
      </w:pPr>
    </w:p>
    <w:p w14:paraId="54CB322E" w14:textId="77777777" w:rsidR="00506216" w:rsidRPr="00C80D3A" w:rsidRDefault="00506216" w:rsidP="004B7326">
      <w:pPr>
        <w:pStyle w:val="ListParagraph"/>
        <w:numPr>
          <w:ilvl w:val="0"/>
          <w:numId w:val="16"/>
        </w:numPr>
        <w:rPr>
          <w:sz w:val="26"/>
          <w:szCs w:val="26"/>
        </w:rPr>
      </w:pPr>
      <w:r w:rsidRPr="00C80D3A">
        <w:rPr>
          <w:sz w:val="26"/>
          <w:szCs w:val="26"/>
        </w:rPr>
        <w:t>Burke Vullo Reilly Roberts (representing CEO Luzerne);</w:t>
      </w:r>
    </w:p>
    <w:p w14:paraId="1250E4BB" w14:textId="77777777" w:rsidR="00506216" w:rsidRPr="00C80D3A" w:rsidRDefault="00506216" w:rsidP="004B7326">
      <w:pPr>
        <w:pStyle w:val="ListParagraph"/>
        <w:numPr>
          <w:ilvl w:val="0"/>
          <w:numId w:val="16"/>
        </w:numPr>
        <w:rPr>
          <w:sz w:val="26"/>
          <w:szCs w:val="26"/>
        </w:rPr>
      </w:pPr>
      <w:r w:rsidRPr="00C80D3A">
        <w:rPr>
          <w:sz w:val="26"/>
          <w:szCs w:val="26"/>
        </w:rPr>
        <w:t>CMC Energy;</w:t>
      </w:r>
    </w:p>
    <w:p w14:paraId="4463A17D" w14:textId="77777777" w:rsidR="00506216" w:rsidRPr="00C80D3A" w:rsidRDefault="00506216" w:rsidP="004B7326">
      <w:pPr>
        <w:pStyle w:val="ListParagraph"/>
        <w:numPr>
          <w:ilvl w:val="0"/>
          <w:numId w:val="16"/>
        </w:numPr>
        <w:rPr>
          <w:sz w:val="26"/>
          <w:szCs w:val="26"/>
        </w:rPr>
      </w:pPr>
      <w:r w:rsidRPr="00C80D3A">
        <w:rPr>
          <w:sz w:val="26"/>
          <w:szCs w:val="26"/>
        </w:rPr>
        <w:t>Columbia;</w:t>
      </w:r>
    </w:p>
    <w:p w14:paraId="3D372428" w14:textId="77777777" w:rsidR="00506216" w:rsidRPr="00C80D3A" w:rsidRDefault="00506216" w:rsidP="004B7326">
      <w:pPr>
        <w:pStyle w:val="ListParagraph"/>
        <w:numPr>
          <w:ilvl w:val="0"/>
          <w:numId w:val="16"/>
        </w:numPr>
        <w:rPr>
          <w:sz w:val="26"/>
          <w:szCs w:val="26"/>
        </w:rPr>
      </w:pPr>
      <w:r w:rsidRPr="00C80D3A">
        <w:rPr>
          <w:sz w:val="26"/>
          <w:szCs w:val="26"/>
        </w:rPr>
        <w:t>Community Legal Services (CLS) (representing TURN);</w:t>
      </w:r>
    </w:p>
    <w:p w14:paraId="0772F404" w14:textId="77777777" w:rsidR="00506216" w:rsidRPr="00C80D3A" w:rsidRDefault="00506216" w:rsidP="004B7326">
      <w:pPr>
        <w:pStyle w:val="ListParagraph"/>
        <w:numPr>
          <w:ilvl w:val="0"/>
          <w:numId w:val="16"/>
        </w:numPr>
        <w:rPr>
          <w:sz w:val="26"/>
          <w:szCs w:val="26"/>
        </w:rPr>
      </w:pPr>
      <w:r w:rsidRPr="00C80D3A">
        <w:rPr>
          <w:sz w:val="26"/>
          <w:szCs w:val="26"/>
        </w:rPr>
        <w:t>Department of Human Services;</w:t>
      </w:r>
    </w:p>
    <w:p w14:paraId="6007FCFE" w14:textId="77777777" w:rsidR="00506216" w:rsidRPr="00C80D3A" w:rsidRDefault="00506216" w:rsidP="004B7326">
      <w:pPr>
        <w:pStyle w:val="ListParagraph"/>
        <w:numPr>
          <w:ilvl w:val="0"/>
          <w:numId w:val="16"/>
        </w:numPr>
        <w:rPr>
          <w:sz w:val="26"/>
          <w:szCs w:val="26"/>
        </w:rPr>
      </w:pPr>
      <w:r w:rsidRPr="00C80D3A">
        <w:rPr>
          <w:sz w:val="26"/>
          <w:szCs w:val="26"/>
        </w:rPr>
        <w:t>Dollar Energy Fund (DEF);</w:t>
      </w:r>
    </w:p>
    <w:p w14:paraId="2D817750" w14:textId="77777777" w:rsidR="00506216" w:rsidRPr="00C80D3A" w:rsidRDefault="00506216" w:rsidP="004B7326">
      <w:pPr>
        <w:pStyle w:val="ListParagraph"/>
        <w:numPr>
          <w:ilvl w:val="0"/>
          <w:numId w:val="16"/>
        </w:numPr>
        <w:rPr>
          <w:sz w:val="26"/>
          <w:szCs w:val="26"/>
        </w:rPr>
      </w:pPr>
      <w:r w:rsidRPr="00C80D3A">
        <w:rPr>
          <w:sz w:val="26"/>
          <w:szCs w:val="26"/>
        </w:rPr>
        <w:t>DLC;</w:t>
      </w:r>
    </w:p>
    <w:p w14:paraId="5ACB0623" w14:textId="77777777" w:rsidR="00506216" w:rsidRPr="00C80D3A" w:rsidRDefault="00506216" w:rsidP="004B7326">
      <w:pPr>
        <w:pStyle w:val="ListParagraph"/>
        <w:numPr>
          <w:ilvl w:val="0"/>
          <w:numId w:val="16"/>
        </w:numPr>
        <w:rPr>
          <w:sz w:val="26"/>
          <w:szCs w:val="26"/>
        </w:rPr>
      </w:pPr>
      <w:r w:rsidRPr="00C80D3A">
        <w:rPr>
          <w:sz w:val="26"/>
          <w:szCs w:val="26"/>
        </w:rPr>
        <w:t>EAP;</w:t>
      </w:r>
    </w:p>
    <w:p w14:paraId="39B750E5" w14:textId="77777777" w:rsidR="00506216" w:rsidRPr="00C80D3A" w:rsidRDefault="00506216" w:rsidP="004B7326">
      <w:pPr>
        <w:pStyle w:val="ListParagraph"/>
        <w:numPr>
          <w:ilvl w:val="0"/>
          <w:numId w:val="16"/>
        </w:numPr>
        <w:rPr>
          <w:sz w:val="26"/>
          <w:szCs w:val="26"/>
        </w:rPr>
      </w:pPr>
      <w:r w:rsidRPr="00C80D3A">
        <w:rPr>
          <w:sz w:val="26"/>
          <w:szCs w:val="26"/>
        </w:rPr>
        <w:t>Energy Coordinating Agency (ECA);</w:t>
      </w:r>
    </w:p>
    <w:p w14:paraId="48A73569" w14:textId="77777777" w:rsidR="00506216" w:rsidRPr="00C80D3A" w:rsidRDefault="00506216" w:rsidP="004B7326">
      <w:pPr>
        <w:pStyle w:val="ListParagraph"/>
        <w:numPr>
          <w:ilvl w:val="0"/>
          <w:numId w:val="16"/>
        </w:numPr>
        <w:rPr>
          <w:sz w:val="26"/>
          <w:szCs w:val="26"/>
        </w:rPr>
      </w:pPr>
      <w:r w:rsidRPr="00C80D3A">
        <w:rPr>
          <w:sz w:val="26"/>
          <w:szCs w:val="26"/>
        </w:rPr>
        <w:t>FirstEnergy;</w:t>
      </w:r>
    </w:p>
    <w:p w14:paraId="51B8DD47" w14:textId="77777777" w:rsidR="00506216" w:rsidRPr="00C80D3A" w:rsidRDefault="00506216" w:rsidP="004B7326">
      <w:pPr>
        <w:pStyle w:val="ListParagraph"/>
        <w:numPr>
          <w:ilvl w:val="0"/>
          <w:numId w:val="16"/>
        </w:numPr>
        <w:rPr>
          <w:sz w:val="26"/>
          <w:szCs w:val="26"/>
        </w:rPr>
      </w:pPr>
      <w:r w:rsidRPr="00C80D3A">
        <w:rPr>
          <w:sz w:val="26"/>
          <w:szCs w:val="26"/>
        </w:rPr>
        <w:t>Keystone Energy Efficiency Alliance;</w:t>
      </w:r>
    </w:p>
    <w:p w14:paraId="3C0DC85B" w14:textId="77777777" w:rsidR="00506216" w:rsidRPr="00C80D3A" w:rsidRDefault="00506216" w:rsidP="004B7326">
      <w:pPr>
        <w:pStyle w:val="ListParagraph"/>
        <w:numPr>
          <w:ilvl w:val="0"/>
          <w:numId w:val="16"/>
        </w:numPr>
        <w:rPr>
          <w:sz w:val="26"/>
          <w:szCs w:val="26"/>
        </w:rPr>
      </w:pPr>
      <w:r w:rsidRPr="00C80D3A">
        <w:rPr>
          <w:sz w:val="26"/>
          <w:szCs w:val="26"/>
        </w:rPr>
        <w:t>McNees, Wallace, &amp; Nurick LLC (representing Industrial Customers);</w:t>
      </w:r>
    </w:p>
    <w:p w14:paraId="77CC238C" w14:textId="77777777" w:rsidR="00506216" w:rsidRPr="00C80D3A" w:rsidRDefault="00506216" w:rsidP="004B7326">
      <w:pPr>
        <w:pStyle w:val="ListParagraph"/>
        <w:numPr>
          <w:ilvl w:val="0"/>
          <w:numId w:val="16"/>
        </w:numPr>
        <w:rPr>
          <w:sz w:val="26"/>
          <w:szCs w:val="26"/>
        </w:rPr>
      </w:pPr>
      <w:r w:rsidRPr="00C80D3A">
        <w:rPr>
          <w:sz w:val="26"/>
          <w:szCs w:val="26"/>
        </w:rPr>
        <w:t>NFG;</w:t>
      </w:r>
    </w:p>
    <w:p w14:paraId="6D7C9F8D" w14:textId="77777777" w:rsidR="00506216" w:rsidRPr="00C80D3A" w:rsidRDefault="00506216" w:rsidP="004B7326">
      <w:pPr>
        <w:pStyle w:val="ListParagraph"/>
        <w:numPr>
          <w:ilvl w:val="0"/>
          <w:numId w:val="16"/>
        </w:numPr>
        <w:rPr>
          <w:sz w:val="26"/>
          <w:szCs w:val="26"/>
        </w:rPr>
      </w:pPr>
      <w:r w:rsidRPr="00C80D3A">
        <w:rPr>
          <w:sz w:val="26"/>
          <w:szCs w:val="26"/>
        </w:rPr>
        <w:t>OCA;</w:t>
      </w:r>
    </w:p>
    <w:p w14:paraId="6101E16D" w14:textId="77777777" w:rsidR="00506216" w:rsidRPr="00C80D3A" w:rsidRDefault="00506216" w:rsidP="004B7326">
      <w:pPr>
        <w:pStyle w:val="ListParagraph"/>
        <w:numPr>
          <w:ilvl w:val="0"/>
          <w:numId w:val="16"/>
        </w:numPr>
        <w:rPr>
          <w:sz w:val="26"/>
          <w:szCs w:val="26"/>
        </w:rPr>
      </w:pPr>
      <w:r w:rsidRPr="00C80D3A">
        <w:rPr>
          <w:sz w:val="26"/>
          <w:szCs w:val="26"/>
        </w:rPr>
        <w:t>OSBA;</w:t>
      </w:r>
    </w:p>
    <w:p w14:paraId="20320085" w14:textId="77777777" w:rsidR="00506216" w:rsidRPr="00C80D3A" w:rsidRDefault="00506216" w:rsidP="004B7326">
      <w:pPr>
        <w:pStyle w:val="ListParagraph"/>
        <w:numPr>
          <w:ilvl w:val="0"/>
          <w:numId w:val="16"/>
        </w:numPr>
        <w:rPr>
          <w:sz w:val="26"/>
          <w:szCs w:val="26"/>
        </w:rPr>
      </w:pPr>
      <w:r w:rsidRPr="00C80D3A">
        <w:rPr>
          <w:sz w:val="26"/>
          <w:szCs w:val="26"/>
        </w:rPr>
        <w:t>PECO;</w:t>
      </w:r>
    </w:p>
    <w:p w14:paraId="394AB3B3" w14:textId="77777777" w:rsidR="00506216" w:rsidRPr="00C80D3A" w:rsidRDefault="00506216" w:rsidP="004B7326">
      <w:pPr>
        <w:pStyle w:val="ListParagraph"/>
        <w:numPr>
          <w:ilvl w:val="0"/>
          <w:numId w:val="16"/>
        </w:numPr>
        <w:rPr>
          <w:sz w:val="26"/>
          <w:szCs w:val="26"/>
        </w:rPr>
      </w:pPr>
      <w:r w:rsidRPr="00C80D3A">
        <w:rPr>
          <w:sz w:val="26"/>
          <w:szCs w:val="26"/>
        </w:rPr>
        <w:t>Pennsylvania Utility Law Project (PULP) (representing CAUSE-PA);</w:t>
      </w:r>
    </w:p>
    <w:p w14:paraId="01DCBB83" w14:textId="77777777" w:rsidR="00506216" w:rsidRPr="00C80D3A" w:rsidRDefault="00506216" w:rsidP="004B7326">
      <w:pPr>
        <w:pStyle w:val="ListParagraph"/>
        <w:numPr>
          <w:ilvl w:val="0"/>
          <w:numId w:val="16"/>
        </w:numPr>
        <w:rPr>
          <w:sz w:val="26"/>
          <w:szCs w:val="26"/>
        </w:rPr>
      </w:pPr>
      <w:r w:rsidRPr="00C80D3A">
        <w:rPr>
          <w:sz w:val="26"/>
          <w:szCs w:val="26"/>
        </w:rPr>
        <w:t>Peoples;</w:t>
      </w:r>
    </w:p>
    <w:p w14:paraId="0C125022" w14:textId="77777777" w:rsidR="00506216" w:rsidRPr="00C80D3A" w:rsidRDefault="00506216" w:rsidP="004B7326">
      <w:pPr>
        <w:pStyle w:val="ListParagraph"/>
        <w:numPr>
          <w:ilvl w:val="0"/>
          <w:numId w:val="16"/>
        </w:numPr>
        <w:rPr>
          <w:sz w:val="26"/>
          <w:szCs w:val="26"/>
        </w:rPr>
      </w:pPr>
      <w:r w:rsidRPr="00C80D3A">
        <w:rPr>
          <w:sz w:val="26"/>
          <w:szCs w:val="26"/>
        </w:rPr>
        <w:t>P.R. Quinlan;</w:t>
      </w:r>
    </w:p>
    <w:p w14:paraId="3598DD08" w14:textId="77777777" w:rsidR="00506216" w:rsidRPr="00C80D3A" w:rsidRDefault="00506216" w:rsidP="004B7326">
      <w:pPr>
        <w:pStyle w:val="ListParagraph"/>
        <w:numPr>
          <w:ilvl w:val="0"/>
          <w:numId w:val="16"/>
        </w:numPr>
        <w:rPr>
          <w:sz w:val="26"/>
          <w:szCs w:val="26"/>
        </w:rPr>
      </w:pPr>
      <w:r w:rsidRPr="00C80D3A">
        <w:rPr>
          <w:sz w:val="26"/>
          <w:szCs w:val="26"/>
        </w:rPr>
        <w:t>PGW;</w:t>
      </w:r>
    </w:p>
    <w:p w14:paraId="44643A9D" w14:textId="77777777" w:rsidR="00506216" w:rsidRPr="00C80D3A" w:rsidRDefault="00506216" w:rsidP="004B7326">
      <w:pPr>
        <w:pStyle w:val="ListParagraph"/>
        <w:numPr>
          <w:ilvl w:val="0"/>
          <w:numId w:val="16"/>
        </w:numPr>
        <w:rPr>
          <w:sz w:val="26"/>
          <w:szCs w:val="26"/>
        </w:rPr>
      </w:pPr>
      <w:r w:rsidRPr="00C80D3A">
        <w:rPr>
          <w:sz w:val="26"/>
          <w:szCs w:val="26"/>
        </w:rPr>
        <w:t>PPL;</w:t>
      </w:r>
    </w:p>
    <w:p w14:paraId="542964DD" w14:textId="77777777" w:rsidR="00506216" w:rsidRPr="00C80D3A" w:rsidRDefault="00506216" w:rsidP="004B7326">
      <w:pPr>
        <w:pStyle w:val="ListParagraph"/>
        <w:numPr>
          <w:ilvl w:val="0"/>
          <w:numId w:val="16"/>
        </w:numPr>
        <w:rPr>
          <w:sz w:val="26"/>
          <w:szCs w:val="26"/>
        </w:rPr>
      </w:pPr>
      <w:r w:rsidRPr="00C80D3A">
        <w:rPr>
          <w:sz w:val="26"/>
          <w:szCs w:val="26"/>
        </w:rPr>
        <w:t>SFE Energy;</w:t>
      </w:r>
    </w:p>
    <w:p w14:paraId="530F453B" w14:textId="77777777" w:rsidR="00506216" w:rsidRPr="00C80D3A" w:rsidRDefault="00506216" w:rsidP="004B7326">
      <w:pPr>
        <w:pStyle w:val="ListParagraph"/>
        <w:numPr>
          <w:ilvl w:val="0"/>
          <w:numId w:val="16"/>
        </w:numPr>
        <w:rPr>
          <w:sz w:val="26"/>
          <w:szCs w:val="26"/>
        </w:rPr>
      </w:pPr>
      <w:r w:rsidRPr="00C80D3A">
        <w:rPr>
          <w:sz w:val="26"/>
          <w:szCs w:val="26"/>
        </w:rPr>
        <w:t>UGI; and</w:t>
      </w:r>
    </w:p>
    <w:p w14:paraId="0BDFC533" w14:textId="5B73311E" w:rsidR="00506216" w:rsidRPr="00C80D3A" w:rsidRDefault="00506216" w:rsidP="004B7326">
      <w:pPr>
        <w:pStyle w:val="ListParagraph"/>
        <w:numPr>
          <w:ilvl w:val="0"/>
          <w:numId w:val="16"/>
        </w:numPr>
        <w:rPr>
          <w:sz w:val="26"/>
          <w:szCs w:val="26"/>
        </w:rPr>
      </w:pPr>
      <w:r w:rsidRPr="00C80D3A">
        <w:rPr>
          <w:sz w:val="26"/>
          <w:szCs w:val="26"/>
        </w:rPr>
        <w:t>United Way.</w:t>
      </w:r>
    </w:p>
    <w:p w14:paraId="6D303D6A" w14:textId="77777777" w:rsidR="004B7326" w:rsidRPr="00903073" w:rsidRDefault="004B7326" w:rsidP="004B7326">
      <w:pPr>
        <w:pStyle w:val="ListParagraph"/>
        <w:rPr>
          <w:sz w:val="26"/>
          <w:szCs w:val="26"/>
        </w:rPr>
      </w:pPr>
    </w:p>
    <w:p w14:paraId="56CCC616" w14:textId="77777777" w:rsidR="004B5F60" w:rsidRDefault="004B5F60">
      <w:pPr>
        <w:rPr>
          <w:rFonts w:ascii="Times New Roman" w:eastAsia="Times New Roman" w:hAnsi="Times New Roman" w:cs="Times New Roman"/>
          <w:i/>
          <w:iCs/>
          <w:spacing w:val="15"/>
          <w:sz w:val="26"/>
          <w:szCs w:val="26"/>
        </w:rPr>
      </w:pPr>
      <w:r>
        <w:rPr>
          <w:i/>
          <w:iCs/>
          <w:spacing w:val="15"/>
          <w:szCs w:val="26"/>
        </w:rPr>
        <w:br w:type="page"/>
      </w:r>
    </w:p>
    <w:p w14:paraId="229CE40F" w14:textId="77777777" w:rsidR="00506216" w:rsidRPr="00AB2536" w:rsidRDefault="00506216" w:rsidP="00315DBC">
      <w:pPr>
        <w:pStyle w:val="BodyText"/>
        <w:ind w:right="0"/>
        <w:contextualSpacing/>
        <w:jc w:val="center"/>
        <w:rPr>
          <w:szCs w:val="26"/>
        </w:rPr>
      </w:pPr>
      <w:r w:rsidRPr="00AB2536">
        <w:rPr>
          <w:i/>
          <w:iCs/>
          <w:spacing w:val="15"/>
          <w:szCs w:val="26"/>
        </w:rPr>
        <w:t>Energy Affordability for Low-Income Customers</w:t>
      </w:r>
      <w:r w:rsidRPr="00AB2536">
        <w:rPr>
          <w:spacing w:val="15"/>
          <w:szCs w:val="26"/>
        </w:rPr>
        <w:br/>
      </w:r>
      <w:r w:rsidRPr="00AB2536">
        <w:rPr>
          <w:spacing w:val="14"/>
          <w:szCs w:val="26"/>
        </w:rPr>
        <w:t>Docket No. M-2017-2587711</w:t>
      </w:r>
    </w:p>
    <w:p w14:paraId="77E5E591" w14:textId="77777777" w:rsidR="00506216" w:rsidRPr="00AB2536" w:rsidRDefault="00506216" w:rsidP="00315DBC">
      <w:pPr>
        <w:pStyle w:val="BodyText"/>
        <w:ind w:left="119" w:right="113" w:firstLine="720"/>
        <w:contextualSpacing/>
        <w:jc w:val="left"/>
        <w:rPr>
          <w:szCs w:val="26"/>
        </w:rPr>
      </w:pPr>
    </w:p>
    <w:p w14:paraId="49A4EEE0" w14:textId="26D613FC" w:rsidR="00506216" w:rsidRPr="00AB2536" w:rsidRDefault="00506216" w:rsidP="00315DBC">
      <w:pPr>
        <w:spacing w:after="0"/>
        <w:contextualSpacing/>
        <w:rPr>
          <w:rFonts w:ascii="Times New Roman" w:hAnsi="Times New Roman"/>
          <w:sz w:val="26"/>
          <w:szCs w:val="26"/>
        </w:rPr>
      </w:pPr>
      <w:r w:rsidRPr="00AB2536">
        <w:rPr>
          <w:rFonts w:ascii="Times New Roman" w:hAnsi="Times New Roman"/>
          <w:sz w:val="26"/>
          <w:szCs w:val="26"/>
        </w:rPr>
        <w:t xml:space="preserve">On April 8, 2019, </w:t>
      </w:r>
      <w:r w:rsidR="00394E91">
        <w:rPr>
          <w:rFonts w:ascii="Times New Roman" w:hAnsi="Times New Roman"/>
          <w:sz w:val="26"/>
          <w:szCs w:val="26"/>
        </w:rPr>
        <w:t>s</w:t>
      </w:r>
      <w:r w:rsidRPr="00AB2536">
        <w:rPr>
          <w:rFonts w:ascii="Times New Roman" w:hAnsi="Times New Roman"/>
          <w:sz w:val="26"/>
          <w:szCs w:val="26"/>
        </w:rPr>
        <w:t xml:space="preserve">upplemental </w:t>
      </w:r>
      <w:r w:rsidR="00394E91">
        <w:rPr>
          <w:rFonts w:ascii="Times New Roman" w:hAnsi="Times New Roman"/>
          <w:sz w:val="26"/>
          <w:szCs w:val="26"/>
        </w:rPr>
        <w:t>i</w:t>
      </w:r>
      <w:r w:rsidRPr="00AB2536">
        <w:rPr>
          <w:rFonts w:ascii="Times New Roman" w:hAnsi="Times New Roman"/>
          <w:sz w:val="26"/>
          <w:szCs w:val="26"/>
        </w:rPr>
        <w:t>nformation in this proceeding were filed at this docket by the following organizations:</w:t>
      </w:r>
    </w:p>
    <w:p w14:paraId="576CE350" w14:textId="77777777" w:rsidR="00506216" w:rsidRPr="00AB2536" w:rsidRDefault="00506216" w:rsidP="00E71963">
      <w:pPr>
        <w:pStyle w:val="ListParagraph"/>
        <w:numPr>
          <w:ilvl w:val="0"/>
          <w:numId w:val="18"/>
        </w:numPr>
        <w:rPr>
          <w:sz w:val="26"/>
          <w:szCs w:val="26"/>
        </w:rPr>
      </w:pPr>
      <w:r w:rsidRPr="00AB2536">
        <w:rPr>
          <w:sz w:val="26"/>
          <w:szCs w:val="26"/>
        </w:rPr>
        <w:t>Columbia;</w:t>
      </w:r>
    </w:p>
    <w:p w14:paraId="07594909" w14:textId="77777777" w:rsidR="00506216" w:rsidRPr="00AB2536" w:rsidRDefault="00506216" w:rsidP="00E71963">
      <w:pPr>
        <w:pStyle w:val="ListParagraph"/>
        <w:numPr>
          <w:ilvl w:val="0"/>
          <w:numId w:val="18"/>
        </w:numPr>
        <w:rPr>
          <w:sz w:val="26"/>
          <w:szCs w:val="26"/>
        </w:rPr>
      </w:pPr>
      <w:r>
        <w:rPr>
          <w:sz w:val="26"/>
          <w:szCs w:val="26"/>
        </w:rPr>
        <w:t>Duquesne</w:t>
      </w:r>
      <w:r w:rsidRPr="00AB2536">
        <w:rPr>
          <w:sz w:val="26"/>
          <w:szCs w:val="26"/>
        </w:rPr>
        <w:t>;</w:t>
      </w:r>
    </w:p>
    <w:p w14:paraId="07539100" w14:textId="77777777" w:rsidR="00506216" w:rsidRPr="00AB2536" w:rsidRDefault="00506216" w:rsidP="00E71963">
      <w:pPr>
        <w:pStyle w:val="ListParagraph"/>
        <w:numPr>
          <w:ilvl w:val="0"/>
          <w:numId w:val="18"/>
        </w:numPr>
        <w:rPr>
          <w:sz w:val="26"/>
          <w:szCs w:val="26"/>
        </w:rPr>
      </w:pPr>
      <w:r w:rsidRPr="00AB2536">
        <w:rPr>
          <w:sz w:val="26"/>
          <w:szCs w:val="26"/>
        </w:rPr>
        <w:t>FirstEnergy;</w:t>
      </w:r>
    </w:p>
    <w:p w14:paraId="2BEE5F5A" w14:textId="77777777" w:rsidR="00506216" w:rsidRPr="00AB2536" w:rsidRDefault="00506216" w:rsidP="00E71963">
      <w:pPr>
        <w:pStyle w:val="ListParagraph"/>
        <w:numPr>
          <w:ilvl w:val="0"/>
          <w:numId w:val="18"/>
        </w:numPr>
        <w:rPr>
          <w:sz w:val="26"/>
          <w:szCs w:val="26"/>
        </w:rPr>
      </w:pPr>
      <w:r w:rsidRPr="00AB2536">
        <w:rPr>
          <w:sz w:val="26"/>
          <w:szCs w:val="26"/>
        </w:rPr>
        <w:t>NFG;</w:t>
      </w:r>
    </w:p>
    <w:p w14:paraId="72CCDBEE" w14:textId="77777777" w:rsidR="00506216" w:rsidRPr="00AB2536" w:rsidRDefault="00506216" w:rsidP="00E71963">
      <w:pPr>
        <w:pStyle w:val="ListParagraph"/>
        <w:numPr>
          <w:ilvl w:val="0"/>
          <w:numId w:val="18"/>
        </w:numPr>
        <w:rPr>
          <w:sz w:val="26"/>
          <w:szCs w:val="26"/>
        </w:rPr>
      </w:pPr>
      <w:r w:rsidRPr="00AB2536">
        <w:rPr>
          <w:sz w:val="26"/>
          <w:szCs w:val="26"/>
        </w:rPr>
        <w:t>PECO;</w:t>
      </w:r>
    </w:p>
    <w:p w14:paraId="381E2A4E" w14:textId="77777777" w:rsidR="00506216" w:rsidRPr="00AB2536" w:rsidRDefault="00506216" w:rsidP="00E71963">
      <w:pPr>
        <w:pStyle w:val="ListParagraph"/>
        <w:numPr>
          <w:ilvl w:val="0"/>
          <w:numId w:val="18"/>
        </w:numPr>
        <w:rPr>
          <w:sz w:val="26"/>
          <w:szCs w:val="26"/>
        </w:rPr>
      </w:pPr>
      <w:r w:rsidRPr="00AB2536">
        <w:rPr>
          <w:sz w:val="26"/>
          <w:szCs w:val="26"/>
        </w:rPr>
        <w:t>Peoples;</w:t>
      </w:r>
    </w:p>
    <w:p w14:paraId="7849BB17" w14:textId="77777777" w:rsidR="00506216" w:rsidRPr="00AB2536" w:rsidRDefault="00506216" w:rsidP="00E71963">
      <w:pPr>
        <w:pStyle w:val="ListParagraph"/>
        <w:numPr>
          <w:ilvl w:val="0"/>
          <w:numId w:val="18"/>
        </w:numPr>
        <w:rPr>
          <w:sz w:val="26"/>
          <w:szCs w:val="26"/>
        </w:rPr>
      </w:pPr>
      <w:r w:rsidRPr="00AB2536">
        <w:rPr>
          <w:sz w:val="26"/>
          <w:szCs w:val="26"/>
        </w:rPr>
        <w:t xml:space="preserve">PGW; </w:t>
      </w:r>
    </w:p>
    <w:p w14:paraId="3F9B4982" w14:textId="77777777" w:rsidR="00506216" w:rsidRPr="00AB2536" w:rsidRDefault="00506216" w:rsidP="00E71963">
      <w:pPr>
        <w:pStyle w:val="ListParagraph"/>
        <w:numPr>
          <w:ilvl w:val="0"/>
          <w:numId w:val="18"/>
        </w:numPr>
        <w:rPr>
          <w:sz w:val="26"/>
          <w:szCs w:val="26"/>
        </w:rPr>
      </w:pPr>
      <w:r w:rsidRPr="00AB2536">
        <w:rPr>
          <w:sz w:val="26"/>
          <w:szCs w:val="26"/>
        </w:rPr>
        <w:t>PPL; and</w:t>
      </w:r>
    </w:p>
    <w:p w14:paraId="435FC649" w14:textId="77777777" w:rsidR="00506216" w:rsidRPr="00AB2536" w:rsidRDefault="00506216" w:rsidP="00E71963">
      <w:pPr>
        <w:pStyle w:val="ListParagraph"/>
        <w:numPr>
          <w:ilvl w:val="0"/>
          <w:numId w:val="18"/>
        </w:numPr>
        <w:rPr>
          <w:sz w:val="26"/>
          <w:szCs w:val="26"/>
        </w:rPr>
      </w:pPr>
      <w:r w:rsidRPr="00AB2536">
        <w:rPr>
          <w:sz w:val="26"/>
          <w:szCs w:val="26"/>
        </w:rPr>
        <w:t>UGI.</w:t>
      </w:r>
    </w:p>
    <w:p w14:paraId="4C46B1FD" w14:textId="77777777" w:rsidR="00506216" w:rsidRPr="00AB2536" w:rsidRDefault="00506216" w:rsidP="00315DBC">
      <w:pPr>
        <w:pStyle w:val="BodyText"/>
        <w:ind w:left="119" w:right="113"/>
        <w:contextualSpacing/>
        <w:rPr>
          <w:szCs w:val="26"/>
        </w:rPr>
      </w:pPr>
    </w:p>
    <w:p w14:paraId="4F271E16" w14:textId="3BEA9171" w:rsidR="00506216" w:rsidRPr="00AB2536" w:rsidRDefault="00506216" w:rsidP="00315DBC">
      <w:pPr>
        <w:pStyle w:val="BodyText"/>
        <w:ind w:left="119" w:right="113"/>
        <w:contextualSpacing/>
        <w:rPr>
          <w:szCs w:val="26"/>
        </w:rPr>
      </w:pPr>
      <w:r w:rsidRPr="00AB2536">
        <w:rPr>
          <w:szCs w:val="26"/>
        </w:rPr>
        <w:t>On</w:t>
      </w:r>
      <w:r w:rsidRPr="00AB2536">
        <w:rPr>
          <w:spacing w:val="14"/>
          <w:szCs w:val="26"/>
        </w:rPr>
        <w:t xml:space="preserve"> </w:t>
      </w:r>
      <w:r w:rsidRPr="00AB2536">
        <w:rPr>
          <w:szCs w:val="26"/>
        </w:rPr>
        <w:t>May</w:t>
      </w:r>
      <w:r w:rsidRPr="00AB2536">
        <w:rPr>
          <w:spacing w:val="15"/>
          <w:szCs w:val="26"/>
        </w:rPr>
        <w:t xml:space="preserve"> </w:t>
      </w:r>
      <w:r w:rsidRPr="00AB2536">
        <w:rPr>
          <w:szCs w:val="26"/>
        </w:rPr>
        <w:t>8,</w:t>
      </w:r>
      <w:r w:rsidRPr="00AB2536">
        <w:rPr>
          <w:spacing w:val="14"/>
          <w:szCs w:val="26"/>
        </w:rPr>
        <w:t xml:space="preserve"> </w:t>
      </w:r>
      <w:r w:rsidRPr="00AB2536">
        <w:rPr>
          <w:szCs w:val="26"/>
        </w:rPr>
        <w:t>2019,</w:t>
      </w:r>
      <w:r w:rsidRPr="00AB2536">
        <w:rPr>
          <w:spacing w:val="14"/>
          <w:szCs w:val="26"/>
        </w:rPr>
        <w:t xml:space="preserve"> </w:t>
      </w:r>
      <w:r w:rsidR="00394E91">
        <w:rPr>
          <w:szCs w:val="26"/>
        </w:rPr>
        <w:t>c</w:t>
      </w:r>
      <w:r w:rsidRPr="00AB2536">
        <w:rPr>
          <w:szCs w:val="26"/>
        </w:rPr>
        <w:t>omments</w:t>
      </w:r>
      <w:r w:rsidRPr="00AB2536">
        <w:rPr>
          <w:spacing w:val="15"/>
          <w:szCs w:val="26"/>
        </w:rPr>
        <w:t xml:space="preserve"> </w:t>
      </w:r>
      <w:r w:rsidRPr="00AB2536">
        <w:rPr>
          <w:szCs w:val="26"/>
        </w:rPr>
        <w:t>were</w:t>
      </w:r>
      <w:r w:rsidRPr="00AB2536">
        <w:rPr>
          <w:spacing w:val="13"/>
          <w:szCs w:val="26"/>
        </w:rPr>
        <w:t xml:space="preserve"> </w:t>
      </w:r>
      <w:r w:rsidRPr="00AB2536">
        <w:rPr>
          <w:szCs w:val="26"/>
        </w:rPr>
        <w:t>filed</w:t>
      </w:r>
      <w:r w:rsidRPr="00AB2536">
        <w:rPr>
          <w:spacing w:val="14"/>
          <w:szCs w:val="26"/>
        </w:rPr>
        <w:t xml:space="preserve"> </w:t>
      </w:r>
      <w:r w:rsidRPr="00AB2536">
        <w:rPr>
          <w:szCs w:val="26"/>
        </w:rPr>
        <w:t>at</w:t>
      </w:r>
      <w:r w:rsidRPr="00AB2536">
        <w:rPr>
          <w:spacing w:val="14"/>
          <w:szCs w:val="26"/>
        </w:rPr>
        <w:t xml:space="preserve"> this docket </w:t>
      </w:r>
      <w:r w:rsidRPr="00AB2536">
        <w:rPr>
          <w:szCs w:val="26"/>
        </w:rPr>
        <w:t>by</w:t>
      </w:r>
      <w:r w:rsidRPr="00AB2536">
        <w:rPr>
          <w:spacing w:val="7"/>
          <w:szCs w:val="26"/>
        </w:rPr>
        <w:t xml:space="preserve"> </w:t>
      </w:r>
      <w:r w:rsidRPr="00AB2536">
        <w:rPr>
          <w:szCs w:val="26"/>
        </w:rPr>
        <w:t>the</w:t>
      </w:r>
      <w:r w:rsidRPr="00AB2536">
        <w:rPr>
          <w:spacing w:val="13"/>
          <w:szCs w:val="26"/>
        </w:rPr>
        <w:t xml:space="preserve"> </w:t>
      </w:r>
      <w:r w:rsidRPr="00AB2536">
        <w:rPr>
          <w:szCs w:val="26"/>
        </w:rPr>
        <w:t>following</w:t>
      </w:r>
      <w:r w:rsidRPr="00AB2536">
        <w:rPr>
          <w:spacing w:val="12"/>
          <w:szCs w:val="26"/>
        </w:rPr>
        <w:t xml:space="preserve"> </w:t>
      </w:r>
      <w:r w:rsidRPr="00AB2536">
        <w:rPr>
          <w:szCs w:val="26"/>
        </w:rPr>
        <w:t xml:space="preserve">organizations: </w:t>
      </w:r>
    </w:p>
    <w:p w14:paraId="2ABA1067" w14:textId="77777777" w:rsidR="00506216" w:rsidRPr="00AB2536" w:rsidRDefault="00506216" w:rsidP="00E71963">
      <w:pPr>
        <w:pStyle w:val="BodyText"/>
        <w:widowControl w:val="0"/>
        <w:numPr>
          <w:ilvl w:val="0"/>
          <w:numId w:val="17"/>
        </w:numPr>
        <w:ind w:right="115"/>
        <w:contextualSpacing/>
        <w:rPr>
          <w:spacing w:val="26"/>
          <w:szCs w:val="26"/>
        </w:rPr>
      </w:pPr>
      <w:r w:rsidRPr="00AB2536">
        <w:rPr>
          <w:szCs w:val="26"/>
        </w:rPr>
        <w:t>Columbia;</w:t>
      </w:r>
      <w:r w:rsidRPr="00AB2536">
        <w:rPr>
          <w:spacing w:val="26"/>
          <w:szCs w:val="26"/>
        </w:rPr>
        <w:t xml:space="preserve"> </w:t>
      </w:r>
    </w:p>
    <w:p w14:paraId="3F14142A" w14:textId="77777777" w:rsidR="00506216" w:rsidRPr="00AB2536" w:rsidRDefault="00506216" w:rsidP="00E71963">
      <w:pPr>
        <w:pStyle w:val="BodyText"/>
        <w:widowControl w:val="0"/>
        <w:numPr>
          <w:ilvl w:val="0"/>
          <w:numId w:val="17"/>
        </w:numPr>
        <w:ind w:right="113"/>
        <w:contextualSpacing/>
        <w:jc w:val="left"/>
        <w:rPr>
          <w:szCs w:val="26"/>
        </w:rPr>
      </w:pPr>
      <w:r>
        <w:rPr>
          <w:szCs w:val="26"/>
        </w:rPr>
        <w:t>Duquesne</w:t>
      </w:r>
      <w:r w:rsidRPr="00AB2536">
        <w:rPr>
          <w:szCs w:val="26"/>
        </w:rPr>
        <w:t xml:space="preserve">; </w:t>
      </w:r>
    </w:p>
    <w:p w14:paraId="00565372" w14:textId="77777777" w:rsidR="00506216" w:rsidRPr="00AB2536" w:rsidRDefault="00506216" w:rsidP="00E71963">
      <w:pPr>
        <w:pStyle w:val="BodyText"/>
        <w:widowControl w:val="0"/>
        <w:numPr>
          <w:ilvl w:val="0"/>
          <w:numId w:val="17"/>
        </w:numPr>
        <w:ind w:right="115"/>
        <w:contextualSpacing/>
        <w:rPr>
          <w:szCs w:val="26"/>
        </w:rPr>
      </w:pPr>
      <w:r w:rsidRPr="00AB2536">
        <w:rPr>
          <w:szCs w:val="26"/>
        </w:rPr>
        <w:t>EAP;</w:t>
      </w:r>
    </w:p>
    <w:p w14:paraId="0ACBFB22" w14:textId="2B5DA316" w:rsidR="00506216" w:rsidRPr="00AB2536" w:rsidRDefault="00506216" w:rsidP="00E71963">
      <w:pPr>
        <w:pStyle w:val="BodyText"/>
        <w:widowControl w:val="0"/>
        <w:numPr>
          <w:ilvl w:val="0"/>
          <w:numId w:val="17"/>
        </w:numPr>
        <w:ind w:right="115"/>
        <w:contextualSpacing/>
        <w:rPr>
          <w:szCs w:val="26"/>
        </w:rPr>
      </w:pPr>
      <w:r w:rsidRPr="00AB2536">
        <w:rPr>
          <w:szCs w:val="26"/>
        </w:rPr>
        <w:t xml:space="preserve">FirstEnergy; </w:t>
      </w:r>
    </w:p>
    <w:p w14:paraId="4E6DFC1A" w14:textId="77777777" w:rsidR="00506216" w:rsidRPr="00AB2536" w:rsidRDefault="00506216" w:rsidP="00E71963">
      <w:pPr>
        <w:pStyle w:val="BodyText"/>
        <w:widowControl w:val="0"/>
        <w:numPr>
          <w:ilvl w:val="0"/>
          <w:numId w:val="17"/>
        </w:numPr>
        <w:ind w:right="115"/>
        <w:contextualSpacing/>
        <w:rPr>
          <w:spacing w:val="23"/>
          <w:szCs w:val="26"/>
        </w:rPr>
      </w:pPr>
      <w:r w:rsidRPr="00AB2536">
        <w:rPr>
          <w:szCs w:val="26"/>
        </w:rPr>
        <w:t xml:space="preserve">Low Income Advocates; </w:t>
      </w:r>
    </w:p>
    <w:p w14:paraId="6C6D54DD" w14:textId="77777777" w:rsidR="00506216" w:rsidRPr="00AB2536" w:rsidRDefault="00506216" w:rsidP="00E71963">
      <w:pPr>
        <w:pStyle w:val="BodyText"/>
        <w:widowControl w:val="0"/>
        <w:numPr>
          <w:ilvl w:val="0"/>
          <w:numId w:val="17"/>
        </w:numPr>
        <w:ind w:right="115"/>
        <w:contextualSpacing/>
        <w:rPr>
          <w:spacing w:val="23"/>
          <w:szCs w:val="26"/>
        </w:rPr>
      </w:pPr>
      <w:r w:rsidRPr="00AB2536">
        <w:rPr>
          <w:szCs w:val="26"/>
        </w:rPr>
        <w:t>NFG;</w:t>
      </w:r>
      <w:r w:rsidRPr="00AB2536">
        <w:rPr>
          <w:spacing w:val="23"/>
          <w:szCs w:val="26"/>
        </w:rPr>
        <w:t xml:space="preserve"> </w:t>
      </w:r>
    </w:p>
    <w:p w14:paraId="395D94A0" w14:textId="77777777" w:rsidR="00506216" w:rsidRPr="00AB2536" w:rsidRDefault="00506216" w:rsidP="00E71963">
      <w:pPr>
        <w:pStyle w:val="BodyText"/>
        <w:widowControl w:val="0"/>
        <w:numPr>
          <w:ilvl w:val="0"/>
          <w:numId w:val="17"/>
        </w:numPr>
        <w:ind w:right="115"/>
        <w:contextualSpacing/>
        <w:rPr>
          <w:spacing w:val="23"/>
          <w:szCs w:val="26"/>
        </w:rPr>
      </w:pPr>
      <w:r w:rsidRPr="00AB2536">
        <w:rPr>
          <w:szCs w:val="26"/>
        </w:rPr>
        <w:t>OCA;</w:t>
      </w:r>
    </w:p>
    <w:p w14:paraId="561B9F28" w14:textId="77777777" w:rsidR="00506216" w:rsidRPr="00AB2536" w:rsidRDefault="00506216" w:rsidP="00E71963">
      <w:pPr>
        <w:pStyle w:val="BodyText"/>
        <w:widowControl w:val="0"/>
        <w:numPr>
          <w:ilvl w:val="0"/>
          <w:numId w:val="17"/>
        </w:numPr>
        <w:ind w:right="115"/>
        <w:contextualSpacing/>
        <w:rPr>
          <w:szCs w:val="26"/>
        </w:rPr>
      </w:pPr>
      <w:r w:rsidRPr="00AB2536">
        <w:rPr>
          <w:szCs w:val="26"/>
        </w:rPr>
        <w:t xml:space="preserve">PECO; </w:t>
      </w:r>
    </w:p>
    <w:p w14:paraId="7CB5A3FC" w14:textId="77777777" w:rsidR="00506216" w:rsidRPr="00AB2536" w:rsidRDefault="00506216" w:rsidP="00E71963">
      <w:pPr>
        <w:pStyle w:val="BodyText"/>
        <w:widowControl w:val="0"/>
        <w:numPr>
          <w:ilvl w:val="0"/>
          <w:numId w:val="17"/>
        </w:numPr>
        <w:ind w:right="113"/>
        <w:contextualSpacing/>
        <w:jc w:val="left"/>
        <w:rPr>
          <w:szCs w:val="26"/>
        </w:rPr>
      </w:pPr>
      <w:r w:rsidRPr="00AB2536">
        <w:rPr>
          <w:szCs w:val="26"/>
        </w:rPr>
        <w:t>Peoples;</w:t>
      </w:r>
    </w:p>
    <w:p w14:paraId="5F60EE4F" w14:textId="77777777" w:rsidR="00506216" w:rsidRPr="00AB2536" w:rsidRDefault="00506216" w:rsidP="00E71963">
      <w:pPr>
        <w:pStyle w:val="BodyText"/>
        <w:widowControl w:val="0"/>
        <w:numPr>
          <w:ilvl w:val="0"/>
          <w:numId w:val="17"/>
        </w:numPr>
        <w:ind w:right="115"/>
        <w:contextualSpacing/>
        <w:rPr>
          <w:szCs w:val="26"/>
        </w:rPr>
      </w:pPr>
      <w:r w:rsidRPr="00AB2536">
        <w:rPr>
          <w:szCs w:val="26"/>
        </w:rPr>
        <w:t>PGW;</w:t>
      </w:r>
    </w:p>
    <w:p w14:paraId="24A33EF8" w14:textId="77777777" w:rsidR="00506216" w:rsidRPr="00AB2536" w:rsidRDefault="00506216" w:rsidP="00E71963">
      <w:pPr>
        <w:pStyle w:val="BodyText"/>
        <w:widowControl w:val="0"/>
        <w:numPr>
          <w:ilvl w:val="0"/>
          <w:numId w:val="17"/>
        </w:numPr>
        <w:ind w:right="115"/>
        <w:contextualSpacing/>
        <w:rPr>
          <w:szCs w:val="26"/>
        </w:rPr>
      </w:pPr>
      <w:r w:rsidRPr="00AB2536">
        <w:rPr>
          <w:szCs w:val="26"/>
        </w:rPr>
        <w:t>PPL; and</w:t>
      </w:r>
    </w:p>
    <w:p w14:paraId="25B363A5" w14:textId="77777777" w:rsidR="00506216" w:rsidRPr="00AB2536" w:rsidRDefault="00506216" w:rsidP="00E71963">
      <w:pPr>
        <w:pStyle w:val="BodyText"/>
        <w:widowControl w:val="0"/>
        <w:numPr>
          <w:ilvl w:val="0"/>
          <w:numId w:val="17"/>
        </w:numPr>
        <w:ind w:right="113"/>
        <w:contextualSpacing/>
        <w:jc w:val="left"/>
        <w:rPr>
          <w:szCs w:val="26"/>
        </w:rPr>
      </w:pPr>
      <w:r w:rsidRPr="00AB2536">
        <w:rPr>
          <w:szCs w:val="26"/>
        </w:rPr>
        <w:t>The Pennsylvania State University (PSU).</w:t>
      </w:r>
    </w:p>
    <w:p w14:paraId="6E028994" w14:textId="77777777" w:rsidR="00506216" w:rsidRPr="00AB2536" w:rsidRDefault="00506216" w:rsidP="00315DBC">
      <w:pPr>
        <w:pStyle w:val="BodyText"/>
        <w:ind w:left="119" w:right="113"/>
        <w:contextualSpacing/>
        <w:rPr>
          <w:szCs w:val="26"/>
        </w:rPr>
      </w:pPr>
    </w:p>
    <w:p w14:paraId="7264EE65" w14:textId="5935180E" w:rsidR="00506216" w:rsidRPr="00AB2536" w:rsidRDefault="00506216" w:rsidP="00315DBC">
      <w:pPr>
        <w:pStyle w:val="BodyText"/>
        <w:ind w:left="119" w:right="113"/>
        <w:contextualSpacing/>
        <w:rPr>
          <w:szCs w:val="26"/>
        </w:rPr>
      </w:pPr>
      <w:r w:rsidRPr="00AB2536">
        <w:rPr>
          <w:szCs w:val="26"/>
        </w:rPr>
        <w:t xml:space="preserve">On May 23, 2019, </w:t>
      </w:r>
      <w:r w:rsidR="00394E91">
        <w:rPr>
          <w:szCs w:val="26"/>
        </w:rPr>
        <w:t>r</w:t>
      </w:r>
      <w:r w:rsidRPr="00AB2536">
        <w:rPr>
          <w:szCs w:val="26"/>
        </w:rPr>
        <w:t xml:space="preserve">eply </w:t>
      </w:r>
      <w:r w:rsidR="00394E91">
        <w:rPr>
          <w:szCs w:val="26"/>
        </w:rPr>
        <w:t>c</w:t>
      </w:r>
      <w:r w:rsidRPr="00AB2536">
        <w:rPr>
          <w:szCs w:val="26"/>
        </w:rPr>
        <w:t>omments in this proceeding were filed at this docket by the following organizations:</w:t>
      </w:r>
    </w:p>
    <w:p w14:paraId="251A8DCE" w14:textId="77777777" w:rsidR="00506216" w:rsidRPr="00AB2536" w:rsidRDefault="00506216" w:rsidP="00E71963">
      <w:pPr>
        <w:pStyle w:val="BodyText"/>
        <w:widowControl w:val="0"/>
        <w:numPr>
          <w:ilvl w:val="0"/>
          <w:numId w:val="17"/>
        </w:numPr>
        <w:ind w:right="113"/>
        <w:contextualSpacing/>
        <w:jc w:val="left"/>
        <w:rPr>
          <w:szCs w:val="26"/>
        </w:rPr>
      </w:pPr>
      <w:r>
        <w:rPr>
          <w:szCs w:val="26"/>
        </w:rPr>
        <w:t>Duquesne</w:t>
      </w:r>
      <w:r w:rsidRPr="00AB2536">
        <w:rPr>
          <w:szCs w:val="26"/>
        </w:rPr>
        <w:t xml:space="preserve">; </w:t>
      </w:r>
    </w:p>
    <w:p w14:paraId="06BEEE15" w14:textId="77777777" w:rsidR="00506216" w:rsidRPr="00AB2536" w:rsidRDefault="00506216" w:rsidP="00E71963">
      <w:pPr>
        <w:pStyle w:val="BodyText"/>
        <w:widowControl w:val="0"/>
        <w:numPr>
          <w:ilvl w:val="0"/>
          <w:numId w:val="17"/>
        </w:numPr>
        <w:ind w:right="115"/>
        <w:contextualSpacing/>
        <w:rPr>
          <w:szCs w:val="26"/>
        </w:rPr>
      </w:pPr>
      <w:r w:rsidRPr="00AB2536">
        <w:rPr>
          <w:szCs w:val="26"/>
        </w:rPr>
        <w:t>EAP;</w:t>
      </w:r>
    </w:p>
    <w:p w14:paraId="65C051BA" w14:textId="77777777" w:rsidR="00506216" w:rsidRPr="00AB2536" w:rsidRDefault="00506216" w:rsidP="00E71963">
      <w:pPr>
        <w:pStyle w:val="BodyText"/>
        <w:widowControl w:val="0"/>
        <w:numPr>
          <w:ilvl w:val="0"/>
          <w:numId w:val="17"/>
        </w:numPr>
        <w:ind w:right="115"/>
        <w:contextualSpacing/>
        <w:rPr>
          <w:szCs w:val="26"/>
        </w:rPr>
      </w:pPr>
      <w:r w:rsidRPr="00AB2536">
        <w:rPr>
          <w:szCs w:val="26"/>
        </w:rPr>
        <w:t>Industrial Customers;</w:t>
      </w:r>
    </w:p>
    <w:p w14:paraId="1E0C2BF5" w14:textId="77777777" w:rsidR="00506216" w:rsidRPr="00AB2536" w:rsidRDefault="00506216" w:rsidP="00E71963">
      <w:pPr>
        <w:pStyle w:val="BodyText"/>
        <w:widowControl w:val="0"/>
        <w:numPr>
          <w:ilvl w:val="0"/>
          <w:numId w:val="17"/>
        </w:numPr>
        <w:ind w:right="115"/>
        <w:contextualSpacing/>
        <w:rPr>
          <w:spacing w:val="23"/>
          <w:szCs w:val="26"/>
        </w:rPr>
      </w:pPr>
      <w:r w:rsidRPr="00AB2536">
        <w:rPr>
          <w:szCs w:val="26"/>
        </w:rPr>
        <w:t xml:space="preserve">Low Income Advocates; </w:t>
      </w:r>
    </w:p>
    <w:p w14:paraId="53FF123F" w14:textId="77777777" w:rsidR="00506216" w:rsidRPr="00AB2536" w:rsidRDefault="00506216" w:rsidP="00E71963">
      <w:pPr>
        <w:pStyle w:val="BodyText"/>
        <w:widowControl w:val="0"/>
        <w:numPr>
          <w:ilvl w:val="0"/>
          <w:numId w:val="17"/>
        </w:numPr>
        <w:ind w:right="115"/>
        <w:contextualSpacing/>
        <w:rPr>
          <w:spacing w:val="23"/>
          <w:szCs w:val="26"/>
        </w:rPr>
      </w:pPr>
      <w:r w:rsidRPr="00AB2536">
        <w:rPr>
          <w:szCs w:val="26"/>
        </w:rPr>
        <w:t>OCA;</w:t>
      </w:r>
    </w:p>
    <w:p w14:paraId="7B6BD639" w14:textId="77777777" w:rsidR="00506216" w:rsidRPr="00AB2536" w:rsidRDefault="00506216" w:rsidP="00E71963">
      <w:pPr>
        <w:pStyle w:val="BodyText"/>
        <w:widowControl w:val="0"/>
        <w:numPr>
          <w:ilvl w:val="0"/>
          <w:numId w:val="17"/>
        </w:numPr>
        <w:ind w:right="115"/>
        <w:contextualSpacing/>
        <w:rPr>
          <w:spacing w:val="23"/>
          <w:szCs w:val="26"/>
        </w:rPr>
      </w:pPr>
      <w:r w:rsidRPr="00AB2536">
        <w:rPr>
          <w:szCs w:val="26"/>
        </w:rPr>
        <w:t>OSBA;</w:t>
      </w:r>
    </w:p>
    <w:p w14:paraId="730632A7" w14:textId="77777777" w:rsidR="00506216" w:rsidRPr="00AB2536" w:rsidRDefault="00506216" w:rsidP="00E71963">
      <w:pPr>
        <w:pStyle w:val="BodyText"/>
        <w:widowControl w:val="0"/>
        <w:numPr>
          <w:ilvl w:val="0"/>
          <w:numId w:val="17"/>
        </w:numPr>
        <w:ind w:right="115"/>
        <w:contextualSpacing/>
        <w:rPr>
          <w:szCs w:val="26"/>
        </w:rPr>
      </w:pPr>
      <w:r w:rsidRPr="00AB2536">
        <w:rPr>
          <w:szCs w:val="26"/>
        </w:rPr>
        <w:t xml:space="preserve">PECO; </w:t>
      </w:r>
    </w:p>
    <w:p w14:paraId="4FD22AE0" w14:textId="77777777" w:rsidR="00506216" w:rsidRPr="00AB2536" w:rsidRDefault="00506216" w:rsidP="00E71963">
      <w:pPr>
        <w:pStyle w:val="BodyText"/>
        <w:widowControl w:val="0"/>
        <w:numPr>
          <w:ilvl w:val="0"/>
          <w:numId w:val="17"/>
        </w:numPr>
        <w:ind w:right="115"/>
        <w:contextualSpacing/>
        <w:rPr>
          <w:szCs w:val="26"/>
        </w:rPr>
      </w:pPr>
      <w:r w:rsidRPr="00AB2536">
        <w:rPr>
          <w:szCs w:val="26"/>
        </w:rPr>
        <w:t>PPL; and</w:t>
      </w:r>
    </w:p>
    <w:p w14:paraId="041F90C9" w14:textId="77777777" w:rsidR="00A1677A" w:rsidRDefault="00506216" w:rsidP="00EF1464">
      <w:pPr>
        <w:pStyle w:val="BodyText"/>
        <w:widowControl w:val="0"/>
        <w:numPr>
          <w:ilvl w:val="0"/>
          <w:numId w:val="17"/>
        </w:numPr>
        <w:ind w:right="113"/>
        <w:contextualSpacing/>
        <w:jc w:val="left"/>
        <w:rPr>
          <w:szCs w:val="26"/>
        </w:rPr>
        <w:sectPr w:rsidR="00A1677A" w:rsidSect="00787BFD">
          <w:footerReference w:type="first" r:id="rId28"/>
          <w:pgSz w:w="12240" w:h="15840"/>
          <w:pgMar w:top="1440" w:right="1440" w:bottom="1440" w:left="1440" w:header="720" w:footer="720" w:gutter="0"/>
          <w:pgNumType w:start="1"/>
          <w:cols w:space="720"/>
          <w:docGrid w:linePitch="299"/>
        </w:sectPr>
      </w:pPr>
      <w:r w:rsidRPr="00354397">
        <w:rPr>
          <w:szCs w:val="26"/>
        </w:rPr>
        <w:t>PSU.</w:t>
      </w:r>
    </w:p>
    <w:p w14:paraId="6F0BF7B5" w14:textId="77777777" w:rsidR="00506216" w:rsidRPr="00354397" w:rsidRDefault="00506216" w:rsidP="00787BFD">
      <w:pPr>
        <w:pStyle w:val="BodyText"/>
        <w:widowControl w:val="0"/>
        <w:tabs>
          <w:tab w:val="left" w:pos="270"/>
        </w:tabs>
        <w:spacing w:line="360" w:lineRule="auto"/>
        <w:ind w:left="-360" w:right="113"/>
        <w:contextualSpacing/>
        <w:jc w:val="left"/>
        <w:rPr>
          <w:szCs w:val="26"/>
        </w:rPr>
      </w:pPr>
    </w:p>
    <w:p w14:paraId="4100F071" w14:textId="77777777" w:rsidR="00506216" w:rsidRDefault="00506216" w:rsidP="00315DBC">
      <w:pPr>
        <w:pStyle w:val="ListParagraph"/>
        <w:tabs>
          <w:tab w:val="left" w:pos="270"/>
        </w:tabs>
        <w:spacing w:line="360" w:lineRule="auto"/>
        <w:ind w:left="0"/>
        <w:rPr>
          <w:sz w:val="26"/>
          <w:szCs w:val="26"/>
        </w:rPr>
      </w:pPr>
    </w:p>
    <w:p w14:paraId="5C14E64E" w14:textId="77777777" w:rsidR="00506216" w:rsidRDefault="00506216" w:rsidP="00315DBC">
      <w:pPr>
        <w:pStyle w:val="ListParagraph"/>
        <w:tabs>
          <w:tab w:val="left" w:pos="270"/>
        </w:tabs>
        <w:spacing w:line="360" w:lineRule="auto"/>
        <w:ind w:left="0"/>
        <w:rPr>
          <w:sz w:val="26"/>
          <w:szCs w:val="26"/>
        </w:rPr>
      </w:pPr>
    </w:p>
    <w:p w14:paraId="28D43493" w14:textId="77777777" w:rsidR="00506216" w:rsidRDefault="00506216" w:rsidP="00315DBC">
      <w:pPr>
        <w:pStyle w:val="ListParagraph"/>
        <w:tabs>
          <w:tab w:val="left" w:pos="270"/>
        </w:tabs>
        <w:spacing w:line="360" w:lineRule="auto"/>
        <w:ind w:left="0"/>
        <w:rPr>
          <w:sz w:val="26"/>
          <w:szCs w:val="26"/>
        </w:rPr>
      </w:pPr>
    </w:p>
    <w:p w14:paraId="6FF1B701" w14:textId="77777777" w:rsidR="00506216" w:rsidRDefault="00506216" w:rsidP="00315DBC">
      <w:pPr>
        <w:pStyle w:val="ListParagraph"/>
        <w:tabs>
          <w:tab w:val="left" w:pos="270"/>
        </w:tabs>
        <w:spacing w:line="360" w:lineRule="auto"/>
        <w:ind w:left="0"/>
        <w:rPr>
          <w:sz w:val="26"/>
          <w:szCs w:val="26"/>
        </w:rPr>
      </w:pPr>
    </w:p>
    <w:p w14:paraId="270685C5" w14:textId="77777777" w:rsidR="00506216" w:rsidRDefault="00506216" w:rsidP="00315DBC">
      <w:pPr>
        <w:pStyle w:val="ListParagraph"/>
        <w:tabs>
          <w:tab w:val="left" w:pos="270"/>
        </w:tabs>
        <w:spacing w:line="360" w:lineRule="auto"/>
        <w:ind w:left="0"/>
        <w:rPr>
          <w:sz w:val="26"/>
          <w:szCs w:val="26"/>
        </w:rPr>
      </w:pPr>
    </w:p>
    <w:p w14:paraId="40469954" w14:textId="77777777" w:rsidR="00506216" w:rsidRDefault="00506216" w:rsidP="00315DBC">
      <w:pPr>
        <w:pStyle w:val="ListParagraph"/>
        <w:tabs>
          <w:tab w:val="left" w:pos="270"/>
        </w:tabs>
        <w:spacing w:line="360" w:lineRule="auto"/>
        <w:ind w:left="0"/>
        <w:rPr>
          <w:sz w:val="26"/>
          <w:szCs w:val="26"/>
        </w:rPr>
      </w:pPr>
    </w:p>
    <w:p w14:paraId="6F74FF48" w14:textId="77777777" w:rsidR="00506216" w:rsidRDefault="00506216" w:rsidP="00315DBC">
      <w:pPr>
        <w:pStyle w:val="ListParagraph"/>
        <w:tabs>
          <w:tab w:val="left" w:pos="270"/>
        </w:tabs>
        <w:spacing w:line="360" w:lineRule="auto"/>
        <w:ind w:left="0"/>
        <w:rPr>
          <w:sz w:val="26"/>
          <w:szCs w:val="26"/>
        </w:rPr>
      </w:pPr>
    </w:p>
    <w:p w14:paraId="76727034" w14:textId="77777777" w:rsidR="00506216" w:rsidRDefault="00506216" w:rsidP="00315DBC">
      <w:pPr>
        <w:pStyle w:val="ListParagraph"/>
        <w:tabs>
          <w:tab w:val="left" w:pos="270"/>
        </w:tabs>
        <w:spacing w:line="360" w:lineRule="auto"/>
        <w:ind w:left="0"/>
        <w:rPr>
          <w:sz w:val="26"/>
          <w:szCs w:val="26"/>
        </w:rPr>
      </w:pPr>
    </w:p>
    <w:p w14:paraId="1F476F42" w14:textId="353BFB01" w:rsidR="00506216" w:rsidRDefault="00B769AE" w:rsidP="00315DBC">
      <w:pPr>
        <w:pStyle w:val="ListParagraph"/>
        <w:tabs>
          <w:tab w:val="left" w:pos="270"/>
        </w:tabs>
        <w:spacing w:line="360" w:lineRule="auto"/>
        <w:ind w:left="0"/>
        <w:jc w:val="center"/>
        <w:rPr>
          <w:sz w:val="96"/>
          <w:szCs w:val="96"/>
        </w:rPr>
      </w:pPr>
      <w:r>
        <w:rPr>
          <w:sz w:val="96"/>
          <w:szCs w:val="96"/>
        </w:rPr>
        <w:t>Appendix</w:t>
      </w:r>
      <w:r w:rsidR="00506216" w:rsidRPr="00AD7E41">
        <w:rPr>
          <w:sz w:val="96"/>
          <w:szCs w:val="96"/>
        </w:rPr>
        <w:t xml:space="preserve"> </w:t>
      </w:r>
      <w:r w:rsidR="00506216">
        <w:rPr>
          <w:sz w:val="96"/>
          <w:szCs w:val="96"/>
        </w:rPr>
        <w:t>C</w:t>
      </w:r>
    </w:p>
    <w:p w14:paraId="59191A85" w14:textId="0A30398E" w:rsidR="00864303" w:rsidRDefault="002C7991" w:rsidP="00315DBC">
      <w:pPr>
        <w:pStyle w:val="ListParagraph"/>
        <w:tabs>
          <w:tab w:val="left" w:pos="270"/>
        </w:tabs>
        <w:spacing w:line="360" w:lineRule="auto"/>
        <w:ind w:left="0"/>
        <w:jc w:val="center"/>
        <w:rPr>
          <w:sz w:val="96"/>
          <w:szCs w:val="96"/>
        </w:rPr>
      </w:pPr>
      <w:r>
        <w:rPr>
          <w:sz w:val="96"/>
          <w:szCs w:val="96"/>
        </w:rPr>
        <w:t>Zero Income Form</w:t>
      </w:r>
    </w:p>
    <w:p w14:paraId="1283EDE7" w14:textId="77777777" w:rsidR="00506216" w:rsidRDefault="00506216" w:rsidP="00315DBC">
      <w:pPr>
        <w:spacing w:after="0"/>
        <w:contextualSpacing/>
        <w:rPr>
          <w:rFonts w:ascii="Times New Roman" w:eastAsia="Calibri" w:hAnsi="Times New Roman"/>
          <w:sz w:val="96"/>
          <w:szCs w:val="96"/>
        </w:rPr>
      </w:pPr>
      <w:r>
        <w:rPr>
          <w:rFonts w:ascii="Times New Roman" w:hAnsi="Times New Roman"/>
          <w:sz w:val="96"/>
          <w:szCs w:val="96"/>
        </w:rPr>
        <w:br w:type="page"/>
      </w:r>
    </w:p>
    <w:p w14:paraId="46389BED" w14:textId="77777777" w:rsidR="00A1677A" w:rsidRDefault="00506216" w:rsidP="00361D90">
      <w:pPr>
        <w:pStyle w:val="ListParagraph"/>
        <w:tabs>
          <w:tab w:val="left" w:pos="270"/>
        </w:tabs>
        <w:spacing w:line="360" w:lineRule="auto"/>
        <w:ind w:left="0"/>
        <w:jc w:val="center"/>
        <w:rPr>
          <w:sz w:val="96"/>
          <w:szCs w:val="96"/>
        </w:rPr>
        <w:sectPr w:rsidR="00A1677A" w:rsidSect="00A1677A">
          <w:pgSz w:w="12240" w:h="15840"/>
          <w:pgMar w:top="1440" w:right="1440" w:bottom="1440" w:left="1440" w:header="720" w:footer="720" w:gutter="0"/>
          <w:pgNumType w:start="1"/>
          <w:cols w:space="720"/>
          <w:titlePg/>
          <w:docGrid w:linePitch="299"/>
        </w:sectPr>
      </w:pPr>
      <w:r>
        <w:rPr>
          <w:sz w:val="96"/>
          <w:szCs w:val="96"/>
        </w:rPr>
        <w:object w:dxaOrig="8925" w:dyaOrig="12631" w14:anchorId="61587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690pt" o:ole="">
            <v:imagedata r:id="rId29" o:title=""/>
          </v:shape>
          <o:OLEObject Type="Embed" ProgID="AcroExch.Document.7" ShapeID="_x0000_i1025" DrawAspect="Content" ObjectID="_1638510063" r:id="rId30"/>
        </w:object>
      </w:r>
    </w:p>
    <w:p w14:paraId="03B9323C" w14:textId="74C3CF2D" w:rsidR="00A67271" w:rsidRPr="00361D90" w:rsidRDefault="00A67271" w:rsidP="00361D90">
      <w:pPr>
        <w:pStyle w:val="ListParagraph"/>
        <w:tabs>
          <w:tab w:val="left" w:pos="270"/>
        </w:tabs>
        <w:spacing w:line="360" w:lineRule="auto"/>
        <w:ind w:left="0"/>
        <w:jc w:val="center"/>
      </w:pPr>
    </w:p>
    <w:p w14:paraId="1C22D9DD" w14:textId="77777777" w:rsidR="00735D5B" w:rsidRDefault="00735D5B" w:rsidP="00315DBC">
      <w:pPr>
        <w:pStyle w:val="ListParagraph"/>
        <w:tabs>
          <w:tab w:val="left" w:pos="270"/>
        </w:tabs>
        <w:spacing w:line="360" w:lineRule="auto"/>
        <w:ind w:left="0"/>
        <w:jc w:val="center"/>
        <w:rPr>
          <w:sz w:val="96"/>
          <w:szCs w:val="96"/>
        </w:rPr>
      </w:pPr>
    </w:p>
    <w:p w14:paraId="2A515A4A" w14:textId="77777777" w:rsidR="00AE5398" w:rsidRPr="008B3F62" w:rsidRDefault="00AE5398">
      <w:pPr>
        <w:rPr>
          <w:rFonts w:ascii="Times New Roman" w:hAnsi="Times New Roman" w:cs="Times New Roman"/>
          <w:sz w:val="96"/>
          <w:szCs w:val="96"/>
        </w:rPr>
      </w:pPr>
    </w:p>
    <w:p w14:paraId="6CA4A938" w14:textId="77777777" w:rsidR="00AE5398" w:rsidRPr="008B3F62" w:rsidRDefault="00AE5398">
      <w:pPr>
        <w:rPr>
          <w:rFonts w:ascii="Times New Roman" w:hAnsi="Times New Roman" w:cs="Times New Roman"/>
          <w:sz w:val="96"/>
          <w:szCs w:val="96"/>
        </w:rPr>
      </w:pPr>
    </w:p>
    <w:p w14:paraId="0F0CE83D" w14:textId="5282A615" w:rsidR="00AE5398" w:rsidRPr="008B3F62" w:rsidRDefault="00AE5398" w:rsidP="00AE5398">
      <w:pPr>
        <w:jc w:val="center"/>
        <w:rPr>
          <w:rFonts w:ascii="Times New Roman" w:hAnsi="Times New Roman" w:cs="Times New Roman"/>
          <w:sz w:val="96"/>
          <w:szCs w:val="96"/>
        </w:rPr>
      </w:pPr>
      <w:r w:rsidRPr="008B3F62">
        <w:rPr>
          <w:rFonts w:ascii="Times New Roman" w:hAnsi="Times New Roman" w:cs="Times New Roman"/>
          <w:sz w:val="96"/>
          <w:szCs w:val="96"/>
        </w:rPr>
        <w:t>Annex</w:t>
      </w:r>
      <w:r w:rsidR="00F3671A">
        <w:rPr>
          <w:rFonts w:ascii="Times New Roman" w:hAnsi="Times New Roman" w:cs="Times New Roman"/>
          <w:sz w:val="96"/>
          <w:szCs w:val="96"/>
        </w:rPr>
        <w:t xml:space="preserve"> A</w:t>
      </w:r>
    </w:p>
    <w:p w14:paraId="06F007D7" w14:textId="2E2019FD" w:rsidR="00AE5398" w:rsidRPr="008B3F62" w:rsidRDefault="00437D81" w:rsidP="00C21EFB">
      <w:pPr>
        <w:jc w:val="center"/>
        <w:rPr>
          <w:rFonts w:ascii="Times New Roman" w:hAnsi="Times New Roman" w:cs="Times New Roman"/>
          <w:sz w:val="96"/>
          <w:szCs w:val="96"/>
        </w:rPr>
      </w:pPr>
      <w:r>
        <w:rPr>
          <w:rFonts w:ascii="Times New Roman" w:hAnsi="Times New Roman" w:cs="Times New Roman"/>
          <w:sz w:val="96"/>
          <w:szCs w:val="96"/>
        </w:rPr>
        <w:t xml:space="preserve">2019 Amended </w:t>
      </w:r>
      <w:r w:rsidR="008B3F62">
        <w:rPr>
          <w:rFonts w:ascii="Times New Roman" w:hAnsi="Times New Roman" w:cs="Times New Roman"/>
          <w:sz w:val="96"/>
          <w:szCs w:val="96"/>
        </w:rPr>
        <w:t>CAP</w:t>
      </w:r>
      <w:r w:rsidR="003B1448">
        <w:rPr>
          <w:rFonts w:ascii="Times New Roman" w:hAnsi="Times New Roman" w:cs="Times New Roman"/>
          <w:sz w:val="96"/>
          <w:szCs w:val="96"/>
        </w:rPr>
        <w:t> </w:t>
      </w:r>
      <w:r w:rsidR="008B3F62">
        <w:rPr>
          <w:rFonts w:ascii="Times New Roman" w:hAnsi="Times New Roman" w:cs="Times New Roman"/>
          <w:sz w:val="96"/>
          <w:szCs w:val="96"/>
        </w:rPr>
        <w:t>Policy Statement</w:t>
      </w:r>
    </w:p>
    <w:p w14:paraId="22DE0591" w14:textId="77777777" w:rsidR="00AE5398" w:rsidRPr="008B3F62" w:rsidRDefault="00AE5398">
      <w:pPr>
        <w:rPr>
          <w:rFonts w:ascii="Times New Roman" w:hAnsi="Times New Roman" w:cs="Times New Roman"/>
          <w:sz w:val="96"/>
          <w:szCs w:val="96"/>
        </w:rPr>
      </w:pPr>
    </w:p>
    <w:p w14:paraId="017133D8" w14:textId="77777777" w:rsidR="007C5811" w:rsidRDefault="003F4CB9">
      <w:pPr>
        <w:rPr>
          <w:sz w:val="26"/>
          <w:szCs w:val="26"/>
        </w:rPr>
        <w:sectPr w:rsidR="007C5811" w:rsidSect="00354397">
          <w:pgSz w:w="12240" w:h="15840"/>
          <w:pgMar w:top="1440" w:right="1440" w:bottom="1440" w:left="1440" w:header="720" w:footer="720" w:gutter="0"/>
          <w:pgNumType w:start="1"/>
          <w:cols w:space="720"/>
          <w:titlePg/>
          <w:docGrid w:linePitch="299"/>
        </w:sectPr>
      </w:pPr>
      <w:r>
        <w:rPr>
          <w:sz w:val="26"/>
          <w:szCs w:val="26"/>
        </w:rPr>
        <w:br w:type="page"/>
      </w:r>
    </w:p>
    <w:p w14:paraId="0E491732" w14:textId="55CC6940" w:rsidR="00F52B09" w:rsidRDefault="00F52B09" w:rsidP="003F4CB9">
      <w:pPr>
        <w:jc w:val="center"/>
        <w:rPr>
          <w:rFonts w:ascii="Times New Roman" w:hAnsi="Times New Roman" w:cs="Times New Roman"/>
          <w:b/>
          <w:sz w:val="26"/>
          <w:szCs w:val="26"/>
        </w:rPr>
      </w:pPr>
      <w:r>
        <w:rPr>
          <w:rFonts w:ascii="Times New Roman" w:hAnsi="Times New Roman" w:cs="Times New Roman"/>
          <w:b/>
          <w:sz w:val="26"/>
          <w:szCs w:val="26"/>
        </w:rPr>
        <w:t>ANNEX A</w:t>
      </w:r>
    </w:p>
    <w:p w14:paraId="6A8979FF" w14:textId="30BAEDFF" w:rsidR="003F4CB9" w:rsidRPr="00E21B7F" w:rsidRDefault="003F4CB9" w:rsidP="003F4CB9">
      <w:pPr>
        <w:jc w:val="center"/>
        <w:rPr>
          <w:rFonts w:ascii="Times New Roman" w:hAnsi="Times New Roman" w:cs="Times New Roman"/>
          <w:b/>
          <w:sz w:val="26"/>
          <w:szCs w:val="26"/>
        </w:rPr>
      </w:pPr>
      <w:r w:rsidRPr="00E21B7F">
        <w:rPr>
          <w:rFonts w:ascii="Times New Roman" w:hAnsi="Times New Roman" w:cs="Times New Roman"/>
          <w:b/>
          <w:sz w:val="26"/>
          <w:szCs w:val="26"/>
        </w:rPr>
        <w:t>TITLE 52. PUBLIC UTILITIES</w:t>
      </w:r>
    </w:p>
    <w:p w14:paraId="371A1955" w14:textId="77777777" w:rsidR="003F4CB9" w:rsidRPr="00E21B7F" w:rsidRDefault="003F4CB9" w:rsidP="003F4CB9">
      <w:pPr>
        <w:jc w:val="center"/>
        <w:rPr>
          <w:rFonts w:ascii="Times New Roman" w:hAnsi="Times New Roman" w:cs="Times New Roman"/>
          <w:b/>
          <w:sz w:val="26"/>
          <w:szCs w:val="26"/>
        </w:rPr>
      </w:pPr>
      <w:r w:rsidRPr="00E21B7F">
        <w:rPr>
          <w:rFonts w:ascii="Times New Roman" w:hAnsi="Times New Roman" w:cs="Times New Roman"/>
          <w:b/>
          <w:sz w:val="26"/>
          <w:szCs w:val="26"/>
        </w:rPr>
        <w:t>PART 1. PUBLIC UTILITY COMMISSION</w:t>
      </w:r>
    </w:p>
    <w:p w14:paraId="7F4AA8B8" w14:textId="039A3821" w:rsidR="003F4CB9" w:rsidRPr="00E21B7F" w:rsidRDefault="003F4CB9" w:rsidP="003F4CB9">
      <w:pPr>
        <w:jc w:val="center"/>
        <w:rPr>
          <w:rFonts w:ascii="Times New Roman" w:hAnsi="Times New Roman" w:cs="Times New Roman"/>
          <w:b/>
          <w:sz w:val="26"/>
          <w:szCs w:val="26"/>
        </w:rPr>
      </w:pPr>
      <w:r w:rsidRPr="00E21B7F">
        <w:rPr>
          <w:rFonts w:ascii="Times New Roman" w:hAnsi="Times New Roman" w:cs="Times New Roman"/>
          <w:b/>
          <w:sz w:val="26"/>
          <w:szCs w:val="26"/>
        </w:rPr>
        <w:t xml:space="preserve">Subpart </w:t>
      </w:r>
      <w:r w:rsidR="00AE28FE">
        <w:rPr>
          <w:rFonts w:ascii="Times New Roman" w:hAnsi="Times New Roman" w:cs="Times New Roman"/>
          <w:b/>
          <w:sz w:val="26"/>
          <w:szCs w:val="26"/>
        </w:rPr>
        <w:t>C</w:t>
      </w:r>
      <w:r w:rsidRPr="00E21B7F">
        <w:rPr>
          <w:rFonts w:ascii="Times New Roman" w:hAnsi="Times New Roman" w:cs="Times New Roman"/>
          <w:b/>
          <w:sz w:val="26"/>
          <w:szCs w:val="26"/>
        </w:rPr>
        <w:t xml:space="preserve">. </w:t>
      </w:r>
      <w:r w:rsidR="00BE1572">
        <w:rPr>
          <w:rFonts w:ascii="Times New Roman" w:hAnsi="Times New Roman" w:cs="Times New Roman"/>
          <w:b/>
          <w:sz w:val="26"/>
          <w:szCs w:val="26"/>
        </w:rPr>
        <w:t>FIXED UTILITY SERVICES</w:t>
      </w:r>
    </w:p>
    <w:p w14:paraId="6E3788B0" w14:textId="77777777" w:rsidR="003F4CB9" w:rsidRPr="00E21B7F" w:rsidRDefault="003F4CB9" w:rsidP="003F4CB9">
      <w:pPr>
        <w:spacing w:after="0" w:line="240" w:lineRule="auto"/>
        <w:jc w:val="center"/>
        <w:rPr>
          <w:rFonts w:ascii="Times New Roman" w:hAnsi="Times New Roman" w:cs="Times New Roman"/>
          <w:b/>
          <w:sz w:val="26"/>
          <w:szCs w:val="26"/>
        </w:rPr>
      </w:pPr>
      <w:r w:rsidRPr="00E21B7F">
        <w:rPr>
          <w:rFonts w:ascii="Times New Roman" w:hAnsi="Times New Roman" w:cs="Times New Roman"/>
          <w:b/>
          <w:sz w:val="26"/>
          <w:szCs w:val="26"/>
        </w:rPr>
        <w:t xml:space="preserve">CHAPTER 69: GENERAL ORDERS, POLICY STATEMENT </w:t>
      </w:r>
    </w:p>
    <w:p w14:paraId="6383ACDD" w14:textId="77777777" w:rsidR="003F4CB9" w:rsidRPr="00E21B7F" w:rsidRDefault="003F4CB9" w:rsidP="003F4CB9">
      <w:pPr>
        <w:jc w:val="center"/>
        <w:rPr>
          <w:rFonts w:ascii="Times New Roman" w:hAnsi="Times New Roman" w:cs="Times New Roman"/>
          <w:b/>
          <w:sz w:val="26"/>
          <w:szCs w:val="26"/>
        </w:rPr>
      </w:pPr>
      <w:r w:rsidRPr="00E21B7F">
        <w:rPr>
          <w:rFonts w:ascii="Times New Roman" w:hAnsi="Times New Roman" w:cs="Times New Roman"/>
          <w:b/>
          <w:sz w:val="26"/>
          <w:szCs w:val="26"/>
        </w:rPr>
        <w:t>AND GUIDELINES ON FIXED UTILITIES</w:t>
      </w:r>
    </w:p>
    <w:p w14:paraId="4D8B8DE6" w14:textId="77777777" w:rsidR="003F4CB9" w:rsidRPr="00E21B7F" w:rsidRDefault="003F4CB9" w:rsidP="003F4CB9">
      <w:pPr>
        <w:spacing w:beforeAutospacing="1" w:after="100" w:afterAutospacing="1" w:line="240" w:lineRule="auto"/>
        <w:jc w:val="center"/>
        <w:outlineLvl w:val="2"/>
        <w:rPr>
          <w:rFonts w:ascii="Times New Roman" w:eastAsia="Times New Roman" w:hAnsi="Times New Roman" w:cs="Times New Roman"/>
          <w:b/>
          <w:bCs/>
          <w:sz w:val="26"/>
          <w:szCs w:val="26"/>
        </w:rPr>
      </w:pPr>
      <w:r w:rsidRPr="00E21B7F">
        <w:rPr>
          <w:rFonts w:ascii="Times New Roman" w:eastAsia="Times New Roman" w:hAnsi="Times New Roman" w:cs="Times New Roman"/>
          <w:b/>
          <w:bCs/>
          <w:sz w:val="26"/>
          <w:szCs w:val="26"/>
        </w:rPr>
        <w:t>POLICY STATEMENT ON</w:t>
      </w:r>
      <w:r w:rsidRPr="00E21B7F">
        <w:rPr>
          <w:rFonts w:ascii="Times New Roman" w:eastAsia="Times New Roman" w:hAnsi="Times New Roman" w:cs="Times New Roman"/>
          <w:b/>
          <w:bCs/>
          <w:sz w:val="26"/>
          <w:szCs w:val="26"/>
        </w:rPr>
        <w:br/>
        <w:t>CUSTOMER ASSISTANCE PROGRAMS</w:t>
      </w:r>
    </w:p>
    <w:p w14:paraId="7DCF94CE" w14:textId="77777777" w:rsidR="003F4CB9" w:rsidRPr="00E21B7F" w:rsidRDefault="003F4CB9" w:rsidP="003F4CB9">
      <w:pPr>
        <w:spacing w:after="0" w:line="240" w:lineRule="auto"/>
        <w:rPr>
          <w:rFonts w:ascii="Times New Roman" w:eastAsia="Times New Roman" w:hAnsi="Times New Roman" w:cs="Times New Roman"/>
          <w:sz w:val="26"/>
          <w:szCs w:val="26"/>
        </w:rPr>
      </w:pPr>
    </w:p>
    <w:p w14:paraId="1F8CA464" w14:textId="77777777" w:rsidR="003F4CB9" w:rsidRPr="00E21B7F" w:rsidRDefault="003F4CB9" w:rsidP="003F4CB9">
      <w:pPr>
        <w:spacing w:before="100" w:beforeAutospacing="1" w:after="100" w:afterAutospacing="1" w:line="240" w:lineRule="auto"/>
        <w:outlineLvl w:val="3"/>
        <w:rPr>
          <w:rFonts w:ascii="Times New Roman" w:eastAsia="Times New Roman" w:hAnsi="Times New Roman" w:cs="Times New Roman"/>
          <w:b/>
          <w:bCs/>
          <w:sz w:val="26"/>
          <w:szCs w:val="26"/>
        </w:rPr>
      </w:pPr>
      <w:r w:rsidRPr="00E21B7F">
        <w:rPr>
          <w:rFonts w:ascii="Times New Roman" w:eastAsia="Times New Roman" w:hAnsi="Times New Roman" w:cs="Times New Roman"/>
          <w:b/>
          <w:bCs/>
          <w:sz w:val="26"/>
          <w:szCs w:val="26"/>
        </w:rPr>
        <w:t>§ 69.261. General.</w:t>
      </w:r>
    </w:p>
    <w:p w14:paraId="718B460D" w14:textId="703DB430"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CAPs are designed as alternatives to traditional collection methods for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low income, payment troubled</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 xml:space="preserve">low-income </w:t>
      </w:r>
      <w:r w:rsidRPr="00E21B7F">
        <w:rPr>
          <w:rFonts w:ascii="Times New Roman" w:eastAsia="Times New Roman" w:hAnsi="Times New Roman" w:cs="Times New Roman"/>
          <w:sz w:val="26"/>
          <w:szCs w:val="26"/>
        </w:rPr>
        <w:t xml:space="preserve">customers. Customers participating in CAPs agree to make monthly payments based on household </w:t>
      </w:r>
      <w:r w:rsidR="00B25B27">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family</w:t>
      </w:r>
      <w:r w:rsidR="00CF1270">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size and gross </w:t>
      </w:r>
      <w:r w:rsidR="00CF1270">
        <w:rPr>
          <w:rFonts w:ascii="Times New Roman" w:eastAsia="Times New Roman" w:hAnsi="Times New Roman" w:cs="Times New Roman"/>
          <w:sz w:val="26"/>
          <w:szCs w:val="26"/>
          <w:u w:val="single"/>
        </w:rPr>
        <w:t>household</w:t>
      </w:r>
      <w:r w:rsidR="000F210C">
        <w:rPr>
          <w:rFonts w:ascii="Times New Roman" w:eastAsia="Times New Roman" w:hAnsi="Times New Roman" w:cs="Times New Roman"/>
          <w:sz w:val="26"/>
          <w:szCs w:val="26"/>
          <w:u w:val="single"/>
        </w:rPr>
        <w:t xml:space="preserve"> </w:t>
      </w:r>
      <w:r w:rsidRPr="00E21B7F">
        <w:rPr>
          <w:rFonts w:ascii="Times New Roman" w:eastAsia="Times New Roman" w:hAnsi="Times New Roman" w:cs="Times New Roman"/>
          <w:sz w:val="26"/>
          <w:szCs w:val="26"/>
        </w:rPr>
        <w:t xml:space="preserve">income.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Customers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 xml:space="preserve">CAP </w:t>
      </w:r>
      <w:r w:rsidRPr="002B4D81">
        <w:rPr>
          <w:rFonts w:ascii="Times New Roman" w:eastAsia="Times New Roman" w:hAnsi="Times New Roman" w:cs="Times New Roman"/>
          <w:sz w:val="26"/>
          <w:szCs w:val="26"/>
          <w:u w:val="single"/>
        </w:rPr>
        <w:t xml:space="preserve">customers </w:t>
      </w:r>
      <w:r w:rsidRPr="00E21B7F">
        <w:rPr>
          <w:rFonts w:ascii="Times New Roman" w:eastAsia="Times New Roman" w:hAnsi="Times New Roman" w:cs="Times New Roman"/>
          <w:sz w:val="26"/>
          <w:szCs w:val="26"/>
        </w:rPr>
        <w:t xml:space="preserve">make regular monthly payments, which may be for an amount that is less than the current </w:t>
      </w:r>
      <w:r w:rsidRPr="008D583E">
        <w:rPr>
          <w:rFonts w:ascii="Times New Roman" w:eastAsia="Times New Roman" w:hAnsi="Times New Roman" w:cs="Times New Roman"/>
          <w:sz w:val="26"/>
          <w:szCs w:val="26"/>
          <w:u w:val="single"/>
        </w:rPr>
        <w:t>tariff</w:t>
      </w:r>
      <w:r>
        <w:rPr>
          <w:rFonts w:ascii="Times New Roman" w:eastAsia="Times New Roman" w:hAnsi="Times New Roman" w:cs="Times New Roman"/>
          <w:sz w:val="26"/>
          <w:szCs w:val="26"/>
        </w:rPr>
        <w:t xml:space="preserve"> </w:t>
      </w:r>
      <w:r w:rsidRPr="008D583E">
        <w:rPr>
          <w:rFonts w:ascii="Times New Roman" w:eastAsia="Times New Roman" w:hAnsi="Times New Roman" w:cs="Times New Roman"/>
          <w:sz w:val="26"/>
          <w:szCs w:val="26"/>
        </w:rPr>
        <w:t>bill</w:t>
      </w:r>
      <w:r w:rsidRPr="00E21B7F">
        <w:rPr>
          <w:rFonts w:ascii="Times New Roman" w:eastAsia="Times New Roman" w:hAnsi="Times New Roman" w:cs="Times New Roman"/>
          <w:sz w:val="26"/>
          <w:szCs w:val="26"/>
        </w:rPr>
        <w:t xml:space="preserve"> for utility service</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including pre-CAP arrearages</w:t>
      </w:r>
      <w:r w:rsidRPr="00E21B7F">
        <w:rPr>
          <w:rFonts w:ascii="Times New Roman" w:eastAsia="Times New Roman" w:hAnsi="Times New Roman" w:cs="Times New Roman"/>
          <w:sz w:val="26"/>
          <w:szCs w:val="26"/>
        </w:rPr>
        <w:t>, in exchange for continued provision of the service. Class A electric utilities and natural gas utilities with gross intrastate annual operating revenue in excess of $40 million should adopt the guidelines in §§ 69.263—69.265 (relating to CAP development; scope of CAPs; and CAP design elements) implementing residential CAPs.</w:t>
      </w:r>
      <w:r w:rsidR="001E69F1">
        <w:rPr>
          <w:rFonts w:ascii="Times New Roman" w:eastAsia="Times New Roman" w:hAnsi="Times New Roman" w:cs="Times New Roman"/>
          <w:sz w:val="26"/>
          <w:szCs w:val="26"/>
        </w:rPr>
        <w:t xml:space="preserve"> </w:t>
      </w:r>
    </w:p>
    <w:p w14:paraId="070B43A2" w14:textId="77777777" w:rsidR="003F4CB9" w:rsidRPr="00E21B7F" w:rsidRDefault="003F4CB9" w:rsidP="003F4CB9">
      <w:pPr>
        <w:spacing w:before="100" w:beforeAutospacing="1" w:after="100" w:afterAutospacing="1" w:line="240" w:lineRule="auto"/>
        <w:outlineLvl w:val="3"/>
        <w:rPr>
          <w:rFonts w:ascii="Times New Roman" w:eastAsia="Times New Roman" w:hAnsi="Times New Roman" w:cs="Times New Roman"/>
          <w:b/>
          <w:bCs/>
          <w:sz w:val="26"/>
          <w:szCs w:val="26"/>
        </w:rPr>
      </w:pPr>
      <w:r w:rsidRPr="00E21B7F">
        <w:rPr>
          <w:rFonts w:ascii="Times New Roman" w:eastAsia="Times New Roman" w:hAnsi="Times New Roman" w:cs="Times New Roman"/>
          <w:b/>
          <w:bCs/>
          <w:sz w:val="26"/>
          <w:szCs w:val="26"/>
        </w:rPr>
        <w:t>§ 69.262. Definitions.</w:t>
      </w:r>
    </w:p>
    <w:p w14:paraId="562E4856" w14:textId="62204225" w:rsidR="003F4CB9" w:rsidRPr="00E321BE" w:rsidRDefault="003F4CB9" w:rsidP="00354397">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The following words and terms, when used in §§ 69.261, 69.263—69.267 and this section, have the following meanings, unless the context clearly indicates otherwise</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w:t>
      </w:r>
      <w:r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br/>
      </w:r>
      <w:r w:rsidRPr="00E21B7F">
        <w:rPr>
          <w:rFonts w:ascii="Times New Roman" w:eastAsia="Times New Roman" w:hAnsi="Times New Roman" w:cs="Times New Roman"/>
          <w:sz w:val="26"/>
          <w:szCs w:val="26"/>
        </w:rPr>
        <w:br/>
        <w:t>   </w:t>
      </w:r>
      <w:r w:rsidRPr="00E21B7F">
        <w:rPr>
          <w:rFonts w:ascii="Times New Roman" w:eastAsia="Times New Roman" w:hAnsi="Times New Roman" w:cs="Times New Roman"/>
          <w:i/>
          <w:iCs/>
          <w:sz w:val="26"/>
          <w:szCs w:val="26"/>
        </w:rPr>
        <w:t>Alternative program designs</w:t>
      </w:r>
      <w:r w:rsidRPr="00E21B7F">
        <w:rPr>
          <w:rFonts w:ascii="Times New Roman" w:eastAsia="Times New Roman" w:hAnsi="Times New Roman" w:cs="Times New Roman"/>
          <w:sz w:val="26"/>
          <w:szCs w:val="26"/>
        </w:rPr>
        <w:t xml:space="preserve">—Program designs which include traditional utility collection methods, alternative collection approaches that do not include a CAP and CAP designs which substantially deviate from this chapter. </w:t>
      </w:r>
      <w:r w:rsidRPr="00E21B7F">
        <w:rPr>
          <w:rFonts w:ascii="Times New Roman" w:eastAsia="Times New Roman" w:hAnsi="Times New Roman" w:cs="Times New Roman"/>
          <w:sz w:val="26"/>
          <w:szCs w:val="26"/>
        </w:rPr>
        <w:br/>
      </w:r>
      <w:r w:rsidRPr="00E21B7F">
        <w:rPr>
          <w:rFonts w:ascii="Times New Roman" w:eastAsia="Times New Roman" w:hAnsi="Times New Roman" w:cs="Times New Roman"/>
          <w:sz w:val="26"/>
          <w:szCs w:val="26"/>
        </w:rPr>
        <w:br/>
        <w:t>   </w:t>
      </w:r>
      <w:r w:rsidRPr="00E21B7F">
        <w:rPr>
          <w:rFonts w:ascii="Times New Roman" w:eastAsia="Times New Roman" w:hAnsi="Times New Roman" w:cs="Times New Roman"/>
          <w:i/>
          <w:iCs/>
          <w:sz w:val="26"/>
          <w:szCs w:val="26"/>
        </w:rPr>
        <w:t>CAP</w:t>
      </w:r>
      <w:r w:rsidRPr="00E21B7F">
        <w:rPr>
          <w:rFonts w:ascii="Times New Roman" w:eastAsia="Times New Roman" w:hAnsi="Times New Roman" w:cs="Times New Roman"/>
          <w:sz w:val="26"/>
          <w:szCs w:val="26"/>
        </w:rPr>
        <w:t xml:space="preserve">—Customer Assistance Program. </w:t>
      </w:r>
      <w:r w:rsidRPr="00E21B7F">
        <w:rPr>
          <w:rFonts w:ascii="Times New Roman" w:eastAsia="Times New Roman" w:hAnsi="Times New Roman" w:cs="Times New Roman"/>
          <w:sz w:val="26"/>
          <w:szCs w:val="26"/>
        </w:rPr>
        <w:br/>
      </w:r>
      <w:r w:rsidR="00F52B09" w:rsidRPr="00E21B7F">
        <w:rPr>
          <w:rFonts w:ascii="Times New Roman" w:eastAsia="Times New Roman" w:hAnsi="Times New Roman" w:cs="Times New Roman"/>
          <w:sz w:val="26"/>
          <w:szCs w:val="26"/>
        </w:rPr>
        <w:br/>
        <w:t>   </w:t>
      </w:r>
      <w:r w:rsidR="00F52B09" w:rsidRPr="00F52B09">
        <w:rPr>
          <w:rFonts w:ascii="Times New Roman" w:eastAsia="Times New Roman" w:hAnsi="Times New Roman" w:cs="Times New Roman"/>
          <w:i/>
          <w:iCs/>
          <w:sz w:val="26"/>
          <w:szCs w:val="26"/>
          <w:u w:val="single"/>
        </w:rPr>
        <w:t>CBO—</w:t>
      </w:r>
      <w:r w:rsidR="00F52B09" w:rsidRPr="00F52B09">
        <w:rPr>
          <w:rFonts w:ascii="Times New Roman" w:eastAsia="Times New Roman" w:hAnsi="Times New Roman" w:cs="Times New Roman"/>
          <w:sz w:val="26"/>
          <w:szCs w:val="26"/>
          <w:u w:val="single"/>
        </w:rPr>
        <w:t xml:space="preserve">Community-based organization. </w:t>
      </w:r>
      <w:r w:rsidR="00F52B09" w:rsidRPr="00E21B7F">
        <w:rPr>
          <w:rFonts w:ascii="Times New Roman" w:eastAsia="Times New Roman" w:hAnsi="Times New Roman" w:cs="Times New Roman"/>
          <w:sz w:val="26"/>
          <w:szCs w:val="26"/>
        </w:rPr>
        <w:br/>
      </w:r>
      <w:r w:rsidR="00F52B09" w:rsidRPr="00E21B7F">
        <w:rPr>
          <w:rFonts w:ascii="Times New Roman" w:eastAsia="Times New Roman" w:hAnsi="Times New Roman" w:cs="Times New Roman"/>
          <w:sz w:val="26"/>
          <w:szCs w:val="26"/>
        </w:rPr>
        <w:br/>
      </w:r>
      <w:r w:rsidRPr="00E21B7F">
        <w:rPr>
          <w:rFonts w:ascii="Times New Roman" w:eastAsia="Times New Roman" w:hAnsi="Times New Roman" w:cs="Times New Roman"/>
          <w:sz w:val="26"/>
          <w:szCs w:val="26"/>
        </w:rPr>
        <w:t>   </w:t>
      </w:r>
      <w:r w:rsidRPr="00E21B7F">
        <w:rPr>
          <w:rFonts w:ascii="Times New Roman" w:eastAsia="Times New Roman" w:hAnsi="Times New Roman" w:cs="Times New Roman"/>
          <w:i/>
          <w:iCs/>
          <w:sz w:val="26"/>
          <w:szCs w:val="26"/>
        </w:rPr>
        <w:t>EDC—Electric distribution company</w:t>
      </w:r>
      <w:r w:rsidRPr="00E21B7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u w:val="single"/>
        </w:rPr>
        <w:t>An</w:t>
      </w:r>
      <w:r w:rsidRPr="00E21B7F">
        <w:rPr>
          <w:rFonts w:ascii="Times New Roman" w:eastAsia="Times New Roman" w:hAnsi="Times New Roman" w:cs="Times New Roman"/>
          <w:sz w:val="26"/>
          <w:szCs w:val="26"/>
        </w:rPr>
        <w:t xml:space="preserve"> electric distribution company as defined in 66 Pa.C.S. § 2803 (relating to definitions). </w:t>
      </w:r>
      <w:r w:rsidRPr="00E21B7F">
        <w:rPr>
          <w:rFonts w:ascii="Times New Roman" w:eastAsia="Times New Roman" w:hAnsi="Times New Roman" w:cs="Times New Roman"/>
          <w:sz w:val="26"/>
          <w:szCs w:val="26"/>
        </w:rPr>
        <w:br/>
      </w:r>
      <w:r w:rsidR="00F52B09">
        <w:rPr>
          <w:rFonts w:ascii="Times New Roman" w:eastAsia="Times New Roman" w:hAnsi="Times New Roman" w:cs="Times New Roman"/>
          <w:sz w:val="26"/>
          <w:szCs w:val="26"/>
        </w:rPr>
        <w:br/>
      </w:r>
      <w:r w:rsidR="00F52B09" w:rsidRPr="00E21B7F">
        <w:rPr>
          <w:rFonts w:ascii="Times New Roman" w:eastAsia="Times New Roman" w:hAnsi="Times New Roman" w:cs="Times New Roman"/>
          <w:sz w:val="26"/>
          <w:szCs w:val="26"/>
        </w:rPr>
        <w:t>   </w:t>
      </w:r>
      <w:r w:rsidR="00F52B09" w:rsidRPr="00F52B09">
        <w:rPr>
          <w:rFonts w:ascii="Times New Roman" w:eastAsia="Times New Roman" w:hAnsi="Times New Roman" w:cs="Times New Roman"/>
          <w:i/>
          <w:iCs/>
          <w:sz w:val="26"/>
          <w:szCs w:val="26"/>
          <w:u w:val="single"/>
        </w:rPr>
        <w:t>FPIG</w:t>
      </w:r>
      <w:r w:rsidR="00F52B09" w:rsidRPr="00F52B09">
        <w:rPr>
          <w:rFonts w:ascii="Times New Roman" w:eastAsia="Times New Roman" w:hAnsi="Times New Roman" w:cs="Times New Roman"/>
          <w:sz w:val="26"/>
          <w:szCs w:val="26"/>
          <w:u w:val="single"/>
        </w:rPr>
        <w:t>—</w:t>
      </w:r>
      <w:r w:rsidR="00E72BC1" w:rsidRPr="00C34C0C">
        <w:rPr>
          <w:rFonts w:ascii="Times New Roman" w:hAnsi="Times New Roman" w:cs="Times New Roman"/>
          <w:i/>
          <w:iCs/>
          <w:sz w:val="26"/>
          <w:szCs w:val="26"/>
          <w:u w:val="single"/>
        </w:rPr>
        <w:t>Federal Poverty Income Guidelines</w:t>
      </w:r>
      <w:r w:rsidR="00E72BC1" w:rsidRPr="00C34C0C">
        <w:rPr>
          <w:rFonts w:ascii="Times New Roman" w:hAnsi="Times New Roman" w:cs="Times New Roman"/>
          <w:sz w:val="26"/>
          <w:szCs w:val="26"/>
          <w:u w:val="single"/>
        </w:rPr>
        <w:t xml:space="preserve">—The income levels published annually in the </w:t>
      </w:r>
      <w:r w:rsidR="00E72BC1" w:rsidRPr="00C34C0C">
        <w:rPr>
          <w:rFonts w:ascii="Times New Roman" w:hAnsi="Times New Roman" w:cs="Times New Roman"/>
          <w:i/>
          <w:iCs/>
          <w:sz w:val="26"/>
          <w:szCs w:val="26"/>
          <w:u w:val="single"/>
        </w:rPr>
        <w:t xml:space="preserve">Federal Register </w:t>
      </w:r>
      <w:r w:rsidR="00E72BC1" w:rsidRPr="00C34C0C">
        <w:rPr>
          <w:rFonts w:ascii="Times New Roman" w:hAnsi="Times New Roman" w:cs="Times New Roman"/>
          <w:sz w:val="26"/>
          <w:szCs w:val="26"/>
          <w:u w:val="single"/>
        </w:rPr>
        <w:t>by the United States Department of Health and Human Services.</w:t>
      </w:r>
      <w:r w:rsidR="00F52B09" w:rsidRPr="00E72BC1">
        <w:rPr>
          <w:rFonts w:ascii="Times New Roman" w:eastAsia="Times New Roman" w:hAnsi="Times New Roman" w:cs="Times New Roman"/>
          <w:sz w:val="26"/>
          <w:szCs w:val="26"/>
        </w:rPr>
        <w:br/>
      </w:r>
      <w:r w:rsidR="00F52B09">
        <w:rPr>
          <w:rFonts w:ascii="Times New Roman" w:eastAsia="Times New Roman" w:hAnsi="Times New Roman" w:cs="Times New Roman"/>
          <w:sz w:val="26"/>
          <w:szCs w:val="26"/>
        </w:rPr>
        <w:br/>
      </w:r>
      <w:r w:rsidR="00831B45" w:rsidRPr="00E21B7F">
        <w:rPr>
          <w:rFonts w:ascii="Times New Roman" w:eastAsia="Times New Roman" w:hAnsi="Times New Roman" w:cs="Times New Roman"/>
          <w:sz w:val="26"/>
          <w:szCs w:val="26"/>
        </w:rPr>
        <w:t>   </w:t>
      </w:r>
      <w:r w:rsidR="00831B45" w:rsidRPr="003911E2">
        <w:rPr>
          <w:rFonts w:ascii="Times New Roman" w:eastAsia="Times New Roman" w:hAnsi="Times New Roman" w:cs="Times New Roman"/>
          <w:i/>
          <w:iCs/>
          <w:sz w:val="26"/>
          <w:szCs w:val="26"/>
          <w:u w:val="single"/>
        </w:rPr>
        <w:t>Household income</w:t>
      </w:r>
      <w:r w:rsidR="00F52B09">
        <w:rPr>
          <w:rFonts w:ascii="Times New Roman" w:eastAsia="Times New Roman" w:hAnsi="Times New Roman" w:cs="Times New Roman"/>
          <w:sz w:val="26"/>
          <w:szCs w:val="26"/>
          <w:u w:val="single"/>
        </w:rPr>
        <w:t>—</w:t>
      </w:r>
      <w:r w:rsidR="00CF7DF9" w:rsidRPr="003911E2">
        <w:rPr>
          <w:rFonts w:ascii="Times New Roman" w:eastAsia="Times New Roman" w:hAnsi="Times New Roman" w:cs="Times New Roman"/>
          <w:sz w:val="26"/>
          <w:szCs w:val="26"/>
          <w:u w:val="single"/>
        </w:rPr>
        <w:t>T</w:t>
      </w:r>
      <w:r w:rsidR="00CF7DF9" w:rsidRPr="003911E2">
        <w:rPr>
          <w:rFonts w:ascii="Times New Roman" w:hAnsi="Times New Roman" w:cs="Times New Roman"/>
          <w:sz w:val="26"/>
          <w:szCs w:val="26"/>
          <w:u w:val="single"/>
        </w:rPr>
        <w:t xml:space="preserve">he combined gross income of all adults in a residential household who benefit from the public utility service, as defined in </w:t>
      </w:r>
      <w:r w:rsidR="00DD1291" w:rsidRPr="003911E2">
        <w:rPr>
          <w:rFonts w:ascii="Times New Roman" w:hAnsi="Times New Roman" w:cs="Times New Roman"/>
          <w:sz w:val="26"/>
          <w:szCs w:val="26"/>
          <w:u w:val="single"/>
        </w:rPr>
        <w:t xml:space="preserve">66 Pa.C.S. § </w:t>
      </w:r>
      <w:r w:rsidR="00D34886" w:rsidRPr="003911E2">
        <w:rPr>
          <w:rFonts w:ascii="Times New Roman" w:hAnsi="Times New Roman" w:cs="Times New Roman"/>
          <w:sz w:val="26"/>
          <w:szCs w:val="26"/>
          <w:u w:val="single"/>
        </w:rPr>
        <w:t>1403</w:t>
      </w:r>
      <w:r w:rsidR="00F52B09">
        <w:rPr>
          <w:rFonts w:ascii="Times New Roman" w:hAnsi="Times New Roman" w:cs="Times New Roman"/>
          <w:sz w:val="26"/>
          <w:szCs w:val="26"/>
          <w:u w:val="single"/>
        </w:rPr>
        <w:t xml:space="preserve"> (relating to definitions)</w:t>
      </w:r>
      <w:r w:rsidR="00D34886" w:rsidRPr="003911E2">
        <w:rPr>
          <w:rFonts w:ascii="Times New Roman" w:hAnsi="Times New Roman" w:cs="Times New Roman"/>
          <w:sz w:val="26"/>
          <w:szCs w:val="26"/>
          <w:u w:val="single"/>
        </w:rPr>
        <w:t>.</w:t>
      </w:r>
      <w:r w:rsidR="00F52B09">
        <w:rPr>
          <w:rFonts w:ascii="Times New Roman" w:hAnsi="Times New Roman" w:cs="Times New Roman"/>
          <w:sz w:val="26"/>
          <w:szCs w:val="26"/>
          <w:u w:val="single"/>
        </w:rPr>
        <w:t xml:space="preserve"> </w:t>
      </w:r>
      <w:r w:rsidR="00831B45">
        <w:rPr>
          <w:rFonts w:ascii="Times New Roman" w:eastAsia="Times New Roman" w:hAnsi="Times New Roman" w:cs="Times New Roman"/>
          <w:sz w:val="26"/>
          <w:szCs w:val="26"/>
        </w:rPr>
        <w:br/>
      </w:r>
      <w:r w:rsidRPr="00E21B7F">
        <w:rPr>
          <w:rFonts w:ascii="Times New Roman" w:eastAsia="Times New Roman" w:hAnsi="Times New Roman" w:cs="Times New Roman"/>
          <w:sz w:val="26"/>
          <w:szCs w:val="26"/>
        </w:rPr>
        <w:br/>
        <w:t>   </w:t>
      </w:r>
      <w:r w:rsidRPr="00E21B7F">
        <w:rPr>
          <w:rFonts w:ascii="Times New Roman" w:eastAsia="Times New Roman" w:hAnsi="Times New Roman" w:cs="Times New Roman"/>
          <w:i/>
          <w:iCs/>
          <w:sz w:val="26"/>
          <w:szCs w:val="26"/>
        </w:rPr>
        <w:t>LIHEAP—Low Income Home Energy Assistance Program</w:t>
      </w:r>
      <w:r w:rsidRPr="00E21B7F">
        <w:rPr>
          <w:rFonts w:ascii="Times New Roman" w:eastAsia="Times New Roman" w:hAnsi="Times New Roman" w:cs="Times New Roman"/>
          <w:sz w:val="26"/>
          <w:szCs w:val="26"/>
        </w:rPr>
        <w:t>—A Federally funded program</w:t>
      </w:r>
      <w:r w:rsidRPr="008D583E">
        <w:rPr>
          <w:rFonts w:ascii="Times New Roman" w:eastAsia="Times New Roman" w:hAnsi="Times New Roman" w:cs="Times New Roman"/>
          <w:sz w:val="26"/>
          <w:szCs w:val="26"/>
          <w:u w:val="single"/>
        </w:rPr>
        <w:t xml:space="preserve">, </w:t>
      </w:r>
      <w:r w:rsidRPr="008D583E">
        <w:rPr>
          <w:rFonts w:ascii="Times New Roman" w:hAnsi="Times New Roman" w:cs="Times New Roman"/>
          <w:sz w:val="26"/>
          <w:szCs w:val="26"/>
          <w:u w:val="single"/>
        </w:rPr>
        <w:t xml:space="preserve">administered in </w:t>
      </w:r>
      <w:r w:rsidR="00F52B09">
        <w:rPr>
          <w:rFonts w:ascii="Times New Roman" w:hAnsi="Times New Roman" w:cs="Times New Roman"/>
          <w:sz w:val="26"/>
          <w:szCs w:val="26"/>
          <w:u w:val="single"/>
        </w:rPr>
        <w:t>this Commonwealth</w:t>
      </w:r>
      <w:r w:rsidR="00F52B09" w:rsidRPr="008D583E">
        <w:rPr>
          <w:rFonts w:ascii="Times New Roman" w:hAnsi="Times New Roman" w:cs="Times New Roman"/>
          <w:sz w:val="26"/>
          <w:szCs w:val="26"/>
          <w:u w:val="single"/>
        </w:rPr>
        <w:t xml:space="preserve"> </w:t>
      </w:r>
      <w:r w:rsidRPr="008D583E">
        <w:rPr>
          <w:rFonts w:ascii="Times New Roman" w:hAnsi="Times New Roman" w:cs="Times New Roman"/>
          <w:sz w:val="26"/>
          <w:szCs w:val="26"/>
          <w:u w:val="single"/>
        </w:rPr>
        <w:t>by the Department of Human Services,</w:t>
      </w:r>
      <w:r w:rsidRPr="00E21B7F">
        <w:rPr>
          <w:rFonts w:ascii="Times New Roman" w:eastAsia="Times New Roman" w:hAnsi="Times New Roman" w:cs="Times New Roman"/>
          <w:sz w:val="26"/>
          <w:szCs w:val="26"/>
        </w:rPr>
        <w:t xml:space="preserve"> which provides financial assistance grants to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needy</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Pr="005E240E">
        <w:rPr>
          <w:rFonts w:ascii="Times New Roman" w:eastAsia="Times New Roman" w:hAnsi="Times New Roman" w:cs="Times New Roman"/>
          <w:sz w:val="26"/>
          <w:szCs w:val="26"/>
          <w:u w:val="single"/>
        </w:rPr>
        <w:t>low-income</w:t>
      </w:r>
      <w:r>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households for home energy bills. </w:t>
      </w:r>
      <w:r w:rsidRPr="00E21B7F">
        <w:rPr>
          <w:rFonts w:ascii="Times New Roman" w:eastAsia="Times New Roman" w:hAnsi="Times New Roman" w:cs="Times New Roman"/>
          <w:sz w:val="26"/>
          <w:szCs w:val="26"/>
        </w:rPr>
        <w:br/>
      </w:r>
      <w:r w:rsidRPr="00E21B7F">
        <w:rPr>
          <w:rFonts w:ascii="Times New Roman" w:eastAsia="Times New Roman" w:hAnsi="Times New Roman" w:cs="Times New Roman"/>
          <w:sz w:val="26"/>
          <w:szCs w:val="26"/>
        </w:rPr>
        <w:br/>
        <w:t>   </w:t>
      </w:r>
      <w:r>
        <w:rPr>
          <w:rFonts w:ascii="Times New Roman" w:eastAsia="Times New Roman" w:hAnsi="Times New Roman" w:cs="Times New Roman"/>
          <w:sz w:val="26"/>
          <w:szCs w:val="26"/>
        </w:rPr>
        <w:t>[</w:t>
      </w:r>
      <w:r w:rsidRPr="00E21B7F">
        <w:rPr>
          <w:rFonts w:ascii="Times New Roman" w:eastAsia="Times New Roman" w:hAnsi="Times New Roman" w:cs="Times New Roman"/>
          <w:i/>
          <w:iCs/>
          <w:sz w:val="26"/>
          <w:szCs w:val="26"/>
        </w:rPr>
        <w:t>Low income</w:t>
      </w:r>
      <w:r w:rsidRPr="00E321BE">
        <w:rPr>
          <w:rFonts w:ascii="Times New Roman" w:eastAsia="Times New Roman" w:hAnsi="Times New Roman" w:cs="Times New Roman"/>
          <w:sz w:val="26"/>
          <w:szCs w:val="26"/>
        </w:rPr>
        <w:t>]</w:t>
      </w:r>
      <w:r w:rsidRPr="00E21B7F">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u w:val="single"/>
        </w:rPr>
        <w:t xml:space="preserve">Low-income </w:t>
      </w:r>
      <w:r w:rsidRPr="00E21B7F">
        <w:rPr>
          <w:rFonts w:ascii="Times New Roman" w:eastAsia="Times New Roman" w:hAnsi="Times New Roman" w:cs="Times New Roman"/>
          <w:i/>
          <w:iCs/>
          <w:sz w:val="26"/>
          <w:szCs w:val="26"/>
        </w:rPr>
        <w:t>customers</w:t>
      </w:r>
      <w:r w:rsidRPr="00E21B7F">
        <w:rPr>
          <w:rFonts w:ascii="Times New Roman" w:eastAsia="Times New Roman" w:hAnsi="Times New Roman" w:cs="Times New Roman"/>
          <w:sz w:val="26"/>
          <w:szCs w:val="26"/>
        </w:rPr>
        <w:t xml:space="preserve">—A residential utility customer whose annual </w:t>
      </w:r>
      <w:r w:rsidR="0039013A">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household</w:t>
      </w:r>
      <w:r w:rsidR="0039013A">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gross </w:t>
      </w:r>
      <w:r w:rsidR="0039013A">
        <w:rPr>
          <w:rFonts w:ascii="Times New Roman" w:eastAsia="Times New Roman" w:hAnsi="Times New Roman" w:cs="Times New Roman"/>
          <w:sz w:val="26"/>
          <w:szCs w:val="26"/>
          <w:u w:val="single"/>
        </w:rPr>
        <w:t xml:space="preserve">household </w:t>
      </w:r>
      <w:r w:rsidRPr="00E21B7F">
        <w:rPr>
          <w:rFonts w:ascii="Times New Roman" w:eastAsia="Times New Roman" w:hAnsi="Times New Roman" w:cs="Times New Roman"/>
          <w:sz w:val="26"/>
          <w:szCs w:val="26"/>
        </w:rPr>
        <w:t xml:space="preserve">income is at or below 150% of the </w:t>
      </w:r>
      <w:r w:rsidR="004B34E3">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Federal poverty income guidelines</w:t>
      </w:r>
      <w:r w:rsidR="004B34E3">
        <w:rPr>
          <w:rFonts w:ascii="Times New Roman" w:eastAsia="Times New Roman" w:hAnsi="Times New Roman" w:cs="Times New Roman"/>
          <w:sz w:val="26"/>
          <w:szCs w:val="26"/>
        </w:rPr>
        <w:t xml:space="preserve">] </w:t>
      </w:r>
      <w:r w:rsidR="004B34E3">
        <w:rPr>
          <w:rFonts w:ascii="Times New Roman" w:eastAsia="Times New Roman" w:hAnsi="Times New Roman" w:cs="Times New Roman"/>
          <w:sz w:val="26"/>
          <w:szCs w:val="26"/>
          <w:u w:val="single"/>
        </w:rPr>
        <w:t>FPIG</w:t>
      </w:r>
      <w:r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br/>
      </w:r>
      <w:r w:rsidRPr="00E21B7F">
        <w:rPr>
          <w:rFonts w:ascii="Times New Roman" w:eastAsia="Times New Roman" w:hAnsi="Times New Roman" w:cs="Times New Roman"/>
          <w:sz w:val="26"/>
          <w:szCs w:val="26"/>
        </w:rPr>
        <w:br/>
        <w:t>   </w:t>
      </w:r>
      <w:r w:rsidRPr="00E21B7F">
        <w:rPr>
          <w:rFonts w:ascii="Times New Roman" w:eastAsia="Times New Roman" w:hAnsi="Times New Roman" w:cs="Times New Roman"/>
          <w:i/>
          <w:iCs/>
          <w:sz w:val="26"/>
          <w:szCs w:val="26"/>
        </w:rPr>
        <w:t xml:space="preserve">Low-income </w:t>
      </w:r>
      <w:r w:rsidRPr="00E321BE">
        <w:rPr>
          <w:rFonts w:ascii="Times New Roman" w:eastAsia="Times New Roman" w:hAnsi="Times New Roman" w:cs="Times New Roman"/>
          <w:sz w:val="26"/>
          <w:szCs w:val="26"/>
        </w:rPr>
        <w:t>[</w:t>
      </w:r>
      <w:r w:rsidRPr="00E21B7F">
        <w:rPr>
          <w:rFonts w:ascii="Times New Roman" w:eastAsia="Times New Roman" w:hAnsi="Times New Roman" w:cs="Times New Roman"/>
          <w:i/>
          <w:iCs/>
          <w:sz w:val="26"/>
          <w:szCs w:val="26"/>
        </w:rPr>
        <w:t>payment troubled</w:t>
      </w:r>
      <w:r w:rsidRPr="00E321BE">
        <w:rPr>
          <w:rFonts w:ascii="Times New Roman" w:eastAsia="Times New Roman" w:hAnsi="Times New Roman" w:cs="Times New Roman"/>
          <w:sz w:val="26"/>
          <w:szCs w:val="26"/>
        </w:rPr>
        <w:t>]</w:t>
      </w:r>
      <w:r>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u w:val="single"/>
        </w:rPr>
        <w:t>payment-troubled</w:t>
      </w:r>
      <w:r w:rsidRPr="00E21B7F">
        <w:rPr>
          <w:rFonts w:ascii="Times New Roman" w:eastAsia="Times New Roman" w:hAnsi="Times New Roman" w:cs="Times New Roman"/>
          <w:i/>
          <w:iCs/>
          <w:sz w:val="26"/>
          <w:szCs w:val="26"/>
        </w:rPr>
        <w:t xml:space="preserve"> customers</w:t>
      </w:r>
      <w:r w:rsidRPr="00E21B7F">
        <w:rPr>
          <w:rFonts w:ascii="Times New Roman" w:eastAsia="Times New Roman" w:hAnsi="Times New Roman" w:cs="Times New Roman"/>
          <w:sz w:val="26"/>
          <w:szCs w:val="26"/>
        </w:rPr>
        <w:t xml:space="preserve">—Low-income customers </w:t>
      </w:r>
      <w:r w:rsidRPr="00E321BE">
        <w:rPr>
          <w:rFonts w:ascii="Times New Roman" w:eastAsia="Times New Roman" w:hAnsi="Times New Roman" w:cs="Times New Roman"/>
          <w:sz w:val="26"/>
          <w:szCs w:val="26"/>
        </w:rPr>
        <w:t xml:space="preserve">who have </w:t>
      </w:r>
      <w:r w:rsidRPr="00E321BE">
        <w:rPr>
          <w:rFonts w:ascii="Times New Roman" w:eastAsia="Times New Roman" w:hAnsi="Times New Roman" w:cs="Times New Roman"/>
          <w:sz w:val="26"/>
          <w:szCs w:val="26"/>
          <w:u w:val="single"/>
        </w:rPr>
        <w:t xml:space="preserve">arrears or </w:t>
      </w:r>
      <w:r w:rsidRPr="00E321BE">
        <w:rPr>
          <w:rFonts w:ascii="Times New Roman" w:eastAsia="Times New Roman" w:hAnsi="Times New Roman" w:cs="Times New Roman"/>
          <w:sz w:val="26"/>
          <w:szCs w:val="26"/>
        </w:rPr>
        <w:t>failed to maintain one or more payment arrangements.</w:t>
      </w:r>
    </w:p>
    <w:p w14:paraId="4899E4B5" w14:textId="77777777" w:rsidR="003F4CB9" w:rsidRPr="00E321BE" w:rsidRDefault="003F4CB9" w:rsidP="003F4CB9">
      <w:pPr>
        <w:pStyle w:val="NormalWeb"/>
        <w:rPr>
          <w:sz w:val="26"/>
          <w:szCs w:val="26"/>
          <w:u w:val="single"/>
        </w:rPr>
      </w:pPr>
      <w:r w:rsidRPr="00E21B7F">
        <w:rPr>
          <w:sz w:val="26"/>
          <w:szCs w:val="26"/>
        </w:rPr>
        <w:t>   </w:t>
      </w:r>
      <w:r w:rsidRPr="00E321BE">
        <w:rPr>
          <w:i/>
          <w:sz w:val="26"/>
          <w:szCs w:val="26"/>
          <w:u w:val="single"/>
        </w:rPr>
        <w:t>NGDC</w:t>
      </w:r>
      <w:r w:rsidRPr="00E321BE">
        <w:rPr>
          <w:sz w:val="26"/>
          <w:szCs w:val="26"/>
          <w:u w:val="single"/>
        </w:rPr>
        <w:t>—</w:t>
      </w:r>
      <w:r w:rsidRPr="00E321BE">
        <w:rPr>
          <w:i/>
          <w:sz w:val="26"/>
          <w:szCs w:val="26"/>
          <w:u w:val="single"/>
        </w:rPr>
        <w:t>Natural gas distribution company</w:t>
      </w:r>
      <w:r w:rsidRPr="00E321BE">
        <w:rPr>
          <w:sz w:val="26"/>
          <w:szCs w:val="26"/>
          <w:u w:val="single"/>
        </w:rPr>
        <w:t>—A natural gas distribution company as defined in 66 Pa.C.S. § 2202 (relating to definitions).</w:t>
      </w:r>
    </w:p>
    <w:p w14:paraId="52E7C8F2" w14:textId="3238BE1A" w:rsidR="003F4CB9" w:rsidRPr="00E321BE" w:rsidRDefault="003F4CB9" w:rsidP="003F4CB9">
      <w:pPr>
        <w:pStyle w:val="NormalWeb"/>
        <w:rPr>
          <w:sz w:val="26"/>
          <w:szCs w:val="26"/>
          <w:u w:val="single"/>
        </w:rPr>
      </w:pPr>
      <w:r w:rsidRPr="00E21B7F">
        <w:rPr>
          <w:sz w:val="26"/>
          <w:szCs w:val="26"/>
        </w:rPr>
        <w:t>   </w:t>
      </w:r>
      <w:r w:rsidRPr="00E321BE">
        <w:rPr>
          <w:i/>
          <w:sz w:val="26"/>
          <w:szCs w:val="26"/>
          <w:u w:val="single"/>
        </w:rPr>
        <w:t>USAC</w:t>
      </w:r>
      <w:r w:rsidRPr="00E321BE">
        <w:rPr>
          <w:sz w:val="26"/>
          <w:szCs w:val="26"/>
          <w:u w:val="single"/>
        </w:rPr>
        <w:t>—</w:t>
      </w:r>
      <w:r>
        <w:rPr>
          <w:i/>
          <w:sz w:val="26"/>
          <w:szCs w:val="26"/>
          <w:u w:val="single"/>
        </w:rPr>
        <w:t>U</w:t>
      </w:r>
      <w:r w:rsidRPr="00E321BE">
        <w:rPr>
          <w:i/>
          <w:sz w:val="26"/>
          <w:szCs w:val="26"/>
          <w:u w:val="single"/>
        </w:rPr>
        <w:t xml:space="preserve">niversal </w:t>
      </w:r>
      <w:r>
        <w:rPr>
          <w:i/>
          <w:sz w:val="26"/>
          <w:szCs w:val="26"/>
          <w:u w:val="single"/>
        </w:rPr>
        <w:t>S</w:t>
      </w:r>
      <w:r w:rsidRPr="00E321BE">
        <w:rPr>
          <w:i/>
          <w:sz w:val="26"/>
          <w:szCs w:val="26"/>
          <w:u w:val="single"/>
        </w:rPr>
        <w:t xml:space="preserve">ervice </w:t>
      </w:r>
      <w:r>
        <w:rPr>
          <w:i/>
          <w:sz w:val="26"/>
          <w:szCs w:val="26"/>
          <w:u w:val="single"/>
        </w:rPr>
        <w:t>A</w:t>
      </w:r>
      <w:r w:rsidRPr="00E321BE">
        <w:rPr>
          <w:i/>
          <w:sz w:val="26"/>
          <w:szCs w:val="26"/>
          <w:u w:val="single"/>
        </w:rPr>
        <w:t xml:space="preserve">dvisory </w:t>
      </w:r>
      <w:r>
        <w:rPr>
          <w:i/>
          <w:sz w:val="26"/>
          <w:szCs w:val="26"/>
          <w:u w:val="single"/>
        </w:rPr>
        <w:t>Committee</w:t>
      </w:r>
      <w:r w:rsidRPr="00E321BE">
        <w:rPr>
          <w:sz w:val="26"/>
          <w:szCs w:val="26"/>
          <w:u w:val="single"/>
        </w:rPr>
        <w:t xml:space="preserve">—A group of interested stakeholders </w:t>
      </w:r>
      <w:r w:rsidR="00F52B09">
        <w:rPr>
          <w:sz w:val="26"/>
          <w:szCs w:val="26"/>
          <w:u w:val="single"/>
        </w:rPr>
        <w:t>who meet at least semiannually</w:t>
      </w:r>
      <w:r w:rsidRPr="00E321BE">
        <w:rPr>
          <w:sz w:val="26"/>
          <w:szCs w:val="26"/>
          <w:u w:val="single"/>
        </w:rPr>
        <w:t xml:space="preserve">, receive </w:t>
      </w:r>
      <w:r>
        <w:rPr>
          <w:sz w:val="26"/>
          <w:szCs w:val="26"/>
          <w:u w:val="single"/>
        </w:rPr>
        <w:t xml:space="preserve">universal service </w:t>
      </w:r>
      <w:r w:rsidRPr="00E321BE">
        <w:rPr>
          <w:sz w:val="26"/>
          <w:szCs w:val="26"/>
          <w:u w:val="single"/>
        </w:rPr>
        <w:t xml:space="preserve">program updates and provide feedback on proposed </w:t>
      </w:r>
      <w:r w:rsidR="00ED0DF7">
        <w:rPr>
          <w:sz w:val="26"/>
          <w:szCs w:val="26"/>
          <w:u w:val="single"/>
        </w:rPr>
        <w:t>utility</w:t>
      </w:r>
      <w:r w:rsidR="00ED0DF7" w:rsidRPr="00E321BE">
        <w:rPr>
          <w:sz w:val="26"/>
          <w:szCs w:val="26"/>
          <w:u w:val="single"/>
        </w:rPr>
        <w:t xml:space="preserve"> </w:t>
      </w:r>
      <w:r w:rsidRPr="00E321BE">
        <w:rPr>
          <w:sz w:val="26"/>
          <w:szCs w:val="26"/>
          <w:u w:val="single"/>
        </w:rPr>
        <w:t>initiatives.</w:t>
      </w:r>
    </w:p>
    <w:p w14:paraId="2114D9E9" w14:textId="16711D6E" w:rsidR="003F4CB9" w:rsidRPr="00173B5C" w:rsidRDefault="003F4CB9" w:rsidP="003F4CB9">
      <w:pPr>
        <w:pStyle w:val="NormalWeb"/>
        <w:rPr>
          <w:sz w:val="26"/>
          <w:szCs w:val="26"/>
          <w:u w:val="single"/>
        </w:rPr>
      </w:pPr>
      <w:r w:rsidRPr="00E21B7F">
        <w:rPr>
          <w:sz w:val="26"/>
          <w:szCs w:val="26"/>
        </w:rPr>
        <w:t>   </w:t>
      </w:r>
      <w:r w:rsidRPr="00E321BE">
        <w:rPr>
          <w:i/>
          <w:sz w:val="26"/>
          <w:szCs w:val="26"/>
          <w:u w:val="single"/>
        </w:rPr>
        <w:t>USECP</w:t>
      </w:r>
      <w:r w:rsidRPr="00E321BE">
        <w:rPr>
          <w:sz w:val="26"/>
          <w:szCs w:val="26"/>
          <w:u w:val="single"/>
        </w:rPr>
        <w:t>—</w:t>
      </w:r>
      <w:r>
        <w:rPr>
          <w:i/>
          <w:sz w:val="26"/>
          <w:szCs w:val="26"/>
          <w:u w:val="single"/>
        </w:rPr>
        <w:t>U</w:t>
      </w:r>
      <w:r w:rsidRPr="00E321BE">
        <w:rPr>
          <w:i/>
          <w:sz w:val="26"/>
          <w:szCs w:val="26"/>
          <w:u w:val="single"/>
        </w:rPr>
        <w:t xml:space="preserve">niversal </w:t>
      </w:r>
      <w:r>
        <w:rPr>
          <w:i/>
          <w:sz w:val="26"/>
          <w:szCs w:val="26"/>
          <w:u w:val="single"/>
        </w:rPr>
        <w:t>S</w:t>
      </w:r>
      <w:r w:rsidRPr="00E321BE">
        <w:rPr>
          <w:i/>
          <w:sz w:val="26"/>
          <w:szCs w:val="26"/>
          <w:u w:val="single"/>
        </w:rPr>
        <w:t xml:space="preserve">ervice and </w:t>
      </w:r>
      <w:r>
        <w:rPr>
          <w:i/>
          <w:sz w:val="26"/>
          <w:szCs w:val="26"/>
          <w:u w:val="single"/>
        </w:rPr>
        <w:t>E</w:t>
      </w:r>
      <w:r w:rsidRPr="00E321BE">
        <w:rPr>
          <w:i/>
          <w:sz w:val="26"/>
          <w:szCs w:val="26"/>
          <w:u w:val="single"/>
        </w:rPr>
        <w:t xml:space="preserve">nergy </w:t>
      </w:r>
      <w:r>
        <w:rPr>
          <w:i/>
          <w:sz w:val="26"/>
          <w:szCs w:val="26"/>
          <w:u w:val="single"/>
        </w:rPr>
        <w:t>C</w:t>
      </w:r>
      <w:r w:rsidRPr="00E321BE">
        <w:rPr>
          <w:i/>
          <w:sz w:val="26"/>
          <w:szCs w:val="26"/>
          <w:u w:val="single"/>
        </w:rPr>
        <w:t xml:space="preserve">onservation </w:t>
      </w:r>
      <w:r>
        <w:rPr>
          <w:i/>
          <w:sz w:val="26"/>
          <w:szCs w:val="26"/>
          <w:u w:val="single"/>
        </w:rPr>
        <w:t>P</w:t>
      </w:r>
      <w:r w:rsidRPr="00E321BE">
        <w:rPr>
          <w:i/>
          <w:sz w:val="26"/>
          <w:szCs w:val="26"/>
          <w:u w:val="single"/>
        </w:rPr>
        <w:t>lan</w:t>
      </w:r>
      <w:r w:rsidRPr="00E321BE">
        <w:rPr>
          <w:sz w:val="26"/>
          <w:szCs w:val="26"/>
          <w:u w:val="single"/>
        </w:rPr>
        <w:t>—A plan that contains the utility</w:t>
      </w:r>
      <w:r w:rsidR="001529C6">
        <w:rPr>
          <w:sz w:val="26"/>
          <w:szCs w:val="26"/>
          <w:u w:val="single"/>
        </w:rPr>
        <w:t>’</w:t>
      </w:r>
      <w:r w:rsidRPr="00E321BE">
        <w:rPr>
          <w:sz w:val="26"/>
          <w:szCs w:val="26"/>
          <w:u w:val="single"/>
        </w:rPr>
        <w:t>s universal service programs as approved by the Commission.</w:t>
      </w:r>
      <w:r w:rsidRPr="00173B5C">
        <w:rPr>
          <w:sz w:val="26"/>
          <w:szCs w:val="26"/>
          <w:u w:val="single"/>
        </w:rPr>
        <w:t xml:space="preserve"> </w:t>
      </w:r>
      <w:r>
        <w:rPr>
          <w:sz w:val="26"/>
          <w:szCs w:val="26"/>
          <w:u w:val="single"/>
        </w:rPr>
        <w:t xml:space="preserve"> </w:t>
      </w:r>
    </w:p>
    <w:p w14:paraId="37F88BFF" w14:textId="70A56808" w:rsidR="003F4CB9" w:rsidRPr="00E21B7F" w:rsidRDefault="003F4CB9" w:rsidP="003F4CB9">
      <w:pPr>
        <w:spacing w:before="100" w:beforeAutospacing="1" w:after="100" w:afterAutospacing="1" w:line="240" w:lineRule="auto"/>
        <w:outlineLvl w:val="3"/>
        <w:rPr>
          <w:rFonts w:ascii="Times New Roman" w:eastAsia="Times New Roman" w:hAnsi="Times New Roman" w:cs="Times New Roman"/>
          <w:b/>
          <w:bCs/>
          <w:sz w:val="26"/>
          <w:szCs w:val="26"/>
        </w:rPr>
      </w:pPr>
      <w:r w:rsidRPr="00E21B7F">
        <w:rPr>
          <w:rFonts w:ascii="Times New Roman" w:eastAsia="Times New Roman" w:hAnsi="Times New Roman" w:cs="Times New Roman"/>
          <w:b/>
          <w:bCs/>
          <w:sz w:val="26"/>
          <w:szCs w:val="26"/>
        </w:rPr>
        <w:t>§ 69.263. CAP development.</w:t>
      </w:r>
    </w:p>
    <w:p w14:paraId="551F92FF"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(a)  A utility should develop </w:t>
      </w:r>
      <w:r>
        <w:rPr>
          <w:rFonts w:ascii="Times New Roman" w:eastAsia="Times New Roman" w:hAnsi="Times New Roman" w:cs="Times New Roman"/>
          <w:sz w:val="26"/>
          <w:szCs w:val="26"/>
          <w:u w:val="single"/>
        </w:rPr>
        <w:t>and strive to improve its</w:t>
      </w:r>
      <w:r w:rsidRPr="001034C1">
        <w:rPr>
          <w:rFonts w:ascii="Times New Roman" w:eastAsia="Times New Roman" w:hAnsi="Times New Roman" w:cs="Times New Roman"/>
          <w:sz w:val="26"/>
          <w:szCs w:val="26"/>
        </w:rPr>
        <w:t xml:space="preserve"> </w:t>
      </w:r>
      <w:r w:rsidRPr="00BD4B58">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a</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CAP consistent with the guidelines provided in §§ 69.261, 69.262, 69.264—69.267 and this section. </w:t>
      </w:r>
    </w:p>
    <w:p w14:paraId="375726EA" w14:textId="332A2AA5" w:rsidR="003F4CB9" w:rsidRPr="006F6E8E" w:rsidRDefault="003F4CB9" w:rsidP="003F4CB9">
      <w:pPr>
        <w:spacing w:before="100" w:beforeAutospacing="1" w:after="100" w:afterAutospacing="1" w:line="240" w:lineRule="auto"/>
        <w:rPr>
          <w:rFonts w:ascii="Times New Roman" w:eastAsia="Times New Roman" w:hAnsi="Times New Roman" w:cs="Times New Roman"/>
          <w:sz w:val="26"/>
          <w:szCs w:val="26"/>
          <w:u w:val="single"/>
        </w:rPr>
      </w:pPr>
      <w:r w:rsidRPr="00E21B7F">
        <w:rPr>
          <w:rFonts w:ascii="Times New Roman" w:eastAsia="Times New Roman" w:hAnsi="Times New Roman" w:cs="Times New Roman"/>
          <w:sz w:val="26"/>
          <w:szCs w:val="26"/>
        </w:rPr>
        <w:t xml:space="preserve"> (b)  The Bureau of Consumer Services will work with the utility in CAP development. </w:t>
      </w:r>
      <w:r w:rsidR="00ED3716">
        <w:rPr>
          <w:rFonts w:ascii="Times New Roman" w:eastAsia="Times New Roman" w:hAnsi="Times New Roman" w:cs="Times New Roman"/>
          <w:sz w:val="26"/>
          <w:szCs w:val="26"/>
        </w:rPr>
        <w:t xml:space="preserve"> </w:t>
      </w:r>
      <w:r w:rsidR="00ED3716">
        <w:rPr>
          <w:rFonts w:ascii="Times New Roman" w:eastAsia="Times New Roman" w:hAnsi="Times New Roman" w:cs="Times New Roman"/>
          <w:sz w:val="26"/>
          <w:szCs w:val="26"/>
          <w:u w:val="single"/>
        </w:rPr>
        <w:t xml:space="preserve">USACs and other interested stakeholders may </w:t>
      </w:r>
      <w:r w:rsidR="00A53B08">
        <w:rPr>
          <w:rFonts w:ascii="Times New Roman" w:eastAsia="Times New Roman" w:hAnsi="Times New Roman" w:cs="Times New Roman"/>
          <w:sz w:val="26"/>
          <w:szCs w:val="26"/>
          <w:u w:val="single"/>
        </w:rPr>
        <w:t>assist the utility.</w:t>
      </w:r>
    </w:p>
    <w:p w14:paraId="257CB687" w14:textId="0D1E5B8B" w:rsidR="003F4CB9"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(c)  Before implementing, revising or expanding a CAP, a utility should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submit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file</w:t>
      </w:r>
      <w:r w:rsidRPr="00E21B7F">
        <w:rPr>
          <w:rFonts w:ascii="Times New Roman" w:eastAsia="Times New Roman" w:hAnsi="Times New Roman" w:cs="Times New Roman"/>
          <w:sz w:val="26"/>
          <w:szCs w:val="26"/>
        </w:rPr>
        <w:t xml:space="preserve"> its CAP proposal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to</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with the Commission and serve copies on</w:t>
      </w:r>
      <w:r w:rsidRPr="00E21B7F">
        <w:rPr>
          <w:rFonts w:ascii="Times New Roman" w:eastAsia="Times New Roman" w:hAnsi="Times New Roman" w:cs="Times New Roman"/>
          <w:sz w:val="26"/>
          <w:szCs w:val="26"/>
        </w:rPr>
        <w:t xml:space="preserve"> the Bureau of Consumer Services </w:t>
      </w:r>
      <w:r>
        <w:rPr>
          <w:rFonts w:ascii="Times New Roman" w:eastAsia="Times New Roman" w:hAnsi="Times New Roman" w:cs="Times New Roman"/>
          <w:sz w:val="26"/>
          <w:szCs w:val="26"/>
          <w:u w:val="single"/>
        </w:rPr>
        <w:t>and on stakeholders from the utility</w:t>
      </w:r>
      <w:r w:rsidR="001529C6">
        <w:rPr>
          <w:rFonts w:ascii="Times New Roman" w:eastAsia="Times New Roman" w:hAnsi="Times New Roman" w:cs="Times New Roman"/>
          <w:sz w:val="26"/>
          <w:szCs w:val="26"/>
          <w:u w:val="single"/>
        </w:rPr>
        <w:t>’</w:t>
      </w:r>
      <w:r>
        <w:rPr>
          <w:rFonts w:ascii="Times New Roman" w:eastAsia="Times New Roman" w:hAnsi="Times New Roman" w:cs="Times New Roman"/>
          <w:sz w:val="26"/>
          <w:szCs w:val="26"/>
          <w:u w:val="single"/>
        </w:rPr>
        <w:t xml:space="preserve">s most recent USECP proceeding.  This will allow for staff review, comments, discovery and revisions prior to </w:t>
      </w:r>
      <w:r w:rsidRPr="001F58F1">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for review and</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Commission approval of design elements. </w:t>
      </w:r>
      <w:r>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This review is not for ratemaking purposes, and the rate consequences of any CAP will be addressed within the context of subsequent Commission rate proceedings as described in § 69.266 (relating to cost recovery).</w:t>
      </w:r>
    </w:p>
    <w:p w14:paraId="3C731283" w14:textId="77777777" w:rsidR="003F4CB9" w:rsidRPr="00E21B7F" w:rsidRDefault="003F4CB9" w:rsidP="003F4CB9">
      <w:pPr>
        <w:spacing w:before="100" w:beforeAutospacing="1" w:after="100" w:afterAutospacing="1" w:line="240" w:lineRule="auto"/>
        <w:outlineLvl w:val="3"/>
        <w:rPr>
          <w:rFonts w:ascii="Times New Roman" w:eastAsia="Times New Roman" w:hAnsi="Times New Roman" w:cs="Times New Roman"/>
          <w:b/>
          <w:bCs/>
          <w:sz w:val="26"/>
          <w:szCs w:val="26"/>
        </w:rPr>
      </w:pPr>
      <w:r w:rsidRPr="00E21B7F">
        <w:rPr>
          <w:rFonts w:ascii="Times New Roman" w:eastAsia="Times New Roman" w:hAnsi="Times New Roman" w:cs="Times New Roman"/>
          <w:b/>
          <w:bCs/>
          <w:sz w:val="26"/>
          <w:szCs w:val="26"/>
        </w:rPr>
        <w:t>§ 69.264. Scope of CAPs.</w:t>
      </w:r>
    </w:p>
    <w:p w14:paraId="259A11A5" w14:textId="3BDEA195"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CAPs should be targeted to low-income</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payment troubled</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customers. </w:t>
      </w:r>
      <w:r>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The participation limit for CAP should reflect a needs assessment, consideration of the estimated number of low-income households in the utility</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service territory, the number of participants currently enrolled in the </w:t>
      </w:r>
      <w:r w:rsidR="004826D5">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pilot</w:t>
      </w:r>
      <w:r w:rsidR="004826D5">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CAP, participation rates for assistance </w:t>
      </w:r>
      <w:r w:rsidRPr="005275E2">
        <w:rPr>
          <w:rFonts w:ascii="Times New Roman" w:eastAsia="Times New Roman" w:hAnsi="Times New Roman" w:cs="Times New Roman"/>
          <w:sz w:val="26"/>
          <w:szCs w:val="26"/>
        </w:rPr>
        <w:t>programs and the resources available to meet the needs of the targeted population.</w:t>
      </w:r>
      <w:r w:rsidRPr="005275E2">
        <w:rPr>
          <w:rFonts w:ascii="Times New Roman" w:hAnsi="Times New Roman" w:cs="Times New Roman"/>
          <w:sz w:val="26"/>
          <w:szCs w:val="26"/>
          <w:u w:val="single"/>
        </w:rPr>
        <w:t xml:space="preserve"> </w:t>
      </w:r>
      <w:r w:rsidR="00E31786">
        <w:rPr>
          <w:rFonts w:ascii="Times New Roman" w:hAnsi="Times New Roman" w:cs="Times New Roman"/>
          <w:sz w:val="26"/>
          <w:szCs w:val="26"/>
          <w:u w:val="single"/>
        </w:rPr>
        <w:t>A utility</w:t>
      </w:r>
      <w:r w:rsidR="00E31786" w:rsidRPr="005275E2">
        <w:rPr>
          <w:rFonts w:ascii="Times New Roman" w:hAnsi="Times New Roman" w:cs="Times New Roman"/>
          <w:sz w:val="26"/>
          <w:szCs w:val="26"/>
          <w:u w:val="single"/>
        </w:rPr>
        <w:t xml:space="preserve"> </w:t>
      </w:r>
      <w:r w:rsidRPr="005275E2">
        <w:rPr>
          <w:rFonts w:ascii="Times New Roman" w:hAnsi="Times New Roman" w:cs="Times New Roman"/>
          <w:sz w:val="26"/>
          <w:szCs w:val="26"/>
          <w:u w:val="single"/>
        </w:rPr>
        <w:t xml:space="preserve">may use payment-troubled status </w:t>
      </w:r>
      <w:r w:rsidRPr="005275E2">
        <w:rPr>
          <w:rFonts w:ascii="Times New Roman" w:hAnsi="Times New Roman" w:cs="Times New Roman"/>
          <w:bCs/>
          <w:sz w:val="26"/>
          <w:szCs w:val="26"/>
          <w:u w:val="single"/>
        </w:rPr>
        <w:t xml:space="preserve">to prioritize CAP enrollments and to control CAP costs if </w:t>
      </w:r>
      <w:r w:rsidR="00B5494C">
        <w:rPr>
          <w:rFonts w:ascii="Times New Roman" w:hAnsi="Times New Roman" w:cs="Times New Roman"/>
          <w:bCs/>
          <w:sz w:val="26"/>
          <w:szCs w:val="26"/>
          <w:u w:val="single"/>
        </w:rPr>
        <w:t xml:space="preserve">necessary and only if </w:t>
      </w:r>
      <w:r w:rsidRPr="005275E2">
        <w:rPr>
          <w:rFonts w:ascii="Times New Roman" w:hAnsi="Times New Roman" w:cs="Times New Roman"/>
          <w:bCs/>
          <w:sz w:val="26"/>
          <w:szCs w:val="26"/>
          <w:u w:val="single"/>
        </w:rPr>
        <w:t>approved to do so by the Commission.</w:t>
      </w:r>
      <w:r>
        <w:rPr>
          <w:bCs/>
          <w:sz w:val="26"/>
          <w:szCs w:val="26"/>
        </w:rPr>
        <w:t xml:space="preserve">  </w:t>
      </w:r>
    </w:p>
    <w:p w14:paraId="22A3A98E" w14:textId="77777777" w:rsidR="003F4CB9" w:rsidRPr="00E21B7F" w:rsidRDefault="003F4CB9" w:rsidP="003F4CB9">
      <w:pPr>
        <w:spacing w:before="100" w:beforeAutospacing="1" w:after="100" w:afterAutospacing="1" w:line="240" w:lineRule="auto"/>
        <w:outlineLvl w:val="3"/>
        <w:rPr>
          <w:rFonts w:ascii="Times New Roman" w:eastAsia="Times New Roman" w:hAnsi="Times New Roman" w:cs="Times New Roman"/>
          <w:b/>
          <w:bCs/>
          <w:sz w:val="26"/>
          <w:szCs w:val="26"/>
        </w:rPr>
      </w:pPr>
      <w:r w:rsidRPr="00E21B7F">
        <w:rPr>
          <w:rFonts w:ascii="Times New Roman" w:eastAsia="Times New Roman" w:hAnsi="Times New Roman" w:cs="Times New Roman"/>
          <w:b/>
          <w:bCs/>
          <w:sz w:val="26"/>
          <w:szCs w:val="26"/>
        </w:rPr>
        <w:t>§ 69.265. CAP design elements.</w:t>
      </w:r>
    </w:p>
    <w:p w14:paraId="7BAC726A"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The following design elements should be included in a CAP: </w:t>
      </w:r>
    </w:p>
    <w:p w14:paraId="21AE57CD"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(1)  </w:t>
      </w:r>
      <w:r w:rsidRPr="00E21B7F">
        <w:rPr>
          <w:rFonts w:ascii="Times New Roman" w:eastAsia="Times New Roman" w:hAnsi="Times New Roman" w:cs="Times New Roman"/>
          <w:i/>
          <w:iCs/>
          <w:sz w:val="26"/>
          <w:szCs w:val="26"/>
        </w:rPr>
        <w:t>Program funding.</w:t>
      </w:r>
      <w:r w:rsidRPr="00E21B7F">
        <w:rPr>
          <w:rFonts w:ascii="Times New Roman" w:eastAsia="Times New Roman" w:hAnsi="Times New Roman" w:cs="Times New Roman"/>
          <w:sz w:val="26"/>
          <w:szCs w:val="26"/>
        </w:rPr>
        <w:t xml:space="preserve"> Program funding should be derived from the following sources: </w:t>
      </w:r>
    </w:p>
    <w:p w14:paraId="386B20B9"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   Payments from CAP participants. </w:t>
      </w:r>
    </w:p>
    <w:p w14:paraId="00D33D77"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(ii)   LIHEAP grants.</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p>
    <w:p w14:paraId="42E9B30E"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(iii)</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(ii)</w:t>
      </w:r>
      <w:r w:rsidRPr="00E21B7F">
        <w:rPr>
          <w:rFonts w:ascii="Times New Roman" w:eastAsia="Times New Roman" w:hAnsi="Times New Roman" w:cs="Times New Roman"/>
          <w:sz w:val="26"/>
          <w:szCs w:val="26"/>
        </w:rPr>
        <w:t xml:space="preserve">   Operations and maintenance expense reductions. </w:t>
      </w:r>
    </w:p>
    <w:p w14:paraId="1A86FC1A" w14:textId="77777777" w:rsidR="003F4CB9"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(iv)</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(iii)</w:t>
      </w:r>
      <w:r w:rsidRPr="00E21B7F">
        <w:rPr>
          <w:rFonts w:ascii="Times New Roman" w:eastAsia="Times New Roman" w:hAnsi="Times New Roman" w:cs="Times New Roman"/>
          <w:sz w:val="26"/>
          <w:szCs w:val="26"/>
        </w:rPr>
        <w:t>   Universal service funding mechanism for EDCs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and NGDCs</w:t>
      </w:r>
      <w:r w:rsidRPr="00E21B7F">
        <w:rPr>
          <w:rFonts w:ascii="Times New Roman" w:eastAsia="Times New Roman" w:hAnsi="Times New Roman" w:cs="Times New Roman"/>
          <w:sz w:val="26"/>
          <w:szCs w:val="26"/>
        </w:rPr>
        <w:t xml:space="preserve">. </w:t>
      </w:r>
    </w:p>
    <w:p w14:paraId="68D78BFF" w14:textId="4F636F81" w:rsidR="003F4CB9" w:rsidRPr="00413F73" w:rsidRDefault="003F4CB9" w:rsidP="003F4CB9">
      <w:pPr>
        <w:spacing w:before="100" w:beforeAutospacing="1" w:after="100" w:afterAutospacing="1" w:line="240" w:lineRule="auto"/>
        <w:rPr>
          <w:rFonts w:ascii="Times New Roman" w:eastAsia="Times New Roman" w:hAnsi="Times New Roman" w:cs="Times New Roman"/>
          <w:sz w:val="26"/>
          <w:szCs w:val="26"/>
          <w:u w:val="single"/>
        </w:rPr>
      </w:pPr>
      <w:r w:rsidRPr="00413F73">
        <w:rPr>
          <w:rFonts w:ascii="Times New Roman" w:eastAsia="Times New Roman" w:hAnsi="Times New Roman" w:cs="Times New Roman"/>
          <w:sz w:val="26"/>
          <w:szCs w:val="26"/>
        </w:rPr>
        <w:t>     </w:t>
      </w:r>
      <w:r w:rsidRPr="00413F73">
        <w:rPr>
          <w:rFonts w:ascii="Times New Roman" w:eastAsia="Times New Roman" w:hAnsi="Times New Roman" w:cs="Times New Roman"/>
          <w:sz w:val="26"/>
          <w:szCs w:val="26"/>
          <w:u w:val="single"/>
        </w:rPr>
        <w:t>(</w:t>
      </w:r>
      <w:r w:rsidR="00D75142">
        <w:rPr>
          <w:rFonts w:ascii="Times New Roman" w:eastAsia="Times New Roman" w:hAnsi="Times New Roman" w:cs="Times New Roman"/>
          <w:sz w:val="26"/>
          <w:szCs w:val="26"/>
          <w:u w:val="single"/>
        </w:rPr>
        <w:t>i</w:t>
      </w:r>
      <w:r w:rsidRPr="00413F73">
        <w:rPr>
          <w:rFonts w:ascii="Times New Roman" w:eastAsia="Times New Roman" w:hAnsi="Times New Roman" w:cs="Times New Roman"/>
          <w:sz w:val="26"/>
          <w:szCs w:val="26"/>
          <w:u w:val="single"/>
        </w:rPr>
        <w:t>v)   Other sources as may be approved by the Commission.</w:t>
      </w:r>
    </w:p>
    <w:p w14:paraId="3022A462" w14:textId="73B2BABA" w:rsidR="003F4CB9"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(2)  </w:t>
      </w:r>
      <w:r w:rsidRPr="00E21B7F">
        <w:rPr>
          <w:rFonts w:ascii="Times New Roman" w:eastAsia="Times New Roman" w:hAnsi="Times New Roman" w:cs="Times New Roman"/>
          <w:i/>
          <w:iCs/>
          <w:sz w:val="26"/>
          <w:szCs w:val="26"/>
        </w:rPr>
        <w:t xml:space="preserve">Payment plan </w:t>
      </w:r>
      <w:r>
        <w:rPr>
          <w:rFonts w:ascii="Times New Roman" w:eastAsia="Times New Roman" w:hAnsi="Times New Roman" w:cs="Times New Roman"/>
          <w:sz w:val="26"/>
          <w:szCs w:val="26"/>
        </w:rPr>
        <w:t>[</w:t>
      </w:r>
      <w:r w:rsidRPr="00E21B7F">
        <w:rPr>
          <w:rFonts w:ascii="Times New Roman" w:eastAsia="Times New Roman" w:hAnsi="Times New Roman" w:cs="Times New Roman"/>
          <w:i/>
          <w:iCs/>
          <w:sz w:val="26"/>
          <w:szCs w:val="26"/>
        </w:rPr>
        <w:t>proposal</w:t>
      </w:r>
      <w:r>
        <w:rPr>
          <w:rFonts w:ascii="Times New Roman" w:eastAsia="Times New Roman" w:hAnsi="Times New Roman" w:cs="Times New Roman"/>
          <w:sz w:val="26"/>
          <w:szCs w:val="26"/>
        </w:rPr>
        <w:t>]</w:t>
      </w:r>
      <w:r w:rsidRPr="00E21B7F">
        <w:rPr>
          <w:rFonts w:ascii="Times New Roman" w:eastAsia="Times New Roman" w:hAnsi="Times New Roman" w:cs="Times New Roman"/>
          <w:i/>
          <w:iCs/>
          <w:sz w:val="26"/>
          <w:szCs w:val="26"/>
        </w:rPr>
        <w:t>.</w:t>
      </w:r>
      <w:r w:rsidRPr="00E21B7F">
        <w:rPr>
          <w:rFonts w:ascii="Times New Roman" w:eastAsia="Times New Roman" w:hAnsi="Times New Roman" w:cs="Times New Roman"/>
          <w:sz w:val="26"/>
          <w:szCs w:val="26"/>
        </w:rPr>
        <w:t xml:space="preserve"> Generally, CAP payments for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total electric and natural gas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jurisdictional</w:t>
      </w:r>
      <w:r w:rsidRPr="00E21B7F">
        <w:rPr>
          <w:rFonts w:ascii="Times New Roman" w:eastAsia="Times New Roman" w:hAnsi="Times New Roman" w:cs="Times New Roman"/>
          <w:sz w:val="26"/>
          <w:szCs w:val="26"/>
        </w:rPr>
        <w:t xml:space="preserve"> home energy should not exceed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of the CAP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annual </w:t>
      </w:r>
      <w:r w:rsidRPr="005275E2">
        <w:rPr>
          <w:rFonts w:ascii="Times New Roman" w:eastAsia="Times New Roman" w:hAnsi="Times New Roman" w:cs="Times New Roman"/>
          <w:sz w:val="26"/>
          <w:szCs w:val="26"/>
        </w:rPr>
        <w:t>income</w:t>
      </w:r>
      <w:r w:rsidR="00E31786">
        <w:rPr>
          <w:rFonts w:ascii="Times New Roman" w:eastAsia="Times New Roman" w:hAnsi="Times New Roman" w:cs="Times New Roman"/>
          <w:sz w:val="26"/>
          <w:szCs w:val="26"/>
        </w:rPr>
        <w:t xml:space="preserve">] </w:t>
      </w:r>
      <w:r w:rsidR="00E31786" w:rsidRPr="0063593A">
        <w:rPr>
          <w:rFonts w:ascii="Times New Roman" w:eastAsia="Times New Roman" w:hAnsi="Times New Roman" w:cs="Times New Roman"/>
          <w:sz w:val="26"/>
          <w:szCs w:val="26"/>
          <w:u w:val="single"/>
        </w:rPr>
        <w:t xml:space="preserve">the </w:t>
      </w:r>
      <w:r w:rsidR="00E31786">
        <w:rPr>
          <w:rFonts w:ascii="Times New Roman" w:eastAsia="Times New Roman" w:hAnsi="Times New Roman" w:cs="Times New Roman"/>
          <w:sz w:val="26"/>
          <w:szCs w:val="26"/>
          <w:u w:val="single"/>
        </w:rPr>
        <w:t xml:space="preserve">percentages </w:t>
      </w:r>
      <w:r w:rsidR="005031A3">
        <w:rPr>
          <w:rFonts w:ascii="Times New Roman" w:eastAsia="Times New Roman" w:hAnsi="Times New Roman" w:cs="Times New Roman"/>
          <w:sz w:val="26"/>
          <w:szCs w:val="26"/>
          <w:u w:val="single"/>
        </w:rPr>
        <w:t xml:space="preserve">of </w:t>
      </w:r>
      <w:r w:rsidR="00E31786">
        <w:rPr>
          <w:rFonts w:ascii="Times New Roman" w:eastAsia="Times New Roman" w:hAnsi="Times New Roman" w:cs="Times New Roman"/>
          <w:sz w:val="26"/>
          <w:szCs w:val="26"/>
          <w:u w:val="single"/>
        </w:rPr>
        <w:t>CAP participants</w:t>
      </w:r>
      <w:r w:rsidR="001529C6">
        <w:rPr>
          <w:rFonts w:ascii="Times New Roman" w:eastAsia="Times New Roman" w:hAnsi="Times New Roman" w:cs="Times New Roman"/>
          <w:sz w:val="26"/>
          <w:szCs w:val="26"/>
          <w:u w:val="single"/>
        </w:rPr>
        <w:t>’</w:t>
      </w:r>
      <w:r w:rsidR="00E31786">
        <w:rPr>
          <w:rFonts w:ascii="Times New Roman" w:eastAsia="Times New Roman" w:hAnsi="Times New Roman" w:cs="Times New Roman"/>
          <w:sz w:val="26"/>
          <w:szCs w:val="26"/>
          <w:u w:val="single"/>
        </w:rPr>
        <w:t xml:space="preserve"> annual income specified in the schedule </w:t>
      </w:r>
      <w:r w:rsidR="003C0C1D">
        <w:rPr>
          <w:rFonts w:ascii="Times New Roman" w:eastAsia="Times New Roman" w:hAnsi="Times New Roman" w:cs="Times New Roman"/>
          <w:sz w:val="26"/>
          <w:szCs w:val="26"/>
          <w:u w:val="single"/>
        </w:rPr>
        <w:t>in subsection (i)</w:t>
      </w:r>
      <w:r w:rsidR="00E31786" w:rsidRPr="00AE7823">
        <w:rPr>
          <w:rFonts w:ascii="Times New Roman" w:eastAsia="Times New Roman" w:hAnsi="Times New Roman" w:cs="Times New Roman"/>
          <w:sz w:val="26"/>
          <w:szCs w:val="26"/>
        </w:rPr>
        <w:t>.</w:t>
      </w:r>
      <w:r w:rsidRPr="005275E2">
        <w:rPr>
          <w:rFonts w:ascii="Times New Roman" w:eastAsia="Times New Roman" w:hAnsi="Times New Roman" w:cs="Times New Roman"/>
          <w:sz w:val="26"/>
          <w:szCs w:val="26"/>
        </w:rPr>
        <w:t xml:space="preserve"> </w:t>
      </w:r>
      <w:r w:rsidRPr="00D064E6">
        <w:rPr>
          <w:rFonts w:ascii="Times New Roman" w:eastAsia="Times New Roman" w:hAnsi="Times New Roman" w:cs="Times New Roman"/>
          <w:sz w:val="26"/>
          <w:szCs w:val="26"/>
        </w:rPr>
        <w:t>[The minimum</w:t>
      </w:r>
      <w:r w:rsidRPr="00E21B7F">
        <w:rPr>
          <w:rFonts w:ascii="Times New Roman" w:eastAsia="Times New Roman" w:hAnsi="Times New Roman" w:cs="Times New Roman"/>
          <w:sz w:val="26"/>
          <w:szCs w:val="26"/>
        </w:rPr>
        <w:t xml:space="preserve"> payment</w:t>
      </w:r>
      <w:r>
        <w:rPr>
          <w:rFonts w:ascii="Times New Roman" w:eastAsia="Times New Roman" w:hAnsi="Times New Roman" w:cs="Times New Roman"/>
          <w:sz w:val="26"/>
          <w:szCs w:val="26"/>
        </w:rPr>
        <w:t xml:space="preserve"> should</w:t>
      </w:r>
      <w:r w:rsidRPr="0063593A">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not be less than the guidelines in paragraph (3)(v)(A) and (B).</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Payment plans should be based on one or a combination of the following: </w:t>
      </w:r>
    </w:p>
    <w:p w14:paraId="3C0908E9" w14:textId="7E1040CF"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   </w:t>
      </w:r>
      <w:r w:rsidRPr="00E21B7F">
        <w:rPr>
          <w:rFonts w:ascii="Times New Roman" w:eastAsia="Times New Roman" w:hAnsi="Times New Roman" w:cs="Times New Roman"/>
          <w:i/>
          <w:iCs/>
          <w:sz w:val="26"/>
          <w:szCs w:val="26"/>
        </w:rPr>
        <w:t>Percentage of income plan</w:t>
      </w:r>
      <w:r w:rsidRPr="009F7915">
        <w:rPr>
          <w:rFonts w:ascii="Times New Roman" w:eastAsia="Times New Roman" w:hAnsi="Times New Roman" w:cs="Times New Roman"/>
          <w:i/>
          <w:iCs/>
          <w:sz w:val="26"/>
          <w:szCs w:val="26"/>
          <w:u w:val="single"/>
        </w:rPr>
        <w:t xml:space="preserve"> </w:t>
      </w:r>
      <w:r w:rsidR="00AE7823">
        <w:rPr>
          <w:rFonts w:ascii="Times New Roman" w:eastAsia="Times New Roman" w:hAnsi="Times New Roman" w:cs="Times New Roman"/>
          <w:i/>
          <w:iCs/>
          <w:sz w:val="26"/>
          <w:szCs w:val="26"/>
          <w:u w:val="single"/>
        </w:rPr>
        <w:t>(</w:t>
      </w:r>
      <w:r w:rsidRPr="009F7915">
        <w:rPr>
          <w:rFonts w:ascii="Times New Roman" w:eastAsia="Times New Roman" w:hAnsi="Times New Roman" w:cs="Times New Roman"/>
          <w:i/>
          <w:iCs/>
          <w:sz w:val="26"/>
          <w:szCs w:val="26"/>
          <w:u w:val="single"/>
        </w:rPr>
        <w:t>PIP</w:t>
      </w:r>
      <w:r w:rsidR="00AE7823">
        <w:rPr>
          <w:rFonts w:ascii="Times New Roman" w:eastAsia="Times New Roman" w:hAnsi="Times New Roman" w:cs="Times New Roman"/>
          <w:i/>
          <w:iCs/>
          <w:sz w:val="26"/>
          <w:szCs w:val="26"/>
          <w:u w:val="single"/>
        </w:rPr>
        <w:t>)</w:t>
      </w:r>
      <w:r w:rsidRPr="00E21B7F">
        <w:rPr>
          <w:rFonts w:ascii="Times New Roman" w:eastAsia="Times New Roman" w:hAnsi="Times New Roman" w:cs="Times New Roman"/>
          <w:i/>
          <w:iCs/>
          <w:sz w:val="26"/>
          <w:szCs w:val="26"/>
        </w:rPr>
        <w:t>.</w:t>
      </w:r>
      <w:r w:rsidRPr="00E21B7F">
        <w:rPr>
          <w:rFonts w:ascii="Times New Roman" w:eastAsia="Times New Roman" w:hAnsi="Times New Roman" w:cs="Times New Roman"/>
          <w:sz w:val="26"/>
          <w:szCs w:val="26"/>
        </w:rPr>
        <w:t xml:space="preserve"> Total payment for total electric and natural gas home energy under a percentage of income plan is determined based upon a scheduled</w:t>
      </w:r>
      <w:r>
        <w:rPr>
          <w:rFonts w:ascii="Times New Roman" w:eastAsia="Times New Roman" w:hAnsi="Times New Roman" w:cs="Times New Roman"/>
          <w:sz w:val="26"/>
          <w:szCs w:val="26"/>
        </w:rPr>
        <w:t> </w:t>
      </w:r>
      <w:r w:rsidRPr="00E21B7F">
        <w:rPr>
          <w:rFonts w:ascii="Times New Roman" w:eastAsia="Times New Roman" w:hAnsi="Times New Roman" w:cs="Times New Roman"/>
          <w:sz w:val="26"/>
          <w:szCs w:val="26"/>
        </w:rPr>
        <w:t>percentage of the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s annual gross income. The participating household</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gross income and </w:t>
      </w:r>
      <w:r w:rsidR="00443A4C">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family</w:t>
      </w:r>
      <w:r w:rsidR="00443A4C">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size place the </w:t>
      </w:r>
      <w:r w:rsidR="00DB288C">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family</w:t>
      </w:r>
      <w:r w:rsidR="00DB288C">
        <w:rPr>
          <w:rFonts w:ascii="Times New Roman" w:eastAsia="Times New Roman" w:hAnsi="Times New Roman" w:cs="Times New Roman"/>
          <w:sz w:val="26"/>
          <w:szCs w:val="26"/>
        </w:rPr>
        <w:t xml:space="preserve">] </w:t>
      </w:r>
      <w:r w:rsidR="00DB288C">
        <w:rPr>
          <w:rFonts w:ascii="Times New Roman" w:eastAsia="Times New Roman" w:hAnsi="Times New Roman" w:cs="Times New Roman"/>
          <w:sz w:val="26"/>
          <w:szCs w:val="26"/>
          <w:u w:val="single"/>
        </w:rPr>
        <w:t>household</w:t>
      </w:r>
      <w:r w:rsidRPr="00E21B7F">
        <w:rPr>
          <w:rFonts w:ascii="Times New Roman" w:eastAsia="Times New Roman" w:hAnsi="Times New Roman" w:cs="Times New Roman"/>
          <w:sz w:val="26"/>
          <w:szCs w:val="26"/>
        </w:rPr>
        <w:t xml:space="preserve"> at a particular poverty level based on </w:t>
      </w:r>
      <w:r w:rsidR="001773CD">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Federal poverty income guidelines</w:t>
      </w:r>
      <w:r w:rsidR="001773CD">
        <w:rPr>
          <w:rFonts w:ascii="Times New Roman" w:eastAsia="Times New Roman" w:hAnsi="Times New Roman" w:cs="Times New Roman"/>
          <w:sz w:val="26"/>
          <w:szCs w:val="26"/>
        </w:rPr>
        <w:t>]</w:t>
      </w:r>
      <w:r w:rsidR="00354397">
        <w:rPr>
          <w:rFonts w:ascii="Times New Roman" w:eastAsia="Times New Roman" w:hAnsi="Times New Roman" w:cs="Times New Roman"/>
          <w:sz w:val="26"/>
          <w:szCs w:val="26"/>
        </w:rPr>
        <w:t xml:space="preserve"> </w:t>
      </w:r>
      <w:r w:rsidR="007208D6" w:rsidRPr="007208D6">
        <w:rPr>
          <w:rFonts w:ascii="Times New Roman" w:eastAsia="Times New Roman" w:hAnsi="Times New Roman" w:cs="Times New Roman"/>
          <w:sz w:val="26"/>
          <w:szCs w:val="26"/>
          <w:u w:val="single"/>
        </w:rPr>
        <w:t xml:space="preserve">the </w:t>
      </w:r>
      <w:r w:rsidR="00354397">
        <w:rPr>
          <w:rFonts w:ascii="Times New Roman" w:eastAsia="Times New Roman" w:hAnsi="Times New Roman" w:cs="Times New Roman"/>
          <w:sz w:val="26"/>
          <w:szCs w:val="26"/>
          <w:u w:val="single"/>
        </w:rPr>
        <w:t>FPIG</w:t>
      </w:r>
      <w:r w:rsidRPr="00E21B7F">
        <w:rPr>
          <w:rFonts w:ascii="Times New Roman" w:eastAsia="Times New Roman" w:hAnsi="Times New Roman" w:cs="Times New Roman"/>
          <w:sz w:val="26"/>
          <w:szCs w:val="26"/>
        </w:rPr>
        <w:t xml:space="preserve">. </w:t>
      </w:r>
    </w:p>
    <w:p w14:paraId="41A7AD28" w14:textId="10A2286C"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(A)   Generally, maximum payments for electric nonheating service should </w:t>
      </w:r>
      <w:r w:rsidR="002D302C">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be within</w:t>
      </w:r>
      <w:r w:rsidR="002D302C">
        <w:rPr>
          <w:rFonts w:ascii="Times New Roman" w:eastAsia="Times New Roman" w:hAnsi="Times New Roman" w:cs="Times New Roman"/>
          <w:sz w:val="26"/>
          <w:szCs w:val="26"/>
        </w:rPr>
        <w:t xml:space="preserve">] </w:t>
      </w:r>
      <w:r w:rsidR="002D302C">
        <w:rPr>
          <w:rFonts w:ascii="Times New Roman" w:eastAsia="Times New Roman" w:hAnsi="Times New Roman" w:cs="Times New Roman"/>
          <w:sz w:val="26"/>
          <w:szCs w:val="26"/>
          <w:u w:val="single"/>
        </w:rPr>
        <w:t>not exceed</w:t>
      </w:r>
      <w:r w:rsidRPr="00E21B7F">
        <w:rPr>
          <w:rFonts w:ascii="Times New Roman" w:eastAsia="Times New Roman" w:hAnsi="Times New Roman" w:cs="Times New Roman"/>
          <w:sz w:val="26"/>
          <w:szCs w:val="26"/>
        </w:rPr>
        <w:t xml:space="preserve"> the following </w:t>
      </w:r>
      <w:r w:rsidR="002D302C">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ranges</w:t>
      </w:r>
      <w:r w:rsidR="002D302C">
        <w:rPr>
          <w:rFonts w:ascii="Times New Roman" w:eastAsia="Times New Roman" w:hAnsi="Times New Roman" w:cs="Times New Roman"/>
          <w:sz w:val="26"/>
          <w:szCs w:val="26"/>
        </w:rPr>
        <w:t xml:space="preserve">] </w:t>
      </w:r>
      <w:r w:rsidR="00B5494C">
        <w:rPr>
          <w:rFonts w:ascii="Times New Roman" w:eastAsia="Times New Roman" w:hAnsi="Times New Roman" w:cs="Times New Roman"/>
          <w:sz w:val="26"/>
          <w:szCs w:val="26"/>
          <w:u w:val="single"/>
        </w:rPr>
        <w:t>maximums</w:t>
      </w:r>
      <w:r w:rsidRPr="00E21B7F">
        <w:rPr>
          <w:rFonts w:ascii="Times New Roman" w:eastAsia="Times New Roman" w:hAnsi="Times New Roman" w:cs="Times New Roman"/>
          <w:sz w:val="26"/>
          <w:szCs w:val="26"/>
        </w:rPr>
        <w:t xml:space="preserve">: </w:t>
      </w:r>
    </w:p>
    <w:p w14:paraId="58AAC18E" w14:textId="135B7FF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   Household income between 0—50% of </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poverty</w:t>
      </w:r>
      <w:r w:rsidR="00DF36A4">
        <w:rPr>
          <w:rFonts w:ascii="Times New Roman" w:eastAsia="Times New Roman" w:hAnsi="Times New Roman" w:cs="Times New Roman"/>
          <w:sz w:val="26"/>
          <w:szCs w:val="26"/>
        </w:rPr>
        <w:t xml:space="preserve">] </w:t>
      </w:r>
      <w:r w:rsidR="00DF36A4">
        <w:rPr>
          <w:rFonts w:ascii="Times New Roman" w:eastAsia="Times New Roman" w:hAnsi="Times New Roman" w:cs="Times New Roman"/>
          <w:sz w:val="26"/>
          <w:szCs w:val="26"/>
          <w:u w:val="single"/>
        </w:rPr>
        <w:t>FPIG</w:t>
      </w:r>
      <w:r w:rsidRPr="00E21B7F">
        <w:rPr>
          <w:rFonts w:ascii="Times New Roman" w:eastAsia="Times New Roman" w:hAnsi="Times New Roman" w:cs="Times New Roman"/>
          <w:sz w:val="26"/>
          <w:szCs w:val="26"/>
        </w:rPr>
        <w:t xml:space="preserve"> at </w:t>
      </w:r>
      <w:r w:rsidR="004F520B">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2%—5%</w:t>
      </w:r>
      <w:r w:rsidR="004F520B">
        <w:rPr>
          <w:rFonts w:ascii="Times New Roman" w:eastAsia="Times New Roman" w:hAnsi="Times New Roman" w:cs="Times New Roman"/>
          <w:sz w:val="26"/>
          <w:szCs w:val="26"/>
        </w:rPr>
        <w:t xml:space="preserve">] </w:t>
      </w:r>
      <w:r w:rsidR="004F520B">
        <w:rPr>
          <w:rFonts w:ascii="Times New Roman" w:eastAsia="Times New Roman" w:hAnsi="Times New Roman" w:cs="Times New Roman"/>
          <w:sz w:val="26"/>
          <w:szCs w:val="26"/>
          <w:u w:val="single"/>
        </w:rPr>
        <w:t>2%</w:t>
      </w:r>
      <w:r w:rsidRPr="00E21B7F">
        <w:rPr>
          <w:rFonts w:ascii="Times New Roman" w:eastAsia="Times New Roman" w:hAnsi="Times New Roman" w:cs="Times New Roman"/>
          <w:sz w:val="26"/>
          <w:szCs w:val="26"/>
        </w:rPr>
        <w:t xml:space="preserve"> of income. </w:t>
      </w:r>
    </w:p>
    <w:p w14:paraId="29D03F40" w14:textId="0FB17B71"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   Household income between 51—100% of </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poverty</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00DF36A4">
        <w:rPr>
          <w:rFonts w:ascii="Times New Roman" w:eastAsia="Times New Roman" w:hAnsi="Times New Roman" w:cs="Times New Roman"/>
          <w:sz w:val="26"/>
          <w:szCs w:val="26"/>
          <w:u w:val="single"/>
        </w:rPr>
        <w:t>FPIG</w:t>
      </w:r>
      <w:r w:rsidR="00DF36A4"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at </w:t>
      </w:r>
      <w:r w:rsidR="004F520B">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4%—6%</w:t>
      </w:r>
      <w:r w:rsidR="004F520B">
        <w:rPr>
          <w:rFonts w:ascii="Times New Roman" w:eastAsia="Times New Roman" w:hAnsi="Times New Roman" w:cs="Times New Roman"/>
          <w:sz w:val="26"/>
          <w:szCs w:val="26"/>
        </w:rPr>
        <w:t xml:space="preserve">] </w:t>
      </w:r>
      <w:r w:rsidR="004F520B">
        <w:rPr>
          <w:rFonts w:ascii="Times New Roman" w:eastAsia="Times New Roman" w:hAnsi="Times New Roman" w:cs="Times New Roman"/>
          <w:sz w:val="26"/>
          <w:szCs w:val="26"/>
          <w:u w:val="single"/>
        </w:rPr>
        <w:t>4%</w:t>
      </w:r>
      <w:r w:rsidRPr="00E21B7F">
        <w:rPr>
          <w:rFonts w:ascii="Times New Roman" w:eastAsia="Times New Roman" w:hAnsi="Times New Roman" w:cs="Times New Roman"/>
          <w:sz w:val="26"/>
          <w:szCs w:val="26"/>
        </w:rPr>
        <w:t xml:space="preserve"> of income. </w:t>
      </w:r>
    </w:p>
    <w:p w14:paraId="35174BD9" w14:textId="3288F67B"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(III)   Household income between 101—150% of </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poverty</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00DF36A4">
        <w:rPr>
          <w:rFonts w:ascii="Times New Roman" w:eastAsia="Times New Roman" w:hAnsi="Times New Roman" w:cs="Times New Roman"/>
          <w:sz w:val="26"/>
          <w:szCs w:val="26"/>
          <w:u w:val="single"/>
        </w:rPr>
        <w:t>FPIG</w:t>
      </w:r>
      <w:r w:rsidR="00DF36A4"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at </w:t>
      </w:r>
      <w:r w:rsidR="004F520B">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6%—7%</w:t>
      </w:r>
      <w:r w:rsidR="004F520B">
        <w:rPr>
          <w:rFonts w:ascii="Times New Roman" w:eastAsia="Times New Roman" w:hAnsi="Times New Roman" w:cs="Times New Roman"/>
          <w:sz w:val="26"/>
          <w:szCs w:val="26"/>
        </w:rPr>
        <w:t xml:space="preserve">] </w:t>
      </w:r>
      <w:r w:rsidR="004F520B">
        <w:rPr>
          <w:rFonts w:ascii="Times New Roman" w:eastAsia="Times New Roman" w:hAnsi="Times New Roman" w:cs="Times New Roman"/>
          <w:sz w:val="26"/>
          <w:szCs w:val="26"/>
          <w:u w:val="single"/>
        </w:rPr>
        <w:t>4%</w:t>
      </w:r>
      <w:r w:rsidRPr="00E21B7F">
        <w:rPr>
          <w:rFonts w:ascii="Times New Roman" w:eastAsia="Times New Roman" w:hAnsi="Times New Roman" w:cs="Times New Roman"/>
          <w:sz w:val="26"/>
          <w:szCs w:val="26"/>
        </w:rPr>
        <w:t xml:space="preserve"> of income. </w:t>
      </w:r>
    </w:p>
    <w:p w14:paraId="59C59640" w14:textId="7FFA0A36"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sidRPr="000B3D37">
        <w:rPr>
          <w:rFonts w:ascii="Times New Roman" w:eastAsia="Times New Roman" w:hAnsi="Times New Roman" w:cs="Times New Roman"/>
          <w:sz w:val="26"/>
          <w:szCs w:val="26"/>
        </w:rPr>
        <w:t xml:space="preserve">(B)   Generally, maximum payments for </w:t>
      </w:r>
      <w:r w:rsidR="00BE7A41" w:rsidRPr="000B3D37">
        <w:rPr>
          <w:rFonts w:ascii="Times New Roman" w:eastAsia="Times New Roman" w:hAnsi="Times New Roman" w:cs="Times New Roman"/>
          <w:sz w:val="26"/>
          <w:szCs w:val="26"/>
          <w:u w:val="single"/>
        </w:rPr>
        <w:t>na</w:t>
      </w:r>
      <w:r w:rsidR="005A5F0F" w:rsidRPr="000B3D37">
        <w:rPr>
          <w:rFonts w:ascii="Times New Roman" w:eastAsia="Times New Roman" w:hAnsi="Times New Roman" w:cs="Times New Roman"/>
          <w:sz w:val="26"/>
          <w:szCs w:val="26"/>
          <w:u w:val="single"/>
        </w:rPr>
        <w:t xml:space="preserve">tural </w:t>
      </w:r>
      <w:r w:rsidRPr="000B3D37">
        <w:rPr>
          <w:rFonts w:ascii="Times New Roman" w:eastAsia="Times New Roman" w:hAnsi="Times New Roman" w:cs="Times New Roman"/>
          <w:sz w:val="26"/>
          <w:szCs w:val="26"/>
        </w:rPr>
        <w:t xml:space="preserve">gas heating should </w:t>
      </w:r>
      <w:r w:rsidR="002D302C" w:rsidRPr="000B3D37">
        <w:rPr>
          <w:rFonts w:ascii="Times New Roman" w:eastAsia="Times New Roman" w:hAnsi="Times New Roman" w:cs="Times New Roman"/>
          <w:sz w:val="26"/>
          <w:szCs w:val="26"/>
        </w:rPr>
        <w:t>[</w:t>
      </w:r>
      <w:r w:rsidRPr="000B3D37">
        <w:rPr>
          <w:rFonts w:ascii="Times New Roman" w:eastAsia="Times New Roman" w:hAnsi="Times New Roman" w:cs="Times New Roman"/>
          <w:sz w:val="26"/>
          <w:szCs w:val="26"/>
        </w:rPr>
        <w:t>be within</w:t>
      </w:r>
      <w:r w:rsidR="002D302C" w:rsidRPr="000B3D37">
        <w:rPr>
          <w:rFonts w:ascii="Times New Roman" w:eastAsia="Times New Roman" w:hAnsi="Times New Roman" w:cs="Times New Roman"/>
          <w:sz w:val="26"/>
          <w:szCs w:val="26"/>
        </w:rPr>
        <w:t xml:space="preserve">] </w:t>
      </w:r>
      <w:r w:rsidR="002D302C" w:rsidRPr="000B3D37">
        <w:rPr>
          <w:rFonts w:ascii="Times New Roman" w:eastAsia="Times New Roman" w:hAnsi="Times New Roman" w:cs="Times New Roman"/>
          <w:sz w:val="26"/>
          <w:szCs w:val="26"/>
          <w:u w:val="single"/>
        </w:rPr>
        <w:t>not exceed</w:t>
      </w:r>
      <w:r w:rsidRPr="000B3D37">
        <w:rPr>
          <w:rFonts w:ascii="Times New Roman" w:eastAsia="Times New Roman" w:hAnsi="Times New Roman" w:cs="Times New Roman"/>
          <w:sz w:val="26"/>
          <w:szCs w:val="26"/>
        </w:rPr>
        <w:t xml:space="preserve"> the following </w:t>
      </w:r>
      <w:r w:rsidR="002D302C" w:rsidRPr="000B3D37">
        <w:rPr>
          <w:rFonts w:ascii="Times New Roman" w:eastAsia="Times New Roman" w:hAnsi="Times New Roman" w:cs="Times New Roman"/>
          <w:sz w:val="26"/>
          <w:szCs w:val="26"/>
        </w:rPr>
        <w:t>[</w:t>
      </w:r>
      <w:r w:rsidRPr="000B3D37">
        <w:rPr>
          <w:rFonts w:ascii="Times New Roman" w:eastAsia="Times New Roman" w:hAnsi="Times New Roman" w:cs="Times New Roman"/>
          <w:sz w:val="26"/>
          <w:szCs w:val="26"/>
        </w:rPr>
        <w:t>ranges</w:t>
      </w:r>
      <w:r w:rsidR="002D302C" w:rsidRPr="000B3D37">
        <w:rPr>
          <w:rFonts w:ascii="Times New Roman" w:eastAsia="Times New Roman" w:hAnsi="Times New Roman" w:cs="Times New Roman"/>
          <w:sz w:val="26"/>
          <w:szCs w:val="26"/>
        </w:rPr>
        <w:t xml:space="preserve">] </w:t>
      </w:r>
      <w:r w:rsidR="00B5494C">
        <w:rPr>
          <w:rFonts w:ascii="Times New Roman" w:eastAsia="Times New Roman" w:hAnsi="Times New Roman" w:cs="Times New Roman"/>
          <w:sz w:val="26"/>
          <w:szCs w:val="26"/>
          <w:u w:val="single"/>
        </w:rPr>
        <w:t>maximums</w:t>
      </w:r>
      <w:r w:rsidRPr="000B3D37">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p>
    <w:p w14:paraId="0C220DF7" w14:textId="67F12B89"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   Household income between 0—50% of </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poverty</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00DF36A4">
        <w:rPr>
          <w:rFonts w:ascii="Times New Roman" w:eastAsia="Times New Roman" w:hAnsi="Times New Roman" w:cs="Times New Roman"/>
          <w:sz w:val="26"/>
          <w:szCs w:val="26"/>
          <w:u w:val="single"/>
        </w:rPr>
        <w:t>FPIG</w:t>
      </w:r>
      <w:r w:rsidR="00DF36A4"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at </w:t>
      </w:r>
      <w:r w:rsidR="004F520B">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5%—8%</w:t>
      </w:r>
      <w:r w:rsidR="004F520B">
        <w:rPr>
          <w:rFonts w:ascii="Times New Roman" w:eastAsia="Times New Roman" w:hAnsi="Times New Roman" w:cs="Times New Roman"/>
          <w:sz w:val="26"/>
          <w:szCs w:val="26"/>
        </w:rPr>
        <w:t xml:space="preserve">] </w:t>
      </w:r>
      <w:r w:rsidR="004F520B">
        <w:rPr>
          <w:rFonts w:ascii="Times New Roman" w:eastAsia="Times New Roman" w:hAnsi="Times New Roman" w:cs="Times New Roman"/>
          <w:sz w:val="26"/>
          <w:szCs w:val="26"/>
          <w:u w:val="single"/>
        </w:rPr>
        <w:t>4%</w:t>
      </w:r>
      <w:r w:rsidRPr="00E21B7F">
        <w:rPr>
          <w:rFonts w:ascii="Times New Roman" w:eastAsia="Times New Roman" w:hAnsi="Times New Roman" w:cs="Times New Roman"/>
          <w:sz w:val="26"/>
          <w:szCs w:val="26"/>
        </w:rPr>
        <w:t xml:space="preserve"> of income. </w:t>
      </w:r>
    </w:p>
    <w:p w14:paraId="117E61C0" w14:textId="0C0E1EBA"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   Household income between 51—100% of </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poverty</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00DF36A4">
        <w:rPr>
          <w:rFonts w:ascii="Times New Roman" w:eastAsia="Times New Roman" w:hAnsi="Times New Roman" w:cs="Times New Roman"/>
          <w:sz w:val="26"/>
          <w:szCs w:val="26"/>
          <w:u w:val="single"/>
        </w:rPr>
        <w:t>FPIG</w:t>
      </w:r>
      <w:r w:rsidR="00DF36A4"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at </w:t>
      </w:r>
      <w:r w:rsidR="004F520B">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7%—10%</w:t>
      </w:r>
      <w:r w:rsidR="004F520B">
        <w:rPr>
          <w:rFonts w:ascii="Times New Roman" w:eastAsia="Times New Roman" w:hAnsi="Times New Roman" w:cs="Times New Roman"/>
          <w:sz w:val="26"/>
          <w:szCs w:val="26"/>
        </w:rPr>
        <w:t xml:space="preserve">] </w:t>
      </w:r>
      <w:r w:rsidR="004F520B">
        <w:rPr>
          <w:rFonts w:ascii="Times New Roman" w:eastAsia="Times New Roman" w:hAnsi="Times New Roman" w:cs="Times New Roman"/>
          <w:sz w:val="26"/>
          <w:szCs w:val="26"/>
          <w:u w:val="single"/>
        </w:rPr>
        <w:t>6%</w:t>
      </w:r>
      <w:r w:rsidRPr="00E21B7F">
        <w:rPr>
          <w:rFonts w:ascii="Times New Roman" w:eastAsia="Times New Roman" w:hAnsi="Times New Roman" w:cs="Times New Roman"/>
          <w:sz w:val="26"/>
          <w:szCs w:val="26"/>
        </w:rPr>
        <w:t xml:space="preserve"> of income. </w:t>
      </w:r>
    </w:p>
    <w:p w14:paraId="3878ABE3" w14:textId="2019D1E8"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(III)   Household income between 101—150% of </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poverty</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00DF36A4">
        <w:rPr>
          <w:rFonts w:ascii="Times New Roman" w:eastAsia="Times New Roman" w:hAnsi="Times New Roman" w:cs="Times New Roman"/>
          <w:sz w:val="26"/>
          <w:szCs w:val="26"/>
          <w:u w:val="single"/>
        </w:rPr>
        <w:t>FPIG</w:t>
      </w:r>
      <w:r w:rsidR="00DF36A4"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at </w:t>
      </w:r>
      <w:r w:rsidR="004F520B">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9%—10%</w:t>
      </w:r>
      <w:r w:rsidR="004F520B">
        <w:rPr>
          <w:rFonts w:ascii="Times New Roman" w:eastAsia="Times New Roman" w:hAnsi="Times New Roman" w:cs="Times New Roman"/>
          <w:sz w:val="26"/>
          <w:szCs w:val="26"/>
        </w:rPr>
        <w:t xml:space="preserve">] </w:t>
      </w:r>
      <w:r w:rsidR="004F520B">
        <w:rPr>
          <w:rFonts w:ascii="Times New Roman" w:eastAsia="Times New Roman" w:hAnsi="Times New Roman" w:cs="Times New Roman"/>
          <w:sz w:val="26"/>
          <w:szCs w:val="26"/>
          <w:u w:val="single"/>
        </w:rPr>
        <w:t>6%</w:t>
      </w:r>
      <w:r w:rsidRPr="00E21B7F">
        <w:rPr>
          <w:rFonts w:ascii="Times New Roman" w:eastAsia="Times New Roman" w:hAnsi="Times New Roman" w:cs="Times New Roman"/>
          <w:sz w:val="26"/>
          <w:szCs w:val="26"/>
        </w:rPr>
        <w:t xml:space="preserve"> of income. </w:t>
      </w:r>
    </w:p>
    <w:p w14:paraId="0866F298" w14:textId="3666BC98"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(C)   Generally, maximum payments for electric </w:t>
      </w:r>
      <w:r w:rsidRPr="000B3D37">
        <w:rPr>
          <w:rFonts w:ascii="Times New Roman" w:eastAsia="Times New Roman" w:hAnsi="Times New Roman" w:cs="Times New Roman"/>
          <w:sz w:val="26"/>
          <w:szCs w:val="26"/>
        </w:rPr>
        <w:t xml:space="preserve">heating or </w:t>
      </w:r>
      <w:r w:rsidR="00DF36A4" w:rsidRPr="000B3D37">
        <w:rPr>
          <w:rFonts w:ascii="Times New Roman" w:eastAsia="Times New Roman" w:hAnsi="Times New Roman" w:cs="Times New Roman"/>
          <w:sz w:val="26"/>
          <w:szCs w:val="26"/>
          <w:u w:val="single"/>
        </w:rPr>
        <w:t xml:space="preserve">for </w:t>
      </w:r>
      <w:r w:rsidR="005A5F0F" w:rsidRPr="000B3D37">
        <w:rPr>
          <w:rFonts w:ascii="Times New Roman" w:eastAsia="Times New Roman" w:hAnsi="Times New Roman" w:cs="Times New Roman"/>
          <w:sz w:val="26"/>
          <w:szCs w:val="26"/>
          <w:u w:val="single"/>
        </w:rPr>
        <w:t xml:space="preserve">natural </w:t>
      </w:r>
      <w:r w:rsidRPr="000B3D37">
        <w:rPr>
          <w:rFonts w:ascii="Times New Roman" w:eastAsia="Times New Roman" w:hAnsi="Times New Roman" w:cs="Times New Roman"/>
          <w:sz w:val="26"/>
          <w:szCs w:val="26"/>
        </w:rPr>
        <w:t>gas heating</w:t>
      </w:r>
      <w:r w:rsidRPr="00E21B7F">
        <w:rPr>
          <w:rFonts w:ascii="Times New Roman" w:eastAsia="Times New Roman" w:hAnsi="Times New Roman" w:cs="Times New Roman"/>
          <w:sz w:val="26"/>
          <w:szCs w:val="26"/>
        </w:rPr>
        <w:t xml:space="preserve"> and electric nonheating combined should not exceed the following </w:t>
      </w:r>
      <w:r w:rsidR="00A635F9">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guidelines</w:t>
      </w:r>
      <w:r w:rsidR="00D67C0D">
        <w:rPr>
          <w:rFonts w:ascii="Times New Roman" w:eastAsia="Times New Roman" w:hAnsi="Times New Roman" w:cs="Times New Roman"/>
          <w:sz w:val="26"/>
          <w:szCs w:val="26"/>
        </w:rPr>
        <w:t xml:space="preserve">] </w:t>
      </w:r>
      <w:r w:rsidR="00B5494C">
        <w:rPr>
          <w:rFonts w:ascii="Times New Roman" w:eastAsia="Times New Roman" w:hAnsi="Times New Roman" w:cs="Times New Roman"/>
          <w:sz w:val="26"/>
          <w:szCs w:val="26"/>
          <w:u w:val="single"/>
        </w:rPr>
        <w:t>maximums</w:t>
      </w:r>
      <w:r w:rsidRPr="00E21B7F">
        <w:rPr>
          <w:rFonts w:ascii="Times New Roman" w:eastAsia="Times New Roman" w:hAnsi="Times New Roman" w:cs="Times New Roman"/>
          <w:sz w:val="26"/>
          <w:szCs w:val="26"/>
        </w:rPr>
        <w:t xml:space="preserve">: </w:t>
      </w:r>
    </w:p>
    <w:p w14:paraId="70755D80" w14:textId="2C141E28"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   Household income between 0—50% of </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poverty</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00DF36A4">
        <w:rPr>
          <w:rFonts w:ascii="Times New Roman" w:eastAsia="Times New Roman" w:hAnsi="Times New Roman" w:cs="Times New Roman"/>
          <w:sz w:val="26"/>
          <w:szCs w:val="26"/>
          <w:u w:val="single"/>
        </w:rPr>
        <w:t>FPIG</w:t>
      </w:r>
      <w:r w:rsidR="00DF36A4"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at </w:t>
      </w:r>
      <w:r w:rsidR="004F520B">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7%—13%</w:t>
      </w:r>
      <w:r w:rsidR="004F520B">
        <w:rPr>
          <w:rFonts w:ascii="Times New Roman" w:eastAsia="Times New Roman" w:hAnsi="Times New Roman" w:cs="Times New Roman"/>
          <w:sz w:val="26"/>
          <w:szCs w:val="26"/>
        </w:rPr>
        <w:t xml:space="preserve">] </w:t>
      </w:r>
      <w:r w:rsidR="004F520B">
        <w:rPr>
          <w:rFonts w:ascii="Times New Roman" w:eastAsia="Times New Roman" w:hAnsi="Times New Roman" w:cs="Times New Roman"/>
          <w:sz w:val="26"/>
          <w:szCs w:val="26"/>
          <w:u w:val="single"/>
        </w:rPr>
        <w:t>6%</w:t>
      </w:r>
      <w:r w:rsidRPr="00E21B7F">
        <w:rPr>
          <w:rFonts w:ascii="Times New Roman" w:eastAsia="Times New Roman" w:hAnsi="Times New Roman" w:cs="Times New Roman"/>
          <w:sz w:val="26"/>
          <w:szCs w:val="26"/>
        </w:rPr>
        <w:t xml:space="preserve"> of income. </w:t>
      </w:r>
    </w:p>
    <w:p w14:paraId="6190DEC0" w14:textId="0373792C"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   Household income between 51—100% of </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poverty</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00DF36A4">
        <w:rPr>
          <w:rFonts w:ascii="Times New Roman" w:eastAsia="Times New Roman" w:hAnsi="Times New Roman" w:cs="Times New Roman"/>
          <w:sz w:val="26"/>
          <w:szCs w:val="26"/>
          <w:u w:val="single"/>
        </w:rPr>
        <w:t>FPIG</w:t>
      </w:r>
      <w:r w:rsidR="00DF36A4"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at </w:t>
      </w:r>
      <w:r w:rsidR="004F520B">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11%—16%</w:t>
      </w:r>
      <w:r w:rsidR="004F520B">
        <w:rPr>
          <w:rFonts w:ascii="Times New Roman" w:eastAsia="Times New Roman" w:hAnsi="Times New Roman" w:cs="Times New Roman"/>
          <w:sz w:val="26"/>
          <w:szCs w:val="26"/>
        </w:rPr>
        <w:t xml:space="preserve">] </w:t>
      </w:r>
      <w:r w:rsidR="004F520B">
        <w:rPr>
          <w:rFonts w:ascii="Times New Roman" w:eastAsia="Times New Roman" w:hAnsi="Times New Roman" w:cs="Times New Roman"/>
          <w:sz w:val="26"/>
          <w:szCs w:val="26"/>
          <w:u w:val="single"/>
        </w:rPr>
        <w:t>10%</w:t>
      </w:r>
      <w:r w:rsidRPr="00E21B7F">
        <w:rPr>
          <w:rFonts w:ascii="Times New Roman" w:eastAsia="Times New Roman" w:hAnsi="Times New Roman" w:cs="Times New Roman"/>
          <w:sz w:val="26"/>
          <w:szCs w:val="26"/>
        </w:rPr>
        <w:t xml:space="preserve"> of income. </w:t>
      </w:r>
    </w:p>
    <w:p w14:paraId="0DBE5148" w14:textId="4ABA8330"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(III)   Household income between 101—150% of </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poverty</w:t>
      </w:r>
      <w:r w:rsidR="00DF36A4">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00DF36A4">
        <w:rPr>
          <w:rFonts w:ascii="Times New Roman" w:eastAsia="Times New Roman" w:hAnsi="Times New Roman" w:cs="Times New Roman"/>
          <w:sz w:val="26"/>
          <w:szCs w:val="26"/>
          <w:u w:val="single"/>
        </w:rPr>
        <w:t>FPIG</w:t>
      </w:r>
      <w:r w:rsidR="00DF36A4" w:rsidRPr="00E21B7F">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at </w:t>
      </w:r>
      <w:r w:rsidR="004F520B">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15%—17%</w:t>
      </w:r>
      <w:r w:rsidR="004F520B">
        <w:rPr>
          <w:rFonts w:ascii="Times New Roman" w:eastAsia="Times New Roman" w:hAnsi="Times New Roman" w:cs="Times New Roman"/>
          <w:sz w:val="26"/>
          <w:szCs w:val="26"/>
        </w:rPr>
        <w:t xml:space="preserve">] </w:t>
      </w:r>
      <w:r w:rsidR="004F520B">
        <w:rPr>
          <w:rFonts w:ascii="Times New Roman" w:eastAsia="Times New Roman" w:hAnsi="Times New Roman" w:cs="Times New Roman"/>
          <w:sz w:val="26"/>
          <w:szCs w:val="26"/>
          <w:u w:val="single"/>
        </w:rPr>
        <w:t>10%</w:t>
      </w:r>
      <w:r w:rsidRPr="00E21B7F">
        <w:rPr>
          <w:rFonts w:ascii="Times New Roman" w:eastAsia="Times New Roman" w:hAnsi="Times New Roman" w:cs="Times New Roman"/>
          <w:sz w:val="26"/>
          <w:szCs w:val="26"/>
        </w:rPr>
        <w:t xml:space="preserve"> of income. </w:t>
      </w:r>
    </w:p>
    <w:p w14:paraId="5940EF5A" w14:textId="6500F129"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(ii)   </w:t>
      </w:r>
      <w:r w:rsidRPr="00E21B7F">
        <w:rPr>
          <w:rFonts w:ascii="Times New Roman" w:eastAsia="Times New Roman" w:hAnsi="Times New Roman" w:cs="Times New Roman"/>
          <w:i/>
          <w:iCs/>
          <w:sz w:val="26"/>
          <w:szCs w:val="26"/>
        </w:rPr>
        <w:t>Percentage of bill plan.</w:t>
      </w:r>
      <w:r w:rsidRPr="00E21B7F">
        <w:rPr>
          <w:rFonts w:ascii="Times New Roman" w:eastAsia="Times New Roman" w:hAnsi="Times New Roman" w:cs="Times New Roman"/>
          <w:sz w:val="26"/>
          <w:szCs w:val="26"/>
        </w:rPr>
        <w:t xml:space="preserve"> The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household payment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contribution for total electric and natural gas home energy under a percentage of bill plan is determined using variables based on family size and income and the household</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s energy usage level. A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s annual payment</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is calculated as a percentage of income payment and converted to a percentage of the annual bill. When a utility determines subsequent CAP payment amounts, a participant will continue to pay the same percentage of the total bill even if annual usage has changed. </w:t>
      </w:r>
    </w:p>
    <w:p w14:paraId="2B2B3261" w14:textId="15F9A898"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(iii)   </w:t>
      </w:r>
      <w:r w:rsidRPr="00E21B7F">
        <w:rPr>
          <w:rFonts w:ascii="Times New Roman" w:eastAsia="Times New Roman" w:hAnsi="Times New Roman" w:cs="Times New Roman"/>
          <w:i/>
          <w:iCs/>
          <w:sz w:val="26"/>
          <w:szCs w:val="26"/>
        </w:rPr>
        <w:t xml:space="preserve">Rate discount. </w:t>
      </w:r>
      <w:r w:rsidRPr="00E21B7F">
        <w:rPr>
          <w:rFonts w:ascii="Times New Roman" w:eastAsia="Times New Roman" w:hAnsi="Times New Roman" w:cs="Times New Roman"/>
          <w:sz w:val="26"/>
          <w:szCs w:val="26"/>
        </w:rPr>
        <w:t>The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energy usage is billed at a reduced rate. </w:t>
      </w:r>
    </w:p>
    <w:p w14:paraId="33386F2F" w14:textId="23C78B5D"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(iv)   </w:t>
      </w:r>
      <w:r w:rsidRPr="00E21B7F">
        <w:rPr>
          <w:rFonts w:ascii="Times New Roman" w:eastAsia="Times New Roman" w:hAnsi="Times New Roman" w:cs="Times New Roman"/>
          <w:i/>
          <w:iCs/>
          <w:sz w:val="26"/>
          <w:szCs w:val="26"/>
        </w:rPr>
        <w:t>Minimum monthly payment.</w:t>
      </w:r>
      <w:r w:rsidRPr="00E21B7F">
        <w:rPr>
          <w:rFonts w:ascii="Times New Roman" w:eastAsia="Times New Roman" w:hAnsi="Times New Roman" w:cs="Times New Roman"/>
          <w:sz w:val="26"/>
          <w:szCs w:val="26"/>
        </w:rPr>
        <w:t xml:space="preserve"> The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s payment contribution is calculated by taking the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estimated monthly budget billing amount and subtracting the maximum, monthly CAP credit (previously called billing deficiency). </w:t>
      </w:r>
    </w:p>
    <w:p w14:paraId="170E1D8B" w14:textId="0B3D7C98"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(v)   </w:t>
      </w:r>
      <w:r w:rsidRPr="00E21B7F">
        <w:rPr>
          <w:rFonts w:ascii="Times New Roman" w:eastAsia="Times New Roman" w:hAnsi="Times New Roman" w:cs="Times New Roman"/>
          <w:i/>
          <w:iCs/>
          <w:sz w:val="26"/>
          <w:szCs w:val="26"/>
        </w:rPr>
        <w:t>Annualized, average payment.</w:t>
      </w:r>
      <w:r w:rsidRPr="00E21B7F">
        <w:rPr>
          <w:rFonts w:ascii="Times New Roman" w:eastAsia="Times New Roman" w:hAnsi="Times New Roman" w:cs="Times New Roman"/>
          <w:sz w:val="26"/>
          <w:szCs w:val="26"/>
        </w:rPr>
        <w:t xml:space="preserve"> The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payment contribution is calculated by determining the total amount the participant paid over the last 12 months and dividing by 12 months to determine a monthly budget. </w:t>
      </w:r>
    </w:p>
    <w:p w14:paraId="13900B35"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(vi)   </w:t>
      </w:r>
      <w:r w:rsidRPr="00E21B7F">
        <w:rPr>
          <w:rFonts w:ascii="Times New Roman" w:eastAsia="Times New Roman" w:hAnsi="Times New Roman" w:cs="Times New Roman"/>
          <w:i/>
          <w:iCs/>
          <w:sz w:val="26"/>
          <w:szCs w:val="26"/>
        </w:rPr>
        <w:t>An alternative payment formula.</w:t>
      </w:r>
      <w:r w:rsidRPr="00E21B7F">
        <w:rPr>
          <w:rFonts w:ascii="Times New Roman" w:eastAsia="Times New Roman" w:hAnsi="Times New Roman" w:cs="Times New Roman"/>
          <w:sz w:val="26"/>
          <w:szCs w:val="26"/>
        </w:rPr>
        <w:t xml:space="preserve"> An alternative payment formula must be reviewed by the Bureau of Consumer Services and approved by the Commission. </w:t>
      </w:r>
    </w:p>
    <w:p w14:paraId="180A9C17"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(3)  </w:t>
      </w:r>
      <w:r w:rsidRPr="00E21B7F">
        <w:rPr>
          <w:rFonts w:ascii="Times New Roman" w:eastAsia="Times New Roman" w:hAnsi="Times New Roman" w:cs="Times New Roman"/>
          <w:i/>
          <w:iCs/>
          <w:sz w:val="26"/>
          <w:szCs w:val="26"/>
        </w:rPr>
        <w:t>Control features.</w:t>
      </w:r>
      <w:r w:rsidRPr="00E21B7F">
        <w:rPr>
          <w:rFonts w:ascii="Times New Roman" w:eastAsia="Times New Roman" w:hAnsi="Times New Roman" w:cs="Times New Roman"/>
          <w:sz w:val="26"/>
          <w:szCs w:val="26"/>
        </w:rPr>
        <w:t xml:space="preserve"> The utility should include the following control features to limit program costs: </w:t>
      </w:r>
    </w:p>
    <w:p w14:paraId="6A12DBCB" w14:textId="618B23C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   </w:t>
      </w:r>
      <w:r w:rsidRPr="00E21B7F">
        <w:rPr>
          <w:rFonts w:ascii="Times New Roman" w:eastAsia="Times New Roman" w:hAnsi="Times New Roman" w:cs="Times New Roman"/>
          <w:i/>
          <w:iCs/>
          <w:sz w:val="26"/>
          <w:szCs w:val="26"/>
        </w:rPr>
        <w:t>Minimum payment terms.</w:t>
      </w:r>
      <w:r w:rsidRPr="00E21B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Minimum payments</w:t>
      </w:r>
      <w:r w:rsidRPr="0074704A">
        <w:rPr>
          <w:rFonts w:ascii="Times New Roman" w:eastAsia="Times New Roman" w:hAnsi="Times New Roman" w:cs="Times New Roman"/>
          <w:sz w:val="26"/>
          <w:szCs w:val="26"/>
          <w:u w:val="single"/>
        </w:rPr>
        <w:t xml:space="preserve"> should</w:t>
      </w:r>
      <w:r w:rsidRPr="00695BF3">
        <w:rPr>
          <w:rFonts w:ascii="Times New Roman" w:eastAsia="Times New Roman" w:hAnsi="Times New Roman" w:cs="Times New Roman"/>
          <w:sz w:val="26"/>
          <w:szCs w:val="26"/>
          <w:u w:val="single"/>
        </w:rPr>
        <w:t xml:space="preserve"> </w:t>
      </w:r>
      <w:r w:rsidRPr="00DF5B5B">
        <w:rPr>
          <w:rFonts w:ascii="Times New Roman" w:eastAsia="Times New Roman" w:hAnsi="Times New Roman" w:cs="Times New Roman"/>
          <w:sz w:val="26"/>
          <w:szCs w:val="26"/>
          <w:u w:val="single"/>
        </w:rPr>
        <w:t xml:space="preserve">be set in utility-specific USECP proceedings. </w:t>
      </w:r>
      <w:r w:rsidR="00686811">
        <w:rPr>
          <w:rFonts w:ascii="Times New Roman" w:eastAsia="Times New Roman" w:hAnsi="Times New Roman" w:cs="Times New Roman"/>
          <w:sz w:val="26"/>
          <w:szCs w:val="26"/>
          <w:u w:val="single"/>
        </w:rPr>
        <w:t>A utility</w:t>
      </w:r>
      <w:r w:rsidR="00686811" w:rsidRPr="00DF5B5B">
        <w:rPr>
          <w:rFonts w:ascii="Times New Roman" w:eastAsia="Times New Roman" w:hAnsi="Times New Roman" w:cs="Times New Roman"/>
          <w:sz w:val="26"/>
          <w:szCs w:val="26"/>
          <w:u w:val="single"/>
        </w:rPr>
        <w:t xml:space="preserve"> </w:t>
      </w:r>
      <w:r w:rsidRPr="00DF5B5B">
        <w:rPr>
          <w:rFonts w:ascii="Times New Roman" w:eastAsia="Times New Roman" w:hAnsi="Times New Roman" w:cs="Times New Roman"/>
          <w:sz w:val="26"/>
          <w:szCs w:val="26"/>
          <w:u w:val="single"/>
        </w:rPr>
        <w:t>may propose alternatives to a flat minimum payment for each account type.</w:t>
      </w:r>
    </w:p>
    <w:p w14:paraId="7086F8D9"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(A)   A CAP participant payment for a gas heating account should be at least $18—$25 a month. </w:t>
      </w:r>
    </w:p>
    <w:p w14:paraId="05059193"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(B)   A CAP participant payment for a nonheating account should be at least $12—$15 a month. </w:t>
      </w:r>
    </w:p>
    <w:p w14:paraId="41AE67E1"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(C)   A CAP participant payment for an electric heating account should be at least $30—$40 a month.</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p>
    <w:p w14:paraId="5AD3F469"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(ii)   </w:t>
      </w:r>
      <w:r w:rsidRPr="00E21B7F">
        <w:rPr>
          <w:rFonts w:ascii="Times New Roman" w:eastAsia="Times New Roman" w:hAnsi="Times New Roman" w:cs="Times New Roman"/>
          <w:i/>
          <w:iCs/>
          <w:sz w:val="26"/>
          <w:szCs w:val="26"/>
        </w:rPr>
        <w:t>Nonbasic services.</w:t>
      </w:r>
      <w:r w:rsidRPr="00E21B7F">
        <w:rPr>
          <w:rFonts w:ascii="Times New Roman" w:eastAsia="Times New Roman" w:hAnsi="Times New Roman" w:cs="Times New Roman"/>
          <w:sz w:val="26"/>
          <w:szCs w:val="26"/>
        </w:rPr>
        <w:t xml:space="preserve"> A CAP participant may not subscribe to nonbasic services that would cause an increase in monthly billing and would not contribute to bill reduction. Nonbasic services that help to reduce bills may be allowable. CAP credits should not be used to pay for nonbasic services. </w:t>
      </w:r>
    </w:p>
    <w:p w14:paraId="1054398A" w14:textId="78A858EF"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(iii)   </w:t>
      </w:r>
      <w:r w:rsidRPr="00E21B7F">
        <w:rPr>
          <w:rFonts w:ascii="Times New Roman" w:eastAsia="Times New Roman" w:hAnsi="Times New Roman" w:cs="Times New Roman"/>
          <w:i/>
          <w:iCs/>
          <w:sz w:val="26"/>
          <w:szCs w:val="26"/>
        </w:rPr>
        <w:t>Consumption limits.</w:t>
      </w:r>
      <w:r w:rsidRPr="00E21B7F">
        <w:rPr>
          <w:rFonts w:ascii="Times New Roman" w:eastAsia="Times New Roman" w:hAnsi="Times New Roman" w:cs="Times New Roman"/>
          <w:sz w:val="26"/>
          <w:szCs w:val="26"/>
        </w:rPr>
        <w:t xml:space="preserve"> Limits on consumption should be set at a percentage of a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historical average usage. A level of 110% is recommended. Adjustments in consumption should be made for extreme weather conditions through the use of weather normalization techniques. </w:t>
      </w:r>
    </w:p>
    <w:p w14:paraId="0A300B00"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(iv)   </w:t>
      </w:r>
      <w:r w:rsidRPr="00E21B7F">
        <w:rPr>
          <w:rFonts w:ascii="Times New Roman" w:eastAsia="Times New Roman" w:hAnsi="Times New Roman" w:cs="Times New Roman"/>
          <w:i/>
          <w:iCs/>
          <w:sz w:val="26"/>
          <w:szCs w:val="26"/>
        </w:rPr>
        <w:t>High usage treatment.</w:t>
      </w:r>
      <w:r w:rsidRPr="00E21B7F">
        <w:rPr>
          <w:rFonts w:ascii="Times New Roman" w:eastAsia="Times New Roman" w:hAnsi="Times New Roman" w:cs="Times New Roman"/>
          <w:sz w:val="26"/>
          <w:szCs w:val="26"/>
        </w:rPr>
        <w:t xml:space="preserve"> Utilities should target for special treatment those participants who historically use high amounts of energy. </w:t>
      </w:r>
    </w:p>
    <w:p w14:paraId="7022A463" w14:textId="1E5DDA2E"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(v)   </w:t>
      </w:r>
      <w:r w:rsidRPr="00E21B7F">
        <w:rPr>
          <w:rFonts w:ascii="Times New Roman" w:eastAsia="Times New Roman" w:hAnsi="Times New Roman" w:cs="Times New Roman"/>
          <w:i/>
          <w:iCs/>
          <w:sz w:val="26"/>
          <w:szCs w:val="26"/>
        </w:rPr>
        <w:t>Maximum CAP credits.</w:t>
      </w:r>
      <w:r w:rsidRPr="00E21B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The annual maximum CAP credits should not exceed a total of $1,400 per participant</w:t>
      </w:r>
      <w:r w:rsidRPr="005275E2">
        <w:rPr>
          <w:rFonts w:ascii="Times New Roman" w:eastAsia="Times New Roman" w:hAnsi="Times New Roman" w:cs="Times New Roman"/>
          <w:sz w:val="26"/>
          <w:szCs w:val="26"/>
        </w:rPr>
        <w:t>.]</w:t>
      </w:r>
      <w:r w:rsidRPr="00B50CB4">
        <w:rPr>
          <w:rFonts w:ascii="Times New Roman" w:hAnsi="Times New Roman" w:cs="Times New Roman"/>
          <w:iCs/>
          <w:sz w:val="26"/>
          <w:szCs w:val="26"/>
        </w:rPr>
        <w:t xml:space="preserve"> </w:t>
      </w:r>
      <w:r w:rsidR="00B5494C">
        <w:rPr>
          <w:rFonts w:ascii="Times New Roman" w:hAnsi="Times New Roman" w:cs="Times New Roman"/>
          <w:iCs/>
          <w:sz w:val="26"/>
          <w:szCs w:val="26"/>
          <w:u w:val="single"/>
        </w:rPr>
        <w:t>These</w:t>
      </w:r>
      <w:r w:rsidRPr="005275E2">
        <w:rPr>
          <w:rFonts w:ascii="Times New Roman" w:hAnsi="Times New Roman" w:cs="Times New Roman"/>
          <w:iCs/>
          <w:sz w:val="26"/>
          <w:szCs w:val="26"/>
          <w:u w:val="single"/>
        </w:rPr>
        <w:t xml:space="preserve"> will be established in individual</w:t>
      </w:r>
      <w:r w:rsidR="00510136">
        <w:rPr>
          <w:rFonts w:ascii="Times New Roman" w:hAnsi="Times New Roman" w:cs="Times New Roman"/>
          <w:iCs/>
          <w:sz w:val="26"/>
          <w:szCs w:val="26"/>
          <w:u w:val="single"/>
        </w:rPr>
        <w:t xml:space="preserve"> utility</w:t>
      </w:r>
      <w:r w:rsidRPr="005275E2">
        <w:rPr>
          <w:rFonts w:ascii="Times New Roman" w:hAnsi="Times New Roman" w:cs="Times New Roman"/>
          <w:iCs/>
          <w:sz w:val="26"/>
          <w:szCs w:val="26"/>
          <w:u w:val="single"/>
        </w:rPr>
        <w:t xml:space="preserve"> USECP proceedings, if deemed appropriate.</w:t>
      </w:r>
      <w:r w:rsidRPr="006152BC">
        <w:rPr>
          <w:rFonts w:ascii="Times New Roman" w:eastAsia="Times New Roman" w:hAnsi="Times New Roman" w:cs="Times New Roman"/>
          <w:sz w:val="26"/>
          <w:szCs w:val="26"/>
          <w:u w:val="single"/>
        </w:rPr>
        <w:t xml:space="preserve"> </w:t>
      </w:r>
      <w:r w:rsidR="00510136">
        <w:rPr>
          <w:rFonts w:ascii="Times New Roman" w:eastAsia="Times New Roman" w:hAnsi="Times New Roman" w:cs="Times New Roman"/>
          <w:sz w:val="26"/>
          <w:szCs w:val="26"/>
          <w:u w:val="single"/>
        </w:rPr>
        <w:t xml:space="preserve">If applied, </w:t>
      </w:r>
      <w:r w:rsidRPr="005275E2">
        <w:rPr>
          <w:rFonts w:ascii="Times New Roman" w:hAnsi="Times New Roman" w:cs="Times New Roman"/>
          <w:sz w:val="26"/>
          <w:szCs w:val="26"/>
          <w:u w:val="single"/>
        </w:rPr>
        <w:t>CAP credit limits should consist of a tiered structure based on the household</w:t>
      </w:r>
      <w:r w:rsidR="001529C6">
        <w:rPr>
          <w:rFonts w:ascii="Times New Roman" w:hAnsi="Times New Roman" w:cs="Times New Roman"/>
          <w:sz w:val="26"/>
          <w:szCs w:val="26"/>
          <w:u w:val="single"/>
        </w:rPr>
        <w:t>’</w:t>
      </w:r>
      <w:r w:rsidRPr="005275E2">
        <w:rPr>
          <w:rFonts w:ascii="Times New Roman" w:hAnsi="Times New Roman" w:cs="Times New Roman"/>
          <w:sz w:val="26"/>
          <w:szCs w:val="26"/>
          <w:u w:val="single"/>
        </w:rPr>
        <w:t xml:space="preserve">s </w:t>
      </w:r>
      <w:r w:rsidR="00A239F5">
        <w:rPr>
          <w:rFonts w:ascii="Times New Roman" w:hAnsi="Times New Roman" w:cs="Times New Roman"/>
          <w:sz w:val="26"/>
          <w:szCs w:val="26"/>
          <w:u w:val="single"/>
        </w:rPr>
        <w:t>FPIG</w:t>
      </w:r>
      <w:r w:rsidRPr="005275E2">
        <w:rPr>
          <w:rFonts w:ascii="Times New Roman" w:hAnsi="Times New Roman" w:cs="Times New Roman"/>
          <w:sz w:val="26"/>
          <w:szCs w:val="26"/>
          <w:u w:val="single"/>
        </w:rPr>
        <w:t xml:space="preserve"> level such that lower income households receive higher CAP credit limits.</w:t>
      </w:r>
    </w:p>
    <w:p w14:paraId="7C095C4D"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(A)   The annual maximum CAP credits per gas heating participant should not exceed $840.</w:t>
      </w:r>
      <w:r>
        <w:rPr>
          <w:rFonts w:ascii="Times New Roman" w:eastAsia="Times New Roman" w:hAnsi="Times New Roman" w:cs="Times New Roman"/>
          <w:sz w:val="26"/>
          <w:szCs w:val="26"/>
        </w:rPr>
        <w:t xml:space="preserve"> </w:t>
      </w:r>
    </w:p>
    <w:p w14:paraId="0E26FD5F"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(B)   The annual maximum CAP credits per nonheating customer should not exceed $560. </w:t>
      </w:r>
    </w:p>
    <w:p w14:paraId="08D2E1AF"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(C)   The annual maximum CAP credits per electric heating participant should not exceed $1,400.</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p>
    <w:p w14:paraId="1D28A495"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(vi)   </w:t>
      </w:r>
      <w:r w:rsidRPr="00E21B7F">
        <w:rPr>
          <w:rFonts w:ascii="Times New Roman" w:eastAsia="Times New Roman" w:hAnsi="Times New Roman" w:cs="Times New Roman"/>
          <w:i/>
          <w:iCs/>
          <w:sz w:val="26"/>
          <w:szCs w:val="26"/>
        </w:rPr>
        <w:t>Exemptions.</w:t>
      </w:r>
      <w:r w:rsidRPr="00E21B7F">
        <w:rPr>
          <w:rFonts w:ascii="Times New Roman" w:eastAsia="Times New Roman" w:hAnsi="Times New Roman" w:cs="Times New Roman"/>
          <w:sz w:val="26"/>
          <w:szCs w:val="26"/>
        </w:rPr>
        <w:t xml:space="preserve"> A utility may exempt a household from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a CAP control feature</w:t>
      </w:r>
      <w:r>
        <w:rPr>
          <w:rFonts w:ascii="Times New Roman" w:eastAsia="Times New Roman" w:hAnsi="Times New Roman" w:cs="Times New Roman"/>
          <w:sz w:val="26"/>
          <w:szCs w:val="26"/>
        </w:rPr>
        <w:t>]</w:t>
      </w:r>
      <w:r w:rsidRPr="00075F54">
        <w:rPr>
          <w:sz w:val="26"/>
          <w:szCs w:val="26"/>
          <w:u w:val="single"/>
        </w:rPr>
        <w:t xml:space="preserve"> </w:t>
      </w:r>
      <w:r w:rsidRPr="00075F54">
        <w:rPr>
          <w:rFonts w:ascii="Times New Roman" w:hAnsi="Times New Roman" w:cs="Times New Roman"/>
          <w:sz w:val="26"/>
          <w:szCs w:val="26"/>
          <w:u w:val="single"/>
        </w:rPr>
        <w:t>maximum CAP credit or consumption limits</w:t>
      </w:r>
      <w:r w:rsidRPr="00E21B7F">
        <w:rPr>
          <w:rFonts w:ascii="Times New Roman" w:eastAsia="Times New Roman" w:hAnsi="Times New Roman" w:cs="Times New Roman"/>
          <w:sz w:val="26"/>
          <w:szCs w:val="26"/>
        </w:rPr>
        <w:t xml:space="preserve"> if one or more of the following conditions exist: </w:t>
      </w:r>
    </w:p>
    <w:p w14:paraId="3B3EAFD6" w14:textId="70D09E29"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(A)   The household experienced the addition of a </w:t>
      </w:r>
      <w:r w:rsidR="00705F9C">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family</w:t>
      </w:r>
      <w:r w:rsidR="00705F9C">
        <w:rPr>
          <w:rFonts w:ascii="Times New Roman" w:eastAsia="Times New Roman" w:hAnsi="Times New Roman" w:cs="Times New Roman"/>
          <w:sz w:val="26"/>
          <w:szCs w:val="26"/>
        </w:rPr>
        <w:t>]</w:t>
      </w:r>
      <w:r w:rsidR="00705F9C">
        <w:rPr>
          <w:rFonts w:ascii="Times New Roman" w:eastAsia="Times New Roman" w:hAnsi="Times New Roman" w:cs="Times New Roman"/>
          <w:sz w:val="26"/>
          <w:szCs w:val="26"/>
          <w:u w:val="single"/>
        </w:rPr>
        <w:t>household</w:t>
      </w:r>
      <w:r w:rsidRPr="00E21B7F">
        <w:rPr>
          <w:rFonts w:ascii="Times New Roman" w:eastAsia="Times New Roman" w:hAnsi="Times New Roman" w:cs="Times New Roman"/>
          <w:sz w:val="26"/>
          <w:szCs w:val="26"/>
        </w:rPr>
        <w:t xml:space="preserve"> member. </w:t>
      </w:r>
    </w:p>
    <w:p w14:paraId="6EEC780F"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(B)   A member of the household experienced a serious illness. </w:t>
      </w:r>
    </w:p>
    <w:p w14:paraId="00C6D70E" w14:textId="7640DD85"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(C)   Energy consumption was beyond the household</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ability to control. </w:t>
      </w:r>
    </w:p>
    <w:p w14:paraId="6734F473"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(D)   The household is located in housing that is or has been condemned or has housing code violations that negatively affect energy consumption. </w:t>
      </w:r>
    </w:p>
    <w:p w14:paraId="7592BABD"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(E)   Energy consumption estimates have been based on consumption of a previous occupant. </w:t>
      </w:r>
    </w:p>
    <w:p w14:paraId="1912DD99"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(4)  </w:t>
      </w:r>
      <w:r w:rsidRPr="00E21B7F">
        <w:rPr>
          <w:rFonts w:ascii="Times New Roman" w:eastAsia="Times New Roman" w:hAnsi="Times New Roman" w:cs="Times New Roman"/>
          <w:i/>
          <w:iCs/>
          <w:sz w:val="26"/>
          <w:szCs w:val="26"/>
        </w:rPr>
        <w:t>Eligibility criteria.</w:t>
      </w:r>
      <w:r w:rsidRPr="00E21B7F">
        <w:rPr>
          <w:rFonts w:ascii="Times New Roman" w:eastAsia="Times New Roman" w:hAnsi="Times New Roman" w:cs="Times New Roman"/>
          <w:sz w:val="26"/>
          <w:szCs w:val="26"/>
        </w:rPr>
        <w:t xml:space="preserve"> The CAP applicant should meet the following criteria for eligibility: </w:t>
      </w:r>
    </w:p>
    <w:p w14:paraId="03CBF0A8"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   Status as a utility ratepayer or new applicant for service is verified. </w:t>
      </w:r>
    </w:p>
    <w:p w14:paraId="41DC07BE" w14:textId="2CE264A2"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   Household income is verified at or below 150% of the </w:t>
      </w:r>
      <w:r w:rsidR="00705F9C">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Federal poverty income guidelines</w:t>
      </w:r>
      <w:r w:rsidR="00770CBA">
        <w:rPr>
          <w:rFonts w:ascii="Times New Roman" w:eastAsia="Times New Roman" w:hAnsi="Times New Roman" w:cs="Times New Roman"/>
          <w:sz w:val="26"/>
          <w:szCs w:val="26"/>
        </w:rPr>
        <w:t xml:space="preserve">] </w:t>
      </w:r>
      <w:r w:rsidR="00770CBA">
        <w:rPr>
          <w:rFonts w:ascii="Times New Roman" w:eastAsia="Times New Roman" w:hAnsi="Times New Roman" w:cs="Times New Roman"/>
          <w:sz w:val="26"/>
          <w:szCs w:val="26"/>
          <w:u w:val="single"/>
        </w:rPr>
        <w:t>FPIG</w:t>
      </w:r>
      <w:r w:rsidRPr="00E21B7F">
        <w:rPr>
          <w:rFonts w:ascii="Times New Roman" w:eastAsia="Times New Roman" w:hAnsi="Times New Roman" w:cs="Times New Roman"/>
          <w:sz w:val="26"/>
          <w:szCs w:val="26"/>
        </w:rPr>
        <w:t xml:space="preserve">. </w:t>
      </w:r>
    </w:p>
    <w:p w14:paraId="3121CC08"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(iii)   The applicant is a low income, payment troubled customer. When determining if a CAP applicant is payment troubled, a utility should select one of the following four options to prioritize the enrollment of eligible, payment troubled customers: </w:t>
      </w:r>
    </w:p>
    <w:p w14:paraId="789D17BC" w14:textId="751DA21E"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(A)   A household whose housing and utility costs exceed 45% of the household</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total income. Housing and utility costs are defined as rent or mortgage/taxes and gas, electric, water, oil, telephone and sewage. </w:t>
      </w:r>
    </w:p>
    <w:p w14:paraId="3DA4766A"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(B)   A household who has $100 or less disposable income after subtracting all household expenses from all household income. </w:t>
      </w:r>
    </w:p>
    <w:p w14:paraId="695FA8BB"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(C)   A household who has an arrearage. The utility may define the amount of the arrearage. </w:t>
      </w:r>
    </w:p>
    <w:p w14:paraId="15D9012D" w14:textId="77777777" w:rsidR="003F4CB9"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(D)   A household who has received a termination notice or who has failed to maintain one payment arrangement.</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p>
    <w:p w14:paraId="410EDCC3" w14:textId="36F8A716" w:rsidR="003F4CB9" w:rsidRPr="00AF6B85" w:rsidRDefault="003F4CB9" w:rsidP="003F4CB9">
      <w:pPr>
        <w:pStyle w:val="NormalWeb"/>
        <w:tabs>
          <w:tab w:val="left" w:pos="360"/>
          <w:tab w:val="left" w:pos="720"/>
          <w:tab w:val="left" w:pos="1080"/>
        </w:tabs>
        <w:rPr>
          <w:sz w:val="26"/>
          <w:szCs w:val="26"/>
          <w:u w:val="single"/>
        </w:rPr>
      </w:pPr>
      <w:r>
        <w:rPr>
          <w:sz w:val="26"/>
          <w:szCs w:val="26"/>
          <w:u w:val="single"/>
        </w:rPr>
        <w:t> </w:t>
      </w:r>
      <w:r w:rsidRPr="00AF6B85">
        <w:rPr>
          <w:sz w:val="26"/>
          <w:szCs w:val="26"/>
          <w:u w:val="single"/>
        </w:rPr>
        <w:t>(5)</w:t>
      </w:r>
      <w:r>
        <w:rPr>
          <w:sz w:val="26"/>
          <w:szCs w:val="26"/>
          <w:u w:val="single"/>
        </w:rPr>
        <w:t>  </w:t>
      </w:r>
      <w:r w:rsidRPr="00AF6B85">
        <w:rPr>
          <w:i/>
          <w:iCs/>
          <w:sz w:val="26"/>
          <w:szCs w:val="26"/>
          <w:u w:val="single"/>
        </w:rPr>
        <w:t>Payment</w:t>
      </w:r>
      <w:r w:rsidR="00DB4C0C">
        <w:rPr>
          <w:i/>
          <w:iCs/>
          <w:sz w:val="26"/>
          <w:szCs w:val="26"/>
          <w:u w:val="single"/>
        </w:rPr>
        <w:t>-</w:t>
      </w:r>
      <w:r w:rsidRPr="00AF6B85">
        <w:rPr>
          <w:i/>
          <w:iCs/>
          <w:sz w:val="26"/>
          <w:szCs w:val="26"/>
          <w:u w:val="single"/>
        </w:rPr>
        <w:t>Troubled Criteri</w:t>
      </w:r>
      <w:r>
        <w:rPr>
          <w:i/>
          <w:iCs/>
          <w:sz w:val="26"/>
          <w:szCs w:val="26"/>
          <w:u w:val="single"/>
        </w:rPr>
        <w:t>on</w:t>
      </w:r>
      <w:r w:rsidRPr="00AF6B85">
        <w:rPr>
          <w:i/>
          <w:iCs/>
          <w:sz w:val="26"/>
          <w:szCs w:val="26"/>
          <w:u w:val="single"/>
        </w:rPr>
        <w:t>.</w:t>
      </w:r>
      <w:r w:rsidRPr="00AF6B85">
        <w:rPr>
          <w:sz w:val="26"/>
          <w:szCs w:val="26"/>
          <w:u w:val="single"/>
        </w:rPr>
        <w:t xml:space="preserve"> If appropriate, </w:t>
      </w:r>
      <w:r w:rsidR="00686811">
        <w:rPr>
          <w:sz w:val="26"/>
          <w:szCs w:val="26"/>
          <w:u w:val="single"/>
        </w:rPr>
        <w:t>a utility</w:t>
      </w:r>
      <w:r w:rsidR="00686811" w:rsidRPr="00AF6B85">
        <w:rPr>
          <w:sz w:val="26"/>
          <w:szCs w:val="26"/>
          <w:u w:val="single"/>
        </w:rPr>
        <w:t xml:space="preserve"> </w:t>
      </w:r>
      <w:r w:rsidRPr="00AF6B85">
        <w:rPr>
          <w:sz w:val="26"/>
          <w:szCs w:val="26"/>
          <w:u w:val="single"/>
        </w:rPr>
        <w:t xml:space="preserve">may prioritize CAP enrollments </w:t>
      </w:r>
      <w:r>
        <w:rPr>
          <w:sz w:val="26"/>
          <w:szCs w:val="26"/>
          <w:u w:val="single"/>
        </w:rPr>
        <w:t xml:space="preserve">or </w:t>
      </w:r>
      <w:r w:rsidRPr="00AF6B85">
        <w:rPr>
          <w:sz w:val="26"/>
          <w:szCs w:val="26"/>
          <w:u w:val="single"/>
        </w:rPr>
        <w:t>control CAP costs using a payment-troubled criterion. When determining if a CAP applicant is payment</w:t>
      </w:r>
      <w:r>
        <w:rPr>
          <w:sz w:val="26"/>
          <w:szCs w:val="26"/>
          <w:u w:val="single"/>
        </w:rPr>
        <w:t>-</w:t>
      </w:r>
      <w:r w:rsidRPr="00AF6B85">
        <w:rPr>
          <w:sz w:val="26"/>
          <w:szCs w:val="26"/>
          <w:u w:val="single"/>
        </w:rPr>
        <w:t xml:space="preserve">troubled, a utility should </w:t>
      </w:r>
      <w:r>
        <w:rPr>
          <w:sz w:val="26"/>
          <w:szCs w:val="26"/>
          <w:u w:val="single"/>
        </w:rPr>
        <w:t xml:space="preserve">apply </w:t>
      </w:r>
      <w:r w:rsidRPr="00AF6B85">
        <w:rPr>
          <w:sz w:val="26"/>
          <w:szCs w:val="26"/>
          <w:u w:val="single"/>
        </w:rPr>
        <w:t xml:space="preserve">one of the following </w:t>
      </w:r>
      <w:r>
        <w:rPr>
          <w:sz w:val="26"/>
          <w:szCs w:val="26"/>
          <w:u w:val="single"/>
        </w:rPr>
        <w:t>criteria</w:t>
      </w:r>
      <w:r w:rsidRPr="00AF6B85">
        <w:rPr>
          <w:sz w:val="26"/>
          <w:szCs w:val="26"/>
          <w:u w:val="single"/>
        </w:rPr>
        <w:t xml:space="preserve">: </w:t>
      </w:r>
    </w:p>
    <w:p w14:paraId="7237EE44" w14:textId="77777777" w:rsidR="003F4CB9" w:rsidRPr="00AF6B85" w:rsidRDefault="003F4CB9" w:rsidP="003F4CB9">
      <w:pPr>
        <w:pStyle w:val="NormalWeb"/>
        <w:tabs>
          <w:tab w:val="left" w:pos="360"/>
          <w:tab w:val="left" w:pos="720"/>
          <w:tab w:val="left" w:pos="1080"/>
        </w:tabs>
        <w:rPr>
          <w:sz w:val="26"/>
          <w:szCs w:val="26"/>
          <w:u w:val="single"/>
        </w:rPr>
      </w:pPr>
      <w:r>
        <w:rPr>
          <w:sz w:val="26"/>
          <w:szCs w:val="26"/>
          <w:u w:val="single"/>
        </w:rPr>
        <w:tab/>
      </w:r>
      <w:r w:rsidRPr="00AF6B85">
        <w:rPr>
          <w:sz w:val="26"/>
          <w:szCs w:val="26"/>
          <w:u w:val="single"/>
        </w:rPr>
        <w:t>(</w:t>
      </w:r>
      <w:r>
        <w:rPr>
          <w:sz w:val="26"/>
          <w:szCs w:val="26"/>
          <w:u w:val="single"/>
        </w:rPr>
        <w:t>i</w:t>
      </w:r>
      <w:r w:rsidRPr="00AF6B85">
        <w:rPr>
          <w:sz w:val="26"/>
          <w:szCs w:val="26"/>
          <w:u w:val="single"/>
        </w:rPr>
        <w:t xml:space="preserve">)  A household </w:t>
      </w:r>
      <w:r>
        <w:rPr>
          <w:sz w:val="26"/>
          <w:szCs w:val="26"/>
          <w:u w:val="single"/>
        </w:rPr>
        <w:t>that</w:t>
      </w:r>
      <w:r w:rsidRPr="00AF6B85">
        <w:rPr>
          <w:sz w:val="26"/>
          <w:szCs w:val="26"/>
          <w:u w:val="single"/>
        </w:rPr>
        <w:t xml:space="preserve"> has a</w:t>
      </w:r>
      <w:r>
        <w:rPr>
          <w:sz w:val="26"/>
          <w:szCs w:val="26"/>
          <w:u w:val="single"/>
        </w:rPr>
        <w:t xml:space="preserve"> pre-program</w:t>
      </w:r>
      <w:r w:rsidRPr="00AF6B85">
        <w:rPr>
          <w:sz w:val="26"/>
          <w:szCs w:val="26"/>
          <w:u w:val="single"/>
        </w:rPr>
        <w:t xml:space="preserve"> arrearage.</w:t>
      </w:r>
      <w:r>
        <w:rPr>
          <w:sz w:val="26"/>
          <w:szCs w:val="26"/>
          <w:u w:val="single"/>
        </w:rPr>
        <w:t xml:space="preserve"> </w:t>
      </w:r>
      <w:r w:rsidRPr="00AF6B85">
        <w:rPr>
          <w:sz w:val="26"/>
          <w:szCs w:val="26"/>
          <w:u w:val="single"/>
        </w:rPr>
        <w:t xml:space="preserve"> The utility may define the amount of the </w:t>
      </w:r>
      <w:r>
        <w:rPr>
          <w:sz w:val="26"/>
          <w:szCs w:val="26"/>
          <w:u w:val="single"/>
        </w:rPr>
        <w:t xml:space="preserve">pre-program </w:t>
      </w:r>
      <w:r w:rsidRPr="00AF6B85">
        <w:rPr>
          <w:sz w:val="26"/>
          <w:szCs w:val="26"/>
          <w:u w:val="single"/>
        </w:rPr>
        <w:t xml:space="preserve">arrearage. </w:t>
      </w:r>
    </w:p>
    <w:p w14:paraId="66BCA734" w14:textId="77777777" w:rsidR="003F4CB9" w:rsidRDefault="003F4CB9" w:rsidP="003F4CB9">
      <w:pPr>
        <w:pStyle w:val="NormalWeb"/>
        <w:tabs>
          <w:tab w:val="left" w:pos="360"/>
          <w:tab w:val="left" w:pos="720"/>
          <w:tab w:val="left" w:pos="1080"/>
        </w:tabs>
        <w:rPr>
          <w:sz w:val="26"/>
          <w:szCs w:val="26"/>
        </w:rPr>
      </w:pPr>
      <w:r>
        <w:rPr>
          <w:sz w:val="26"/>
          <w:szCs w:val="26"/>
          <w:u w:val="single"/>
        </w:rPr>
        <w:tab/>
      </w:r>
      <w:r w:rsidRPr="00AF6B85">
        <w:rPr>
          <w:sz w:val="26"/>
          <w:szCs w:val="26"/>
          <w:u w:val="single"/>
        </w:rPr>
        <w:t>(</w:t>
      </w:r>
      <w:r>
        <w:rPr>
          <w:sz w:val="26"/>
          <w:szCs w:val="26"/>
          <w:u w:val="single"/>
        </w:rPr>
        <w:t>ii</w:t>
      </w:r>
      <w:r w:rsidRPr="00AF6B85">
        <w:rPr>
          <w:sz w:val="26"/>
          <w:szCs w:val="26"/>
          <w:u w:val="single"/>
        </w:rPr>
        <w:t xml:space="preserve">)  A household </w:t>
      </w:r>
      <w:r>
        <w:rPr>
          <w:sz w:val="26"/>
          <w:szCs w:val="26"/>
          <w:u w:val="single"/>
        </w:rPr>
        <w:t>that</w:t>
      </w:r>
      <w:r w:rsidRPr="00AF6B85">
        <w:rPr>
          <w:sz w:val="26"/>
          <w:szCs w:val="26"/>
          <w:u w:val="single"/>
        </w:rPr>
        <w:t xml:space="preserve"> has received a termination notice or has failed to maintain </w:t>
      </w:r>
      <w:r>
        <w:rPr>
          <w:sz w:val="26"/>
          <w:szCs w:val="26"/>
          <w:u w:val="single"/>
        </w:rPr>
        <w:t>a</w:t>
      </w:r>
      <w:r w:rsidRPr="00AF6B85">
        <w:rPr>
          <w:sz w:val="26"/>
          <w:szCs w:val="26"/>
          <w:u w:val="single"/>
        </w:rPr>
        <w:t xml:space="preserve"> payment arrangement.</w:t>
      </w:r>
    </w:p>
    <w:p w14:paraId="6E676382" w14:textId="77777777" w:rsidR="003F4CB9" w:rsidRPr="00075F54" w:rsidRDefault="003F4CB9" w:rsidP="003F4CB9">
      <w:pPr>
        <w:spacing w:before="100" w:beforeAutospacing="1" w:after="100" w:afterAutospacing="1" w:line="240" w:lineRule="auto"/>
        <w:rPr>
          <w:rFonts w:ascii="Times New Roman" w:eastAsia="Times New Roman" w:hAnsi="Times New Roman" w:cs="Times New Roman"/>
          <w:sz w:val="26"/>
          <w:szCs w:val="26"/>
        </w:rPr>
      </w:pPr>
      <w:r>
        <w:rPr>
          <w:rFonts w:ascii="Times New Roman" w:hAnsi="Times New Roman" w:cs="Times New Roman"/>
          <w:sz w:val="26"/>
          <w:szCs w:val="26"/>
          <w:u w:val="single"/>
        </w:rPr>
        <w:t> </w:t>
      </w:r>
      <w:r w:rsidRPr="00075F54">
        <w:rPr>
          <w:rFonts w:ascii="Times New Roman" w:hAnsi="Times New Roman" w:cs="Times New Roman"/>
          <w:sz w:val="26"/>
          <w:szCs w:val="26"/>
          <w:u w:val="single"/>
        </w:rPr>
        <w:t>(6)</w:t>
      </w:r>
      <w:r>
        <w:rPr>
          <w:rFonts w:ascii="Times New Roman" w:hAnsi="Times New Roman" w:cs="Times New Roman"/>
          <w:sz w:val="26"/>
          <w:szCs w:val="26"/>
          <w:u w:val="single"/>
        </w:rPr>
        <w:t>  </w:t>
      </w:r>
      <w:r w:rsidRPr="00075F54">
        <w:rPr>
          <w:rFonts w:ascii="Times New Roman" w:hAnsi="Times New Roman" w:cs="Times New Roman"/>
          <w:i/>
          <w:iCs/>
          <w:sz w:val="26"/>
          <w:szCs w:val="26"/>
          <w:u w:val="single"/>
        </w:rPr>
        <w:t>Late Payment Charges.</w:t>
      </w:r>
      <w:r w:rsidRPr="00075F54">
        <w:rPr>
          <w:rFonts w:ascii="Times New Roman" w:hAnsi="Times New Roman" w:cs="Times New Roman"/>
          <w:sz w:val="26"/>
          <w:szCs w:val="26"/>
          <w:u w:val="single"/>
        </w:rPr>
        <w:t xml:space="preserve"> CAP customers should be exempt from late payment charges.</w:t>
      </w:r>
    </w:p>
    <w:p w14:paraId="0F616877"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(7)</w:t>
      </w:r>
      <w:r w:rsidRPr="00E21B7F">
        <w:rPr>
          <w:rFonts w:ascii="Times New Roman" w:eastAsia="Times New Roman" w:hAnsi="Times New Roman" w:cs="Times New Roman"/>
          <w:sz w:val="26"/>
          <w:szCs w:val="26"/>
        </w:rPr>
        <w:t>  </w:t>
      </w:r>
      <w:r w:rsidRPr="00E21B7F">
        <w:rPr>
          <w:rFonts w:ascii="Times New Roman" w:eastAsia="Times New Roman" w:hAnsi="Times New Roman" w:cs="Times New Roman"/>
          <w:i/>
          <w:iCs/>
          <w:sz w:val="26"/>
          <w:szCs w:val="26"/>
        </w:rPr>
        <w:t>Appeal process.</w:t>
      </w:r>
      <w:r w:rsidRPr="00E21B7F">
        <w:rPr>
          <w:rFonts w:ascii="Times New Roman" w:eastAsia="Times New Roman" w:hAnsi="Times New Roman" w:cs="Times New Roman"/>
          <w:sz w:val="26"/>
          <w:szCs w:val="26"/>
        </w:rPr>
        <w:t xml:space="preserve"> The utility should establish the following appeal process for program denial: </w:t>
      </w:r>
    </w:p>
    <w:p w14:paraId="26F168FC" w14:textId="39E805DB"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   If the CAP applicant is not satisfied with the utility</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initial eligibility determination, the utility should use utility company dispute procedures in §§ 56.151 and 56.152 (relating to general rule; and contents of the </w:t>
      </w:r>
      <w:r>
        <w:rPr>
          <w:rFonts w:ascii="Times New Roman" w:eastAsia="Times New Roman" w:hAnsi="Times New Roman" w:cs="Times New Roman"/>
          <w:sz w:val="26"/>
          <w:szCs w:val="26"/>
          <w:u w:val="single"/>
        </w:rPr>
        <w:t xml:space="preserve">public </w:t>
      </w:r>
      <w:r w:rsidRPr="00E21B7F">
        <w:rPr>
          <w:rFonts w:ascii="Times New Roman" w:eastAsia="Times New Roman" w:hAnsi="Times New Roman" w:cs="Times New Roman"/>
          <w:sz w:val="26"/>
          <w:szCs w:val="26"/>
        </w:rPr>
        <w:t xml:space="preserve">utility company report). </w:t>
      </w:r>
    </w:p>
    <w:p w14:paraId="16555787"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   The CAP applicant may appeal the denial of eligibility to the Bureau of Consumer Services in accordance with §§ 56.161—56.165 (relating to informal complaint procedures). </w:t>
      </w:r>
    </w:p>
    <w:p w14:paraId="630B908F" w14:textId="2B6F84EB"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(8)</w:t>
      </w:r>
      <w:r w:rsidRPr="00E21B7F">
        <w:rPr>
          <w:rFonts w:ascii="Times New Roman" w:eastAsia="Times New Roman" w:hAnsi="Times New Roman" w:cs="Times New Roman"/>
          <w:sz w:val="26"/>
          <w:szCs w:val="26"/>
        </w:rPr>
        <w:t>  </w:t>
      </w:r>
      <w:r w:rsidRPr="00E21B7F">
        <w:rPr>
          <w:rFonts w:ascii="Times New Roman" w:eastAsia="Times New Roman" w:hAnsi="Times New Roman" w:cs="Times New Roman"/>
          <w:i/>
          <w:iCs/>
          <w:sz w:val="26"/>
          <w:szCs w:val="26"/>
        </w:rPr>
        <w:t>Administration.</w:t>
      </w:r>
      <w:r w:rsidRPr="00E21B7F">
        <w:rPr>
          <w:rFonts w:ascii="Times New Roman" w:eastAsia="Times New Roman" w:hAnsi="Times New Roman" w:cs="Times New Roman"/>
          <w:sz w:val="26"/>
          <w:szCs w:val="26"/>
        </w:rPr>
        <w:t xml:space="preserve"> If feasible, the utility should include nonprofit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community based</w:t>
      </w:r>
      <w:r>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organizations</w:t>
      </w:r>
      <w:r w:rsidR="00686811">
        <w:rPr>
          <w:rFonts w:ascii="Times New Roman" w:eastAsia="Times New Roman" w:hAnsi="Times New Roman" w:cs="Times New Roman"/>
          <w:sz w:val="26"/>
          <w:szCs w:val="26"/>
        </w:rPr>
        <w:t xml:space="preserve">] </w:t>
      </w:r>
      <w:r w:rsidR="00686811">
        <w:rPr>
          <w:rFonts w:ascii="Times New Roman" w:eastAsia="Times New Roman" w:hAnsi="Times New Roman" w:cs="Times New Roman"/>
          <w:sz w:val="26"/>
          <w:szCs w:val="26"/>
          <w:u w:val="single"/>
        </w:rPr>
        <w:t>CBOs</w:t>
      </w:r>
      <w:r w:rsidRPr="00E21B7F">
        <w:rPr>
          <w:rFonts w:ascii="Times New Roman" w:eastAsia="Times New Roman" w:hAnsi="Times New Roman" w:cs="Times New Roman"/>
          <w:sz w:val="26"/>
          <w:szCs w:val="26"/>
        </w:rPr>
        <w:t xml:space="preserve"> in the operation of the CAP. </w:t>
      </w:r>
      <w:r w:rsidR="0055210F" w:rsidRPr="00354397">
        <w:rPr>
          <w:rFonts w:ascii="Times New Roman" w:eastAsia="Times New Roman" w:hAnsi="Times New Roman" w:cs="Times New Roman"/>
          <w:sz w:val="26"/>
          <w:szCs w:val="26"/>
          <w:u w:val="single"/>
        </w:rPr>
        <w:t xml:space="preserve">The </w:t>
      </w:r>
      <w:r w:rsidR="0055210F">
        <w:rPr>
          <w:rFonts w:ascii="Times New Roman" w:eastAsia="Times New Roman" w:hAnsi="Times New Roman" w:cs="Times New Roman"/>
          <w:sz w:val="26"/>
          <w:szCs w:val="26"/>
          <w:u w:val="single"/>
        </w:rPr>
        <w:t>provisions of</w:t>
      </w:r>
      <w:r w:rsidR="0055210F" w:rsidRPr="00354397">
        <w:rPr>
          <w:rFonts w:ascii="Times New Roman" w:eastAsia="Times New Roman" w:hAnsi="Times New Roman" w:cs="Times New Roman"/>
          <w:sz w:val="26"/>
          <w:szCs w:val="26"/>
          <w:u w:val="single"/>
        </w:rPr>
        <w:t xml:space="preserve"> §</w:t>
      </w:r>
      <w:r w:rsidR="0055210F">
        <w:rPr>
          <w:rFonts w:ascii="Times New Roman" w:eastAsia="Times New Roman" w:hAnsi="Times New Roman" w:cs="Times New Roman"/>
          <w:sz w:val="26"/>
          <w:szCs w:val="26"/>
          <w:u w:val="single"/>
        </w:rPr>
        <w:t xml:space="preserve"> </w:t>
      </w:r>
      <w:r w:rsidR="0055210F" w:rsidRPr="00354397">
        <w:rPr>
          <w:rFonts w:ascii="Times New Roman" w:eastAsia="Times New Roman" w:hAnsi="Times New Roman" w:cs="Times New Roman"/>
          <w:sz w:val="26"/>
          <w:szCs w:val="26"/>
          <w:u w:val="single"/>
        </w:rPr>
        <w:t>69.265</w:t>
      </w:r>
      <w:r w:rsidR="0055210F">
        <w:rPr>
          <w:rFonts w:ascii="Times New Roman" w:eastAsia="Times New Roman" w:hAnsi="Times New Roman" w:cs="Times New Roman"/>
          <w:sz w:val="26"/>
          <w:szCs w:val="26"/>
          <w:u w:val="single"/>
        </w:rPr>
        <w:t>(8)</w:t>
      </w:r>
      <w:r w:rsidR="0055210F" w:rsidRPr="00354397">
        <w:rPr>
          <w:rFonts w:ascii="Times New Roman" w:eastAsia="Times New Roman" w:hAnsi="Times New Roman" w:cs="Times New Roman"/>
          <w:sz w:val="26"/>
          <w:szCs w:val="26"/>
          <w:u w:val="single"/>
        </w:rPr>
        <w:t xml:space="preserve"> apply to CAP services whether they are provided by the utility or </w:t>
      </w:r>
      <w:r w:rsidR="00A32EC8">
        <w:rPr>
          <w:rFonts w:ascii="Times New Roman" w:eastAsia="Times New Roman" w:hAnsi="Times New Roman" w:cs="Times New Roman"/>
          <w:sz w:val="26"/>
          <w:szCs w:val="26"/>
          <w:u w:val="single"/>
        </w:rPr>
        <w:t xml:space="preserve">by a third-party </w:t>
      </w:r>
      <w:r w:rsidR="0055210F" w:rsidRPr="00354397">
        <w:rPr>
          <w:rFonts w:ascii="Times New Roman" w:eastAsia="Times New Roman" w:hAnsi="Times New Roman" w:cs="Times New Roman"/>
          <w:sz w:val="26"/>
          <w:szCs w:val="26"/>
          <w:u w:val="single"/>
        </w:rPr>
        <w:t>on behalf of the utility.</w:t>
      </w:r>
      <w:r w:rsidR="0055210F">
        <w:rPr>
          <w:rFonts w:ascii="Times New Roman" w:eastAsia="Times New Roman" w:hAnsi="Times New Roman" w:cs="Times New Roman"/>
          <w:sz w:val="26"/>
          <w:szCs w:val="26"/>
          <w:u w:val="single"/>
        </w:rPr>
        <w:t xml:space="preserve"> </w:t>
      </w:r>
      <w:r w:rsidRPr="00E21B7F">
        <w:rPr>
          <w:rFonts w:ascii="Times New Roman" w:eastAsia="Times New Roman" w:hAnsi="Times New Roman" w:cs="Times New Roman"/>
          <w:sz w:val="26"/>
          <w:szCs w:val="26"/>
        </w:rPr>
        <w:t xml:space="preserve">The utility should incorporate the following components into the CAP administration: </w:t>
      </w:r>
    </w:p>
    <w:p w14:paraId="4DB5B8D5" w14:textId="1EEF9378"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   </w:t>
      </w:r>
      <w:r w:rsidRPr="00E21B7F">
        <w:rPr>
          <w:rFonts w:ascii="Times New Roman" w:eastAsia="Times New Roman" w:hAnsi="Times New Roman" w:cs="Times New Roman"/>
          <w:i/>
          <w:iCs/>
          <w:sz w:val="26"/>
          <w:szCs w:val="26"/>
        </w:rPr>
        <w:t>Outreach.</w:t>
      </w:r>
      <w:r w:rsidR="00875C5C">
        <w:rPr>
          <w:rFonts w:ascii="Times New Roman" w:eastAsia="Times New Roman" w:hAnsi="Times New Roman" w:cs="Times New Roman"/>
          <w:sz w:val="26"/>
          <w:szCs w:val="26"/>
        </w:rPr>
        <w:t xml:space="preserve"> </w:t>
      </w:r>
      <w:r w:rsidR="00695AF3" w:rsidRPr="00360394">
        <w:rPr>
          <w:rFonts w:ascii="Times New Roman" w:eastAsia="Times New Roman" w:hAnsi="Times New Roman" w:cs="Times New Roman"/>
          <w:sz w:val="26"/>
          <w:szCs w:val="26"/>
          <w:u w:val="single"/>
        </w:rPr>
        <w:t xml:space="preserve">A utility should develop and incorporate </w:t>
      </w:r>
      <w:r w:rsidR="007B7623" w:rsidRPr="00360394">
        <w:rPr>
          <w:rFonts w:ascii="Times New Roman" w:eastAsia="Times New Roman" w:hAnsi="Times New Roman" w:cs="Times New Roman"/>
          <w:sz w:val="26"/>
          <w:szCs w:val="26"/>
          <w:u w:val="single"/>
        </w:rPr>
        <w:t xml:space="preserve">a </w:t>
      </w:r>
      <w:r w:rsidR="00B5494C">
        <w:rPr>
          <w:rFonts w:ascii="Times New Roman" w:eastAsia="Times New Roman" w:hAnsi="Times New Roman" w:cs="Times New Roman"/>
          <w:sz w:val="26"/>
          <w:szCs w:val="26"/>
          <w:u w:val="single"/>
        </w:rPr>
        <w:t>C</w:t>
      </w:r>
      <w:r w:rsidR="00660900">
        <w:rPr>
          <w:rFonts w:ascii="Times New Roman" w:eastAsia="Times New Roman" w:hAnsi="Times New Roman" w:cs="Times New Roman"/>
          <w:sz w:val="26"/>
          <w:szCs w:val="26"/>
          <w:u w:val="single"/>
        </w:rPr>
        <w:t>onsu</w:t>
      </w:r>
      <w:r w:rsidR="00660900" w:rsidRPr="00360394">
        <w:rPr>
          <w:rFonts w:ascii="Times New Roman" w:eastAsia="Times New Roman" w:hAnsi="Times New Roman" w:cs="Times New Roman"/>
          <w:sz w:val="26"/>
          <w:szCs w:val="26"/>
          <w:u w:val="single"/>
        </w:rPr>
        <w:t xml:space="preserve">mer </w:t>
      </w:r>
      <w:r w:rsidR="00B5494C">
        <w:rPr>
          <w:rFonts w:ascii="Times New Roman" w:eastAsia="Times New Roman" w:hAnsi="Times New Roman" w:cs="Times New Roman"/>
          <w:sz w:val="26"/>
          <w:szCs w:val="26"/>
          <w:u w:val="single"/>
        </w:rPr>
        <w:t>E</w:t>
      </w:r>
      <w:r w:rsidR="00660900">
        <w:rPr>
          <w:rFonts w:ascii="Times New Roman" w:eastAsia="Times New Roman" w:hAnsi="Times New Roman" w:cs="Times New Roman"/>
          <w:sz w:val="26"/>
          <w:szCs w:val="26"/>
          <w:u w:val="single"/>
        </w:rPr>
        <w:t xml:space="preserve">ducation and </w:t>
      </w:r>
      <w:r w:rsidR="00B5494C">
        <w:rPr>
          <w:rFonts w:ascii="Times New Roman" w:eastAsia="Times New Roman" w:hAnsi="Times New Roman" w:cs="Times New Roman"/>
          <w:sz w:val="26"/>
          <w:szCs w:val="26"/>
          <w:u w:val="single"/>
        </w:rPr>
        <w:t>O</w:t>
      </w:r>
      <w:r w:rsidR="00B5494C" w:rsidRPr="00360394">
        <w:rPr>
          <w:rFonts w:ascii="Times New Roman" w:eastAsia="Times New Roman" w:hAnsi="Times New Roman" w:cs="Times New Roman"/>
          <w:sz w:val="26"/>
          <w:szCs w:val="26"/>
          <w:u w:val="single"/>
        </w:rPr>
        <w:t xml:space="preserve">utreach </w:t>
      </w:r>
      <w:r w:rsidR="00B5494C">
        <w:rPr>
          <w:rFonts w:ascii="Times New Roman" w:eastAsia="Times New Roman" w:hAnsi="Times New Roman" w:cs="Times New Roman"/>
          <w:sz w:val="26"/>
          <w:szCs w:val="26"/>
          <w:u w:val="single"/>
        </w:rPr>
        <w:t>P</w:t>
      </w:r>
      <w:r w:rsidR="00B5494C" w:rsidRPr="00360394">
        <w:rPr>
          <w:rFonts w:ascii="Times New Roman" w:eastAsia="Times New Roman" w:hAnsi="Times New Roman" w:cs="Times New Roman"/>
          <w:sz w:val="26"/>
          <w:szCs w:val="26"/>
          <w:u w:val="single"/>
        </w:rPr>
        <w:t xml:space="preserve">lan </w:t>
      </w:r>
      <w:r w:rsidR="00695AF3" w:rsidRPr="00360394">
        <w:rPr>
          <w:rFonts w:ascii="Times New Roman" w:eastAsia="Times New Roman" w:hAnsi="Times New Roman" w:cs="Times New Roman"/>
          <w:sz w:val="26"/>
          <w:szCs w:val="26"/>
          <w:u w:val="single"/>
        </w:rPr>
        <w:t xml:space="preserve">as part of </w:t>
      </w:r>
      <w:r w:rsidR="007B7623" w:rsidRPr="00360394">
        <w:rPr>
          <w:rFonts w:ascii="Times New Roman" w:eastAsia="Times New Roman" w:hAnsi="Times New Roman" w:cs="Times New Roman"/>
          <w:sz w:val="26"/>
          <w:szCs w:val="26"/>
          <w:u w:val="single"/>
        </w:rPr>
        <w:t>i</w:t>
      </w:r>
      <w:r w:rsidR="00695AF3" w:rsidRPr="00360394">
        <w:rPr>
          <w:rFonts w:ascii="Times New Roman" w:eastAsia="Times New Roman" w:hAnsi="Times New Roman" w:cs="Times New Roman"/>
          <w:sz w:val="26"/>
          <w:szCs w:val="26"/>
          <w:u w:val="single"/>
        </w:rPr>
        <w:t>t</w:t>
      </w:r>
      <w:r w:rsidR="007B7623" w:rsidRPr="00360394">
        <w:rPr>
          <w:rFonts w:ascii="Times New Roman" w:eastAsia="Times New Roman" w:hAnsi="Times New Roman" w:cs="Times New Roman"/>
          <w:sz w:val="26"/>
          <w:szCs w:val="26"/>
          <w:u w:val="single"/>
        </w:rPr>
        <w:t>s</w:t>
      </w:r>
      <w:r w:rsidR="00695AF3" w:rsidRPr="00360394">
        <w:rPr>
          <w:rFonts w:ascii="Times New Roman" w:eastAsia="Times New Roman" w:hAnsi="Times New Roman" w:cs="Times New Roman"/>
          <w:sz w:val="26"/>
          <w:szCs w:val="26"/>
          <w:u w:val="single"/>
        </w:rPr>
        <w:t xml:space="preserve"> USECP.</w:t>
      </w:r>
      <w:r w:rsidR="00A301AA" w:rsidRPr="009B7E96">
        <w:rPr>
          <w:rFonts w:ascii="Times New Roman" w:eastAsia="Times New Roman" w:hAnsi="Times New Roman" w:cs="Times New Roman"/>
          <w:sz w:val="26"/>
          <w:szCs w:val="26"/>
          <w:u w:val="single"/>
        </w:rPr>
        <w:t xml:space="preserve"> </w:t>
      </w:r>
      <w:r w:rsidR="00C4661B">
        <w:rPr>
          <w:rFonts w:ascii="Times New Roman" w:eastAsia="Times New Roman" w:hAnsi="Times New Roman" w:cs="Times New Roman"/>
          <w:sz w:val="26"/>
          <w:szCs w:val="26"/>
          <w:u w:val="single"/>
        </w:rPr>
        <w:t>[</w:t>
      </w:r>
      <w:r w:rsidRPr="00E21B7F">
        <w:rPr>
          <w:rFonts w:ascii="Times New Roman" w:eastAsia="Times New Roman" w:hAnsi="Times New Roman" w:cs="Times New Roman"/>
          <w:sz w:val="26"/>
          <w:szCs w:val="26"/>
        </w:rPr>
        <w:t>Outreach</w:t>
      </w:r>
      <w:r w:rsidR="00C4661B">
        <w:rPr>
          <w:rFonts w:ascii="Times New Roman" w:eastAsia="Times New Roman" w:hAnsi="Times New Roman" w:cs="Times New Roman"/>
          <w:sz w:val="26"/>
          <w:szCs w:val="26"/>
        </w:rPr>
        <w:t>]</w:t>
      </w:r>
      <w:r w:rsidR="0021129D">
        <w:rPr>
          <w:rFonts w:ascii="Times New Roman" w:eastAsia="Times New Roman" w:hAnsi="Times New Roman" w:cs="Times New Roman"/>
          <w:sz w:val="26"/>
          <w:szCs w:val="26"/>
          <w:u w:val="single"/>
        </w:rPr>
        <w:t xml:space="preserve"> </w:t>
      </w:r>
      <w:r w:rsidR="00C4661B">
        <w:rPr>
          <w:rFonts w:ascii="Times New Roman" w:eastAsia="Times New Roman" w:hAnsi="Times New Roman" w:cs="Times New Roman"/>
          <w:sz w:val="26"/>
          <w:szCs w:val="26"/>
          <w:u w:val="single"/>
        </w:rPr>
        <w:t>E</w:t>
      </w:r>
      <w:r w:rsidR="0021129D">
        <w:rPr>
          <w:rFonts w:ascii="Times New Roman" w:eastAsia="Times New Roman" w:hAnsi="Times New Roman" w:cs="Times New Roman"/>
          <w:sz w:val="26"/>
          <w:szCs w:val="26"/>
          <w:u w:val="single"/>
        </w:rPr>
        <w:t>ducation</w:t>
      </w:r>
      <w:r w:rsidR="00C4661B">
        <w:rPr>
          <w:rFonts w:ascii="Times New Roman" w:eastAsia="Times New Roman" w:hAnsi="Times New Roman" w:cs="Times New Roman"/>
          <w:sz w:val="26"/>
          <w:szCs w:val="26"/>
          <w:u w:val="single"/>
        </w:rPr>
        <w:t xml:space="preserve"> and outreach</w:t>
      </w:r>
      <w:r w:rsidRPr="00E21B7F">
        <w:rPr>
          <w:rFonts w:ascii="Times New Roman" w:eastAsia="Times New Roman" w:hAnsi="Times New Roman" w:cs="Times New Roman"/>
          <w:sz w:val="26"/>
          <w:szCs w:val="26"/>
        </w:rPr>
        <w:t xml:space="preserve"> may be conducted by nonprofit</w:t>
      </w:r>
      <w:r w:rsidR="0021129D">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community-based organizations</w:t>
      </w:r>
      <w:r w:rsidR="0021129D">
        <w:rPr>
          <w:rFonts w:ascii="Times New Roman" w:eastAsia="Times New Roman" w:hAnsi="Times New Roman" w:cs="Times New Roman"/>
          <w:sz w:val="26"/>
          <w:szCs w:val="26"/>
        </w:rPr>
        <w:t xml:space="preserve">] </w:t>
      </w:r>
      <w:r w:rsidR="0021129D">
        <w:rPr>
          <w:rFonts w:ascii="Times New Roman" w:eastAsia="Times New Roman" w:hAnsi="Times New Roman" w:cs="Times New Roman"/>
          <w:sz w:val="26"/>
          <w:szCs w:val="26"/>
          <w:u w:val="single"/>
        </w:rPr>
        <w:t>CBOs</w:t>
      </w:r>
      <w:r w:rsidRPr="00E21B7F">
        <w:rPr>
          <w:rFonts w:ascii="Times New Roman" w:eastAsia="Times New Roman" w:hAnsi="Times New Roman" w:cs="Times New Roman"/>
          <w:sz w:val="26"/>
          <w:szCs w:val="26"/>
        </w:rPr>
        <w:t xml:space="preserve"> and should be targeted to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low income payment troubled</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 xml:space="preserve">low-income </w:t>
      </w:r>
      <w:r w:rsidRPr="00E21B7F">
        <w:rPr>
          <w:rFonts w:ascii="Times New Roman" w:eastAsia="Times New Roman" w:hAnsi="Times New Roman" w:cs="Times New Roman"/>
          <w:sz w:val="26"/>
          <w:szCs w:val="26"/>
        </w:rPr>
        <w:t xml:space="preserve">customers. The utility should make automatic referrals to CAP when a low-income customer calls to make payment arrangements. </w:t>
      </w:r>
    </w:p>
    <w:p w14:paraId="4F809905" w14:textId="47096C61"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(ii)   </w:t>
      </w:r>
      <w:r w:rsidRPr="00E21B7F">
        <w:rPr>
          <w:rFonts w:ascii="Times New Roman" w:eastAsia="Times New Roman" w:hAnsi="Times New Roman" w:cs="Times New Roman"/>
          <w:i/>
          <w:iCs/>
          <w:sz w:val="26"/>
          <w:szCs w:val="26"/>
        </w:rPr>
        <w:t>Intake and verification.</w:t>
      </w:r>
      <w:r w:rsidRPr="00E21B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Income verification may be completed through a certification process that is satisfactory to the utility or certification through a government agency.</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sidR="00A31DD3">
        <w:rPr>
          <w:rFonts w:ascii="Times New Roman" w:eastAsia="Times New Roman" w:hAnsi="Times New Roman" w:cs="Times New Roman"/>
          <w:sz w:val="26"/>
          <w:szCs w:val="26"/>
          <w:u w:val="single"/>
        </w:rPr>
        <w:t>The</w:t>
      </w:r>
      <w:r w:rsidR="0021129D" w:rsidRPr="00360394">
        <w:rPr>
          <w:rFonts w:ascii="Times New Roman" w:eastAsia="Times New Roman" w:hAnsi="Times New Roman" w:cs="Times New Roman"/>
          <w:sz w:val="26"/>
          <w:szCs w:val="26"/>
          <w:u w:val="single"/>
        </w:rPr>
        <w:t xml:space="preserve"> </w:t>
      </w:r>
      <w:r w:rsidR="0021129D">
        <w:rPr>
          <w:rFonts w:ascii="Times New Roman" w:eastAsia="Times New Roman" w:hAnsi="Times New Roman" w:cs="Times New Roman"/>
          <w:sz w:val="26"/>
          <w:szCs w:val="26"/>
          <w:u w:val="single"/>
        </w:rPr>
        <w:t>u</w:t>
      </w:r>
      <w:r w:rsidRPr="0050354E">
        <w:rPr>
          <w:rFonts w:ascii="Times New Roman" w:eastAsia="Times New Roman" w:hAnsi="Times New Roman" w:cs="Times New Roman"/>
          <w:sz w:val="26"/>
          <w:szCs w:val="26"/>
          <w:u w:val="single"/>
        </w:rPr>
        <w:t>tilit</w:t>
      </w:r>
      <w:r w:rsidR="0021129D">
        <w:rPr>
          <w:rFonts w:ascii="Times New Roman" w:eastAsia="Times New Roman" w:hAnsi="Times New Roman" w:cs="Times New Roman"/>
          <w:sz w:val="26"/>
          <w:szCs w:val="26"/>
          <w:u w:val="single"/>
        </w:rPr>
        <w:t>y</w:t>
      </w:r>
      <w:r w:rsidRPr="0050354E">
        <w:rPr>
          <w:rFonts w:ascii="Times New Roman" w:eastAsia="Times New Roman" w:hAnsi="Times New Roman" w:cs="Times New Roman"/>
          <w:sz w:val="26"/>
          <w:szCs w:val="26"/>
          <w:u w:val="single"/>
        </w:rPr>
        <w:t xml:space="preserve"> </w:t>
      </w:r>
      <w:r w:rsidRPr="0050354E">
        <w:rPr>
          <w:rFonts w:ascii="Times New Roman" w:hAnsi="Times New Roman"/>
          <w:sz w:val="26"/>
          <w:szCs w:val="26"/>
          <w:u w:val="single"/>
        </w:rPr>
        <w:t xml:space="preserve">should </w:t>
      </w:r>
      <w:r w:rsidRPr="00061EDD">
        <w:rPr>
          <w:rFonts w:ascii="Times New Roman" w:hAnsi="Times New Roman"/>
          <w:sz w:val="26"/>
          <w:szCs w:val="26"/>
          <w:u w:val="single"/>
        </w:rPr>
        <w:t xml:space="preserve">accept applications for CAP through mail, telephone, </w:t>
      </w:r>
      <w:r w:rsidRPr="0004514D">
        <w:rPr>
          <w:rFonts w:ascii="Times New Roman" w:hAnsi="Times New Roman"/>
          <w:sz w:val="26"/>
          <w:szCs w:val="26"/>
          <w:u w:val="single"/>
        </w:rPr>
        <w:t xml:space="preserve">electronically or in-person. </w:t>
      </w:r>
      <w:r w:rsidR="0021129D">
        <w:rPr>
          <w:rFonts w:ascii="Times New Roman" w:hAnsi="Times New Roman"/>
          <w:sz w:val="26"/>
          <w:szCs w:val="26"/>
          <w:u w:val="single"/>
        </w:rPr>
        <w:t>The u</w:t>
      </w:r>
      <w:r w:rsidRPr="0004514D">
        <w:rPr>
          <w:rFonts w:ascii="Times New Roman" w:hAnsi="Times New Roman"/>
          <w:sz w:val="26"/>
          <w:szCs w:val="26"/>
          <w:u w:val="single"/>
        </w:rPr>
        <w:t>tilit</w:t>
      </w:r>
      <w:r w:rsidR="0021129D">
        <w:rPr>
          <w:rFonts w:ascii="Times New Roman" w:hAnsi="Times New Roman"/>
          <w:sz w:val="26"/>
          <w:szCs w:val="26"/>
          <w:u w:val="single"/>
        </w:rPr>
        <w:t>y</w:t>
      </w:r>
      <w:r w:rsidRPr="0004514D">
        <w:rPr>
          <w:rFonts w:ascii="Times New Roman" w:hAnsi="Times New Roman"/>
          <w:sz w:val="26"/>
          <w:szCs w:val="26"/>
          <w:u w:val="single"/>
        </w:rPr>
        <w:t xml:space="preserve"> should also offer online platforms that allow customers to </w:t>
      </w:r>
      <w:r w:rsidRPr="00DE3103">
        <w:rPr>
          <w:rFonts w:ascii="Times New Roman" w:hAnsi="Times New Roman"/>
          <w:color w:val="0D0D0D" w:themeColor="text1" w:themeTint="F2"/>
          <w:sz w:val="26"/>
          <w:szCs w:val="26"/>
          <w:u w:val="single"/>
        </w:rPr>
        <w:t>submit CAP applications and documentation electronically.</w:t>
      </w:r>
      <w:r w:rsidRPr="00921E15">
        <w:rPr>
          <w:rFonts w:ascii="Times New Roman" w:eastAsia="Times New Roman" w:hAnsi="Times New Roman" w:cs="Times New Roman"/>
          <w:sz w:val="26"/>
          <w:szCs w:val="26"/>
          <w:u w:val="single"/>
        </w:rPr>
        <w:t xml:space="preserve"> </w:t>
      </w:r>
      <w:r w:rsidRPr="001B553D">
        <w:rPr>
          <w:rFonts w:ascii="Times New Roman" w:eastAsia="Times New Roman" w:hAnsi="Times New Roman" w:cs="Times New Roman"/>
          <w:sz w:val="26"/>
          <w:szCs w:val="26"/>
          <w:u w:val="single"/>
        </w:rPr>
        <w:t xml:space="preserve">Intake and verification </w:t>
      </w:r>
      <w:r w:rsidRPr="008A5E56">
        <w:rPr>
          <w:rFonts w:ascii="Times New Roman" w:eastAsia="Times New Roman" w:hAnsi="Times New Roman" w:cs="Times New Roman"/>
          <w:sz w:val="26"/>
          <w:szCs w:val="26"/>
          <w:u w:val="single"/>
        </w:rPr>
        <w:t>may be conducted by nonprofit</w:t>
      </w:r>
      <w:r w:rsidR="00907BD6">
        <w:rPr>
          <w:rFonts w:ascii="Times New Roman" w:eastAsia="Times New Roman" w:hAnsi="Times New Roman" w:cs="Times New Roman"/>
          <w:sz w:val="26"/>
          <w:szCs w:val="26"/>
          <w:u w:val="single"/>
        </w:rPr>
        <w:t xml:space="preserve"> CBOs</w:t>
      </w:r>
      <w:r>
        <w:rPr>
          <w:rFonts w:ascii="Times New Roman" w:eastAsia="Times New Roman" w:hAnsi="Times New Roman" w:cs="Times New Roman"/>
          <w:sz w:val="26"/>
          <w:szCs w:val="26"/>
          <w:u w:val="single"/>
        </w:rPr>
        <w:t xml:space="preserve"> on behalf of the utilities</w:t>
      </w:r>
      <w:r w:rsidRPr="008A5E56">
        <w:rPr>
          <w:rFonts w:ascii="Times New Roman" w:eastAsia="Times New Roman" w:hAnsi="Times New Roman" w:cs="Times New Roman"/>
          <w:sz w:val="26"/>
          <w:szCs w:val="26"/>
          <w:u w:val="single"/>
        </w:rPr>
        <w:t xml:space="preserve">. </w:t>
      </w:r>
      <w:r w:rsidRPr="00E21B7F">
        <w:rPr>
          <w:rFonts w:ascii="Times New Roman" w:eastAsia="Times New Roman" w:hAnsi="Times New Roman" w:cs="Times New Roman"/>
          <w:sz w:val="26"/>
          <w:szCs w:val="26"/>
        </w:rPr>
        <w:t xml:space="preserve">Intake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may also be conducted by those organizations and</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should include verification of the following: </w:t>
      </w:r>
    </w:p>
    <w:p w14:paraId="137B4643" w14:textId="48EF53EC"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(A)   Identification of the CAP applicant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and household members</w:t>
      </w:r>
      <w:r w:rsidRPr="00E21B7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A31DD3">
        <w:rPr>
          <w:rFonts w:ascii="Times New Roman" w:hAnsi="Times New Roman" w:cs="Times New Roman"/>
          <w:bCs/>
          <w:sz w:val="26"/>
          <w:szCs w:val="26"/>
          <w:u w:val="single"/>
        </w:rPr>
        <w:t>The u</w:t>
      </w:r>
      <w:r w:rsidRPr="00774593">
        <w:rPr>
          <w:rFonts w:ascii="Times New Roman" w:hAnsi="Times New Roman" w:cs="Times New Roman"/>
          <w:bCs/>
          <w:sz w:val="26"/>
          <w:szCs w:val="26"/>
          <w:u w:val="single"/>
        </w:rPr>
        <w:t>tilit</w:t>
      </w:r>
      <w:r w:rsidR="00A31DD3">
        <w:rPr>
          <w:rFonts w:ascii="Times New Roman" w:hAnsi="Times New Roman" w:cs="Times New Roman"/>
          <w:bCs/>
          <w:sz w:val="26"/>
          <w:szCs w:val="26"/>
          <w:u w:val="single"/>
        </w:rPr>
        <w:t>y</w:t>
      </w:r>
      <w:r w:rsidRPr="00774593">
        <w:rPr>
          <w:rFonts w:ascii="Times New Roman" w:hAnsi="Times New Roman" w:cs="Times New Roman"/>
          <w:bCs/>
          <w:sz w:val="26"/>
          <w:szCs w:val="26"/>
          <w:u w:val="single"/>
        </w:rPr>
        <w:t xml:space="preserve"> may request, but not require, Social Security numbers (SSNs) to verify identity. Household members should be permitted to provide alternative identification in lieu of SSNs.</w:t>
      </w:r>
      <w:r w:rsidRPr="00E21B7F">
        <w:rPr>
          <w:rFonts w:ascii="Times New Roman" w:eastAsia="Times New Roman" w:hAnsi="Times New Roman" w:cs="Times New Roman"/>
          <w:sz w:val="26"/>
          <w:szCs w:val="26"/>
        </w:rPr>
        <w:t xml:space="preserve"> </w:t>
      </w:r>
      <w:r w:rsidR="00A31DD3" w:rsidRPr="00360394">
        <w:rPr>
          <w:rFonts w:ascii="Times New Roman" w:eastAsia="Times New Roman" w:hAnsi="Times New Roman" w:cs="Times New Roman"/>
          <w:sz w:val="26"/>
          <w:szCs w:val="26"/>
          <w:u w:val="single"/>
        </w:rPr>
        <w:t xml:space="preserve">The </w:t>
      </w:r>
      <w:r w:rsidR="00A31DD3">
        <w:rPr>
          <w:rFonts w:ascii="Times New Roman" w:eastAsia="Times New Roman" w:hAnsi="Times New Roman" w:cs="Times New Roman"/>
          <w:sz w:val="26"/>
          <w:szCs w:val="26"/>
          <w:u w:val="single"/>
        </w:rPr>
        <w:t>u</w:t>
      </w:r>
      <w:r w:rsidRPr="00E80EAF">
        <w:rPr>
          <w:rFonts w:ascii="Times New Roman" w:eastAsia="Times New Roman" w:hAnsi="Times New Roman" w:cs="Times New Roman"/>
          <w:sz w:val="26"/>
          <w:szCs w:val="26"/>
          <w:u w:val="single"/>
        </w:rPr>
        <w:t>tilit</w:t>
      </w:r>
      <w:r w:rsidR="00A31DD3">
        <w:rPr>
          <w:rFonts w:ascii="Times New Roman" w:eastAsia="Times New Roman" w:hAnsi="Times New Roman" w:cs="Times New Roman"/>
          <w:sz w:val="26"/>
          <w:szCs w:val="26"/>
          <w:u w:val="single"/>
        </w:rPr>
        <w:t>y</w:t>
      </w:r>
      <w:r w:rsidRPr="00E80EAF">
        <w:rPr>
          <w:rFonts w:ascii="Times New Roman" w:eastAsia="Times New Roman" w:hAnsi="Times New Roman" w:cs="Times New Roman"/>
          <w:sz w:val="26"/>
          <w:szCs w:val="26"/>
          <w:u w:val="single"/>
        </w:rPr>
        <w:t xml:space="preserve"> should clearly explain the </w:t>
      </w:r>
      <w:r w:rsidR="00675507">
        <w:rPr>
          <w:rFonts w:ascii="Times New Roman" w:eastAsia="Times New Roman" w:hAnsi="Times New Roman" w:cs="Times New Roman"/>
          <w:sz w:val="26"/>
          <w:szCs w:val="26"/>
          <w:u w:val="single"/>
        </w:rPr>
        <w:t xml:space="preserve">identification </w:t>
      </w:r>
      <w:r w:rsidRPr="00E80EAF">
        <w:rPr>
          <w:rFonts w:ascii="Times New Roman" w:eastAsia="Times New Roman" w:hAnsi="Times New Roman" w:cs="Times New Roman"/>
          <w:sz w:val="26"/>
          <w:szCs w:val="26"/>
          <w:u w:val="single"/>
        </w:rPr>
        <w:t>options on CAP applications and other communications.</w:t>
      </w:r>
    </w:p>
    <w:p w14:paraId="7B432BF6" w14:textId="77777777" w:rsidR="003F4CB9"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(B)   The annual household income. </w:t>
      </w:r>
    </w:p>
    <w:p w14:paraId="5AFA8256" w14:textId="0569BE9F" w:rsidR="003F4CB9" w:rsidRDefault="003F4CB9" w:rsidP="003F4CB9">
      <w:pPr>
        <w:pStyle w:val="NormalWeb"/>
        <w:tabs>
          <w:tab w:val="left" w:pos="360"/>
          <w:tab w:val="left" w:pos="720"/>
          <w:tab w:val="left" w:pos="1080"/>
        </w:tabs>
        <w:rPr>
          <w:sz w:val="26"/>
          <w:szCs w:val="26"/>
          <w:u w:val="single"/>
        </w:rPr>
      </w:pPr>
      <w:r w:rsidRPr="00176D3A">
        <w:rPr>
          <w:sz w:val="26"/>
          <w:szCs w:val="26"/>
        </w:rPr>
        <w:t>         </w:t>
      </w:r>
      <w:r w:rsidR="00A31DD3" w:rsidRPr="00176D3A">
        <w:rPr>
          <w:sz w:val="26"/>
          <w:szCs w:val="26"/>
        </w:rPr>
        <w:t>  </w:t>
      </w:r>
      <w:r w:rsidRPr="00A007B9">
        <w:rPr>
          <w:sz w:val="26"/>
          <w:szCs w:val="26"/>
          <w:u w:val="single"/>
        </w:rPr>
        <w:t>(</w:t>
      </w:r>
      <w:r>
        <w:rPr>
          <w:sz w:val="26"/>
          <w:szCs w:val="26"/>
          <w:u w:val="single"/>
        </w:rPr>
        <w:t>I</w:t>
      </w:r>
      <w:r w:rsidRPr="00A007B9">
        <w:rPr>
          <w:sz w:val="26"/>
          <w:szCs w:val="26"/>
          <w:u w:val="single"/>
        </w:rPr>
        <w:t xml:space="preserve">) </w:t>
      </w:r>
      <w:r w:rsidR="00A31DD3">
        <w:rPr>
          <w:sz w:val="26"/>
          <w:szCs w:val="26"/>
          <w:u w:val="single"/>
        </w:rPr>
        <w:t>The u</w:t>
      </w:r>
      <w:r>
        <w:rPr>
          <w:sz w:val="26"/>
          <w:szCs w:val="26"/>
          <w:u w:val="single"/>
        </w:rPr>
        <w:t>tilit</w:t>
      </w:r>
      <w:r w:rsidR="00A31DD3">
        <w:rPr>
          <w:sz w:val="26"/>
          <w:szCs w:val="26"/>
          <w:u w:val="single"/>
        </w:rPr>
        <w:t>y</w:t>
      </w:r>
      <w:r w:rsidRPr="00A007B9">
        <w:rPr>
          <w:sz w:val="26"/>
          <w:szCs w:val="26"/>
          <w:u w:val="single"/>
        </w:rPr>
        <w:t xml:space="preserve"> should accept income documentation of at least the last 30 days or 12</w:t>
      </w:r>
      <w:r>
        <w:rPr>
          <w:sz w:val="26"/>
          <w:szCs w:val="26"/>
          <w:u w:val="single"/>
        </w:rPr>
        <w:t> </w:t>
      </w:r>
      <w:r w:rsidRPr="00A007B9">
        <w:rPr>
          <w:sz w:val="26"/>
          <w:szCs w:val="26"/>
          <w:u w:val="single"/>
        </w:rPr>
        <w:t>months, whichever is more beneficial to the household.</w:t>
      </w:r>
      <w:r>
        <w:rPr>
          <w:sz w:val="26"/>
          <w:szCs w:val="26"/>
          <w:u w:val="single"/>
        </w:rPr>
        <w:t xml:space="preserve"> </w:t>
      </w:r>
      <w:r w:rsidRPr="00E80EAF">
        <w:rPr>
          <w:sz w:val="26"/>
          <w:szCs w:val="26"/>
          <w:u w:val="single"/>
        </w:rPr>
        <w:t xml:space="preserve">CAP applications and recertification letters should identify acceptable </w:t>
      </w:r>
      <w:r w:rsidR="00675507">
        <w:rPr>
          <w:sz w:val="26"/>
          <w:szCs w:val="26"/>
          <w:u w:val="single"/>
        </w:rPr>
        <w:t xml:space="preserve">income </w:t>
      </w:r>
      <w:r w:rsidRPr="00E80EAF">
        <w:rPr>
          <w:sz w:val="26"/>
          <w:szCs w:val="26"/>
          <w:u w:val="single"/>
        </w:rPr>
        <w:t xml:space="preserve">timeframes and explain how each may benefit </w:t>
      </w:r>
      <w:r>
        <w:rPr>
          <w:sz w:val="26"/>
          <w:szCs w:val="26"/>
          <w:u w:val="single"/>
        </w:rPr>
        <w:t>the</w:t>
      </w:r>
      <w:r w:rsidRPr="00E80EAF">
        <w:rPr>
          <w:sz w:val="26"/>
          <w:szCs w:val="26"/>
          <w:u w:val="single"/>
        </w:rPr>
        <w:t xml:space="preserve"> customer.</w:t>
      </w:r>
    </w:p>
    <w:p w14:paraId="576714C0" w14:textId="6F50780B" w:rsidR="003F4CB9" w:rsidRPr="00173B5C" w:rsidRDefault="003F4CB9" w:rsidP="003F4CB9">
      <w:pPr>
        <w:pStyle w:val="NormalWeb"/>
        <w:tabs>
          <w:tab w:val="left" w:pos="360"/>
          <w:tab w:val="left" w:pos="720"/>
          <w:tab w:val="left" w:pos="1080"/>
        </w:tabs>
        <w:rPr>
          <w:sz w:val="26"/>
          <w:szCs w:val="26"/>
        </w:rPr>
      </w:pPr>
      <w:r w:rsidRPr="00176D3A">
        <w:rPr>
          <w:sz w:val="26"/>
          <w:szCs w:val="26"/>
        </w:rPr>
        <w:t>         </w:t>
      </w:r>
      <w:r w:rsidR="00A31DD3" w:rsidRPr="00176D3A">
        <w:rPr>
          <w:sz w:val="26"/>
          <w:szCs w:val="26"/>
        </w:rPr>
        <w:t>  </w:t>
      </w:r>
      <w:r>
        <w:rPr>
          <w:sz w:val="26"/>
          <w:szCs w:val="26"/>
          <w:u w:val="single"/>
        </w:rPr>
        <w:t xml:space="preserve">(II) A household reporting zero income should complete the standardized zero-income form and provide additional verification, if necessary.  </w:t>
      </w:r>
    </w:p>
    <w:p w14:paraId="2893FF17" w14:textId="25844E1E"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(C)   The </w:t>
      </w:r>
      <w:r w:rsidR="00466537">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family</w:t>
      </w:r>
      <w:r w:rsidR="00466537">
        <w:rPr>
          <w:rFonts w:ascii="Times New Roman" w:eastAsia="Times New Roman" w:hAnsi="Times New Roman" w:cs="Times New Roman"/>
          <w:sz w:val="26"/>
          <w:szCs w:val="26"/>
        </w:rPr>
        <w:t>]</w:t>
      </w:r>
      <w:r w:rsidR="00466537">
        <w:rPr>
          <w:rFonts w:ascii="Times New Roman" w:eastAsia="Times New Roman" w:hAnsi="Times New Roman" w:cs="Times New Roman"/>
          <w:sz w:val="26"/>
          <w:szCs w:val="26"/>
          <w:u w:val="single"/>
        </w:rPr>
        <w:t>household</w:t>
      </w:r>
      <w:r w:rsidRPr="00E21B7F">
        <w:rPr>
          <w:rFonts w:ascii="Times New Roman" w:eastAsia="Times New Roman" w:hAnsi="Times New Roman" w:cs="Times New Roman"/>
          <w:sz w:val="26"/>
          <w:szCs w:val="26"/>
        </w:rPr>
        <w:t xml:space="preserve"> size. </w:t>
      </w:r>
    </w:p>
    <w:p w14:paraId="50ADDA10"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(D)   The ratepayer status. </w:t>
      </w:r>
    </w:p>
    <w:p w14:paraId="3893874E"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(E)   The class of service—heating or nonheating. </w:t>
      </w:r>
    </w:p>
    <w:p w14:paraId="0EBA9FF8" w14:textId="2A46EBB5"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(iii)   </w:t>
      </w:r>
      <w:r w:rsidRPr="00E21B7F">
        <w:rPr>
          <w:rFonts w:ascii="Times New Roman" w:eastAsia="Times New Roman" w:hAnsi="Times New Roman" w:cs="Times New Roman"/>
          <w:i/>
          <w:iCs/>
          <w:sz w:val="26"/>
          <w:szCs w:val="26"/>
        </w:rPr>
        <w:t>Calculation of payment.</w:t>
      </w:r>
      <w:r w:rsidRPr="00E21B7F">
        <w:rPr>
          <w:rFonts w:ascii="Times New Roman" w:eastAsia="Times New Roman" w:hAnsi="Times New Roman" w:cs="Times New Roman"/>
          <w:sz w:val="26"/>
          <w:szCs w:val="26"/>
        </w:rPr>
        <w:t xml:space="preserve"> Calculation of the monthly CAP payment should be the responsibility of the utility. The utility may develop a payment chart so that the assisting </w:t>
      </w:r>
      <w:r w:rsidR="00A31DD3">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community-based organizations</w:t>
      </w:r>
      <w:r w:rsidR="00A31DD3">
        <w:rPr>
          <w:rFonts w:ascii="Times New Roman" w:eastAsia="Times New Roman" w:hAnsi="Times New Roman" w:cs="Times New Roman"/>
          <w:sz w:val="26"/>
          <w:szCs w:val="26"/>
        </w:rPr>
        <w:t xml:space="preserve">] </w:t>
      </w:r>
      <w:r w:rsidR="00A31DD3">
        <w:rPr>
          <w:rFonts w:ascii="Times New Roman" w:eastAsia="Times New Roman" w:hAnsi="Times New Roman" w:cs="Times New Roman"/>
          <w:sz w:val="26"/>
          <w:szCs w:val="26"/>
          <w:u w:val="single"/>
        </w:rPr>
        <w:t>CBOs</w:t>
      </w:r>
      <w:r w:rsidRPr="00E21B7F">
        <w:rPr>
          <w:rFonts w:ascii="Times New Roman" w:eastAsia="Times New Roman" w:hAnsi="Times New Roman" w:cs="Times New Roman"/>
          <w:sz w:val="26"/>
          <w:szCs w:val="26"/>
        </w:rPr>
        <w:t xml:space="preserve"> may determine payment amounts during the intake interview. </w:t>
      </w:r>
    </w:p>
    <w:p w14:paraId="28979E66"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(iv)   </w:t>
      </w:r>
      <w:r w:rsidRPr="00E21B7F">
        <w:rPr>
          <w:rFonts w:ascii="Times New Roman" w:eastAsia="Times New Roman" w:hAnsi="Times New Roman" w:cs="Times New Roman"/>
          <w:i/>
          <w:iCs/>
          <w:sz w:val="26"/>
          <w:szCs w:val="26"/>
        </w:rPr>
        <w:t>Explanation of CAP.</w:t>
      </w:r>
      <w:r w:rsidRPr="00E21B7F">
        <w:rPr>
          <w:rFonts w:ascii="Times New Roman" w:eastAsia="Times New Roman" w:hAnsi="Times New Roman" w:cs="Times New Roman"/>
          <w:sz w:val="26"/>
          <w:szCs w:val="26"/>
        </w:rPr>
        <w:t xml:space="preserve"> A complete and thorough explanation of the CAP components should be provided to participants. </w:t>
      </w:r>
    </w:p>
    <w:p w14:paraId="5BA47676" w14:textId="49AEF2F4" w:rsidR="003F4CB9" w:rsidRPr="003D23D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(v)   </w:t>
      </w:r>
      <w:r w:rsidRPr="00E21B7F">
        <w:rPr>
          <w:rFonts w:ascii="Times New Roman" w:eastAsia="Times New Roman" w:hAnsi="Times New Roman" w:cs="Times New Roman"/>
          <w:i/>
          <w:iCs/>
          <w:sz w:val="26"/>
          <w:szCs w:val="26"/>
        </w:rPr>
        <w:t>Application for LIHEAP grants.</w:t>
      </w:r>
      <w:r w:rsidRPr="00E21B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An application for LIHEAP grants, to the extent that is available, should be completed during the intake interview</w:t>
      </w:r>
      <w:r w:rsidRPr="003D23DF">
        <w:rPr>
          <w:rFonts w:ascii="Times New Roman" w:eastAsia="Times New Roman" w:hAnsi="Times New Roman" w:cs="Times New Roman"/>
          <w:sz w:val="26"/>
          <w:szCs w:val="26"/>
        </w:rPr>
        <w:t xml:space="preserve">.] </w:t>
      </w:r>
      <w:r w:rsidR="00A31DD3">
        <w:rPr>
          <w:rFonts w:ascii="Times New Roman" w:eastAsia="Times New Roman" w:hAnsi="Times New Roman" w:cs="Times New Roman"/>
          <w:sz w:val="26"/>
          <w:szCs w:val="26"/>
          <w:u w:val="single"/>
        </w:rPr>
        <w:t>The u</w:t>
      </w:r>
      <w:r w:rsidRPr="00D74F10">
        <w:rPr>
          <w:rFonts w:ascii="Times New Roman" w:eastAsia="Times New Roman" w:hAnsi="Times New Roman" w:cs="Times New Roman"/>
          <w:sz w:val="26"/>
          <w:szCs w:val="26"/>
          <w:u w:val="single"/>
        </w:rPr>
        <w:t>tilit</w:t>
      </w:r>
      <w:r w:rsidR="00A31DD3">
        <w:rPr>
          <w:rFonts w:ascii="Times New Roman" w:eastAsia="Times New Roman" w:hAnsi="Times New Roman" w:cs="Times New Roman"/>
          <w:sz w:val="26"/>
          <w:szCs w:val="26"/>
          <w:u w:val="single"/>
        </w:rPr>
        <w:t>y</w:t>
      </w:r>
      <w:r w:rsidRPr="00D74F10">
        <w:rPr>
          <w:rFonts w:ascii="Times New Roman" w:eastAsia="Times New Roman" w:hAnsi="Times New Roman" w:cs="Times New Roman"/>
          <w:sz w:val="26"/>
          <w:szCs w:val="26"/>
          <w:u w:val="single"/>
        </w:rPr>
        <w:t xml:space="preserve"> should </w:t>
      </w:r>
      <w:r>
        <w:rPr>
          <w:rFonts w:ascii="Times New Roman" w:eastAsia="Times New Roman" w:hAnsi="Times New Roman" w:cs="Times New Roman"/>
          <w:sz w:val="26"/>
          <w:szCs w:val="26"/>
          <w:u w:val="single"/>
        </w:rPr>
        <w:t>inform</w:t>
      </w:r>
      <w:r w:rsidRPr="00D74F10">
        <w:rPr>
          <w:rFonts w:ascii="Times New Roman" w:eastAsia="Times New Roman" w:hAnsi="Times New Roman" w:cs="Times New Roman"/>
          <w:sz w:val="26"/>
          <w:szCs w:val="26"/>
          <w:u w:val="single"/>
        </w:rPr>
        <w:t xml:space="preserve"> </w:t>
      </w:r>
      <w:r w:rsidR="00CE58B8">
        <w:rPr>
          <w:rFonts w:ascii="Times New Roman" w:eastAsia="Times New Roman" w:hAnsi="Times New Roman" w:cs="Times New Roman"/>
          <w:sz w:val="26"/>
          <w:szCs w:val="26"/>
          <w:u w:val="single"/>
        </w:rPr>
        <w:t xml:space="preserve">a </w:t>
      </w:r>
      <w:r w:rsidRPr="003D23DF">
        <w:rPr>
          <w:rFonts w:ascii="Times New Roman" w:hAnsi="Times New Roman" w:cs="Times New Roman"/>
          <w:sz w:val="26"/>
          <w:szCs w:val="26"/>
          <w:u w:val="single"/>
        </w:rPr>
        <w:t xml:space="preserve">CAP </w:t>
      </w:r>
      <w:r w:rsidR="00CE58B8">
        <w:rPr>
          <w:rFonts w:ascii="Times New Roman" w:hAnsi="Times New Roman" w:cs="Times New Roman"/>
          <w:sz w:val="26"/>
          <w:szCs w:val="26"/>
          <w:u w:val="single"/>
        </w:rPr>
        <w:t>participant</w:t>
      </w:r>
      <w:r w:rsidR="00CE58B8" w:rsidRPr="003D23DF">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of </w:t>
      </w:r>
      <w:r w:rsidR="003A4B7A">
        <w:rPr>
          <w:rFonts w:ascii="Times New Roman" w:hAnsi="Times New Roman" w:cs="Times New Roman"/>
          <w:sz w:val="26"/>
          <w:szCs w:val="26"/>
          <w:u w:val="single"/>
        </w:rPr>
        <w:t xml:space="preserve">the participant’s </w:t>
      </w:r>
      <w:r>
        <w:rPr>
          <w:rFonts w:ascii="Times New Roman" w:hAnsi="Times New Roman" w:cs="Times New Roman"/>
          <w:sz w:val="26"/>
          <w:szCs w:val="26"/>
          <w:u w:val="single"/>
        </w:rPr>
        <w:t xml:space="preserve">responsibility to </w:t>
      </w:r>
      <w:r w:rsidRPr="003D23DF">
        <w:rPr>
          <w:rFonts w:ascii="Times New Roman" w:hAnsi="Times New Roman" w:cs="Times New Roman"/>
          <w:sz w:val="26"/>
          <w:szCs w:val="26"/>
          <w:u w:val="single"/>
        </w:rPr>
        <w:t xml:space="preserve">apply for LIHEAP grants annually, </w:t>
      </w:r>
      <w:r>
        <w:rPr>
          <w:rFonts w:ascii="Times New Roman" w:hAnsi="Times New Roman" w:cs="Times New Roman"/>
          <w:sz w:val="26"/>
          <w:szCs w:val="26"/>
          <w:u w:val="single"/>
        </w:rPr>
        <w:t xml:space="preserve">as well as other energy assistance programs, </w:t>
      </w:r>
      <w:r w:rsidRPr="003D23DF">
        <w:rPr>
          <w:rFonts w:ascii="Times New Roman" w:hAnsi="Times New Roman" w:cs="Times New Roman"/>
          <w:sz w:val="26"/>
          <w:szCs w:val="26"/>
          <w:u w:val="single"/>
        </w:rPr>
        <w:t>if eligible.</w:t>
      </w:r>
      <w:r w:rsidRPr="003D23DF">
        <w:rPr>
          <w:rFonts w:ascii="Times New Roman" w:eastAsia="Times New Roman" w:hAnsi="Times New Roman" w:cs="Times New Roman"/>
          <w:sz w:val="26"/>
          <w:szCs w:val="26"/>
        </w:rPr>
        <w:t xml:space="preserve"> </w:t>
      </w:r>
    </w:p>
    <w:p w14:paraId="555BA5AC" w14:textId="11298E44" w:rsidR="00CC2D20"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(vi)   </w:t>
      </w:r>
      <w:r w:rsidRPr="00E21B7F">
        <w:rPr>
          <w:rFonts w:ascii="Times New Roman" w:eastAsia="Times New Roman" w:hAnsi="Times New Roman" w:cs="Times New Roman"/>
          <w:i/>
          <w:iCs/>
          <w:sz w:val="26"/>
          <w:szCs w:val="26"/>
        </w:rPr>
        <w:t>Consumer</w:t>
      </w:r>
      <w:r w:rsidR="00A64CD9">
        <w:rPr>
          <w:rFonts w:ascii="Times New Roman" w:eastAsia="Times New Roman" w:hAnsi="Times New Roman" w:cs="Times New Roman"/>
          <w:i/>
          <w:iCs/>
          <w:sz w:val="26"/>
          <w:szCs w:val="26"/>
        </w:rPr>
        <w:t xml:space="preserve"> </w:t>
      </w:r>
      <w:r w:rsidRPr="00E21B7F">
        <w:rPr>
          <w:rFonts w:ascii="Times New Roman" w:eastAsia="Times New Roman" w:hAnsi="Times New Roman" w:cs="Times New Roman"/>
          <w:i/>
          <w:iCs/>
          <w:sz w:val="26"/>
          <w:szCs w:val="26"/>
        </w:rPr>
        <w:t>education</w:t>
      </w:r>
      <w:r w:rsidR="00A64CD9">
        <w:rPr>
          <w:rFonts w:ascii="Times New Roman" w:eastAsia="Times New Roman" w:hAnsi="Times New Roman" w:cs="Times New Roman"/>
          <w:i/>
          <w:iCs/>
          <w:sz w:val="26"/>
          <w:szCs w:val="26"/>
        </w:rPr>
        <w:t>, outreach</w:t>
      </w:r>
      <w:r w:rsidRPr="00E21B7F">
        <w:rPr>
          <w:rFonts w:ascii="Times New Roman" w:eastAsia="Times New Roman" w:hAnsi="Times New Roman" w:cs="Times New Roman"/>
          <w:i/>
          <w:iCs/>
          <w:sz w:val="26"/>
          <w:szCs w:val="26"/>
        </w:rPr>
        <w:t xml:space="preserve"> and referral.</w:t>
      </w:r>
      <w:r w:rsidRPr="00E21B7F">
        <w:rPr>
          <w:rFonts w:ascii="Times New Roman" w:eastAsia="Times New Roman" w:hAnsi="Times New Roman" w:cs="Times New Roman"/>
          <w:sz w:val="26"/>
          <w:szCs w:val="26"/>
        </w:rPr>
        <w:t xml:space="preserve"> </w:t>
      </w:r>
    </w:p>
    <w:p w14:paraId="045CBFEF" w14:textId="357C012F" w:rsidR="00785E50" w:rsidRDefault="00CC2D20"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sidRPr="0004771D">
        <w:rPr>
          <w:rFonts w:ascii="Times New Roman" w:eastAsia="Times New Roman" w:hAnsi="Times New Roman" w:cs="Times New Roman"/>
          <w:sz w:val="26"/>
          <w:szCs w:val="26"/>
          <w:u w:val="single"/>
        </w:rPr>
        <w:t>(A)</w:t>
      </w:r>
      <w:r>
        <w:rPr>
          <w:rFonts w:ascii="Times New Roman" w:eastAsia="Times New Roman" w:hAnsi="Times New Roman" w:cs="Times New Roman"/>
          <w:sz w:val="26"/>
          <w:szCs w:val="26"/>
        </w:rPr>
        <w:t>   </w:t>
      </w:r>
      <w:r w:rsidR="00F33C6D">
        <w:rPr>
          <w:rFonts w:ascii="Times New Roman" w:eastAsia="Times New Roman" w:hAnsi="Times New Roman" w:cs="Times New Roman"/>
          <w:sz w:val="26"/>
          <w:szCs w:val="26"/>
        </w:rPr>
        <w:t>[</w:t>
      </w:r>
      <w:r w:rsidR="003F4CB9" w:rsidRPr="00E21B7F">
        <w:rPr>
          <w:rFonts w:ascii="Times New Roman" w:eastAsia="Times New Roman" w:hAnsi="Times New Roman" w:cs="Times New Roman"/>
          <w:sz w:val="26"/>
          <w:szCs w:val="26"/>
        </w:rPr>
        <w:t>CAP consumer education programs</w:t>
      </w:r>
      <w:r w:rsidR="00681723">
        <w:rPr>
          <w:rFonts w:ascii="Times New Roman" w:eastAsia="Times New Roman" w:hAnsi="Times New Roman" w:cs="Times New Roman"/>
          <w:sz w:val="26"/>
          <w:szCs w:val="26"/>
        </w:rPr>
        <w:t>]</w:t>
      </w:r>
      <w:r w:rsidR="00BC7B85" w:rsidRPr="0077643E">
        <w:rPr>
          <w:rFonts w:ascii="Times New Roman" w:eastAsia="Times New Roman" w:hAnsi="Times New Roman" w:cs="Times New Roman"/>
          <w:sz w:val="26"/>
          <w:szCs w:val="26"/>
          <w:u w:val="single"/>
        </w:rPr>
        <w:t>C</w:t>
      </w:r>
      <w:r w:rsidR="00BC7B85">
        <w:rPr>
          <w:rFonts w:ascii="Times New Roman" w:eastAsia="Times New Roman" w:hAnsi="Times New Roman" w:cs="Times New Roman"/>
          <w:sz w:val="26"/>
          <w:szCs w:val="26"/>
          <w:u w:val="single"/>
        </w:rPr>
        <w:t>onsu</w:t>
      </w:r>
      <w:r w:rsidR="00BC7B85" w:rsidRPr="0077643E">
        <w:rPr>
          <w:rFonts w:ascii="Times New Roman" w:eastAsia="Times New Roman" w:hAnsi="Times New Roman" w:cs="Times New Roman"/>
          <w:sz w:val="26"/>
          <w:szCs w:val="26"/>
          <w:u w:val="single"/>
        </w:rPr>
        <w:t xml:space="preserve">mer </w:t>
      </w:r>
      <w:r w:rsidR="00BC7B85">
        <w:rPr>
          <w:rFonts w:ascii="Times New Roman" w:eastAsia="Times New Roman" w:hAnsi="Times New Roman" w:cs="Times New Roman"/>
          <w:sz w:val="26"/>
          <w:szCs w:val="26"/>
          <w:u w:val="single"/>
        </w:rPr>
        <w:t xml:space="preserve">education and </w:t>
      </w:r>
      <w:r w:rsidR="00944509">
        <w:rPr>
          <w:rFonts w:ascii="Times New Roman" w:eastAsia="Times New Roman" w:hAnsi="Times New Roman" w:cs="Times New Roman"/>
          <w:sz w:val="26"/>
          <w:szCs w:val="26"/>
          <w:u w:val="single"/>
        </w:rPr>
        <w:t>outreach</w:t>
      </w:r>
      <w:r w:rsidR="00944509" w:rsidRPr="0077643E">
        <w:rPr>
          <w:rFonts w:ascii="Times New Roman" w:eastAsia="Times New Roman" w:hAnsi="Times New Roman" w:cs="Times New Roman"/>
          <w:sz w:val="26"/>
          <w:szCs w:val="26"/>
          <w:u w:val="single"/>
        </w:rPr>
        <w:t xml:space="preserve"> plans</w:t>
      </w:r>
      <w:r w:rsidR="00944509">
        <w:rPr>
          <w:rFonts w:ascii="Times New Roman" w:eastAsia="Times New Roman" w:hAnsi="Times New Roman" w:cs="Times New Roman"/>
          <w:sz w:val="26"/>
          <w:szCs w:val="26"/>
          <w:u w:val="single"/>
        </w:rPr>
        <w:t xml:space="preserve"> </w:t>
      </w:r>
      <w:r w:rsidR="003F4CB9" w:rsidRPr="00E21B7F">
        <w:rPr>
          <w:rFonts w:ascii="Times New Roman" w:eastAsia="Times New Roman" w:hAnsi="Times New Roman" w:cs="Times New Roman"/>
          <w:sz w:val="26"/>
          <w:szCs w:val="26"/>
        </w:rPr>
        <w:t xml:space="preserve">should include information on benefits and responsibilities of CAP participation and the importance of energy conservation. </w:t>
      </w:r>
    </w:p>
    <w:p w14:paraId="59AD4AD4" w14:textId="5FB5958F" w:rsidR="00785E50" w:rsidRDefault="00785E50" w:rsidP="003F4CB9">
      <w:pPr>
        <w:spacing w:before="100" w:beforeAutospacing="1" w:after="100" w:afterAutospacing="1" w:line="240" w:lineRule="auto"/>
        <w:rPr>
          <w:rFonts w:ascii="Times New Roman" w:hAnsi="Times New Roman" w:cs="Times New Roman"/>
          <w:sz w:val="26"/>
          <w:szCs w:val="26"/>
          <w:u w:val="single"/>
        </w:rPr>
      </w:pPr>
      <w:r w:rsidRPr="00E21B7F">
        <w:rPr>
          <w:rFonts w:ascii="Times New Roman" w:eastAsia="Times New Roman" w:hAnsi="Times New Roman" w:cs="Times New Roman"/>
          <w:sz w:val="26"/>
          <w:szCs w:val="26"/>
        </w:rPr>
        <w:t>       </w:t>
      </w:r>
      <w:r w:rsidRPr="00397753">
        <w:rPr>
          <w:rFonts w:ascii="Times New Roman" w:eastAsia="Times New Roman" w:hAnsi="Times New Roman" w:cs="Times New Roman"/>
          <w:sz w:val="26"/>
          <w:szCs w:val="26"/>
          <w:u w:val="single"/>
        </w:rPr>
        <w:t>(</w:t>
      </w:r>
      <w:r>
        <w:rPr>
          <w:rFonts w:ascii="Times New Roman" w:eastAsia="Times New Roman" w:hAnsi="Times New Roman" w:cs="Times New Roman"/>
          <w:sz w:val="26"/>
          <w:szCs w:val="26"/>
          <w:u w:val="single"/>
        </w:rPr>
        <w:t>B</w:t>
      </w:r>
      <w:r w:rsidRPr="00785E50">
        <w:rPr>
          <w:rFonts w:ascii="Times New Roman" w:eastAsia="Times New Roman" w:hAnsi="Times New Roman" w:cs="Times New Roman"/>
          <w:sz w:val="26"/>
          <w:szCs w:val="26"/>
          <w:u w:val="single"/>
        </w:rPr>
        <w:t>)</w:t>
      </w:r>
      <w:r w:rsidRPr="0004771D">
        <w:rPr>
          <w:rFonts w:ascii="Times New Roman" w:eastAsia="Times New Roman" w:hAnsi="Times New Roman" w:cs="Times New Roman"/>
          <w:sz w:val="26"/>
          <w:szCs w:val="26"/>
          <w:u w:val="single"/>
        </w:rPr>
        <w:t>   </w:t>
      </w:r>
      <w:r w:rsidR="00B15129" w:rsidRPr="0077643E">
        <w:rPr>
          <w:rFonts w:ascii="Times New Roman" w:eastAsia="Times New Roman" w:hAnsi="Times New Roman" w:cs="Times New Roman"/>
          <w:sz w:val="26"/>
          <w:szCs w:val="26"/>
          <w:u w:val="single"/>
        </w:rPr>
        <w:t>C</w:t>
      </w:r>
      <w:r w:rsidR="00B15129">
        <w:rPr>
          <w:rFonts w:ascii="Times New Roman" w:eastAsia="Times New Roman" w:hAnsi="Times New Roman" w:cs="Times New Roman"/>
          <w:sz w:val="26"/>
          <w:szCs w:val="26"/>
          <w:u w:val="single"/>
        </w:rPr>
        <w:t>onsu</w:t>
      </w:r>
      <w:r w:rsidR="00B15129" w:rsidRPr="0077643E">
        <w:rPr>
          <w:rFonts w:ascii="Times New Roman" w:eastAsia="Times New Roman" w:hAnsi="Times New Roman" w:cs="Times New Roman"/>
          <w:sz w:val="26"/>
          <w:szCs w:val="26"/>
          <w:u w:val="single"/>
        </w:rPr>
        <w:t xml:space="preserve">mer </w:t>
      </w:r>
      <w:r w:rsidR="00B15129">
        <w:rPr>
          <w:rFonts w:ascii="Times New Roman" w:eastAsia="Times New Roman" w:hAnsi="Times New Roman" w:cs="Times New Roman"/>
          <w:sz w:val="26"/>
          <w:szCs w:val="26"/>
          <w:u w:val="single"/>
        </w:rPr>
        <w:t xml:space="preserve">education and </w:t>
      </w:r>
      <w:r w:rsidR="00C73BA3">
        <w:rPr>
          <w:rFonts w:ascii="Times New Roman" w:eastAsia="Times New Roman" w:hAnsi="Times New Roman" w:cs="Times New Roman"/>
          <w:sz w:val="26"/>
          <w:szCs w:val="26"/>
          <w:u w:val="single"/>
        </w:rPr>
        <w:t xml:space="preserve">outreach </w:t>
      </w:r>
      <w:r w:rsidR="00D47DDF" w:rsidRPr="00BC2C11">
        <w:rPr>
          <w:rFonts w:ascii="Times New Roman" w:eastAsia="Times New Roman" w:hAnsi="Times New Roman" w:cs="Times New Roman"/>
          <w:sz w:val="26"/>
          <w:szCs w:val="26"/>
          <w:u w:val="single"/>
        </w:rPr>
        <w:t>plans</w:t>
      </w:r>
      <w:r w:rsidR="00D47DDF" w:rsidRPr="00BC2C11">
        <w:rPr>
          <w:rFonts w:ascii="Times New Roman" w:hAnsi="Times New Roman" w:cs="Times New Roman"/>
          <w:sz w:val="26"/>
          <w:szCs w:val="26"/>
          <w:u w:val="single"/>
        </w:rPr>
        <w:t xml:space="preserve"> should </w:t>
      </w:r>
      <w:r w:rsidR="00D47DDF">
        <w:rPr>
          <w:rFonts w:ascii="Times New Roman" w:hAnsi="Times New Roman" w:cs="Times New Roman"/>
          <w:sz w:val="26"/>
          <w:szCs w:val="26"/>
          <w:u w:val="single"/>
        </w:rPr>
        <w:t>be developed with input from USAC</w:t>
      </w:r>
      <w:r w:rsidR="005965F2">
        <w:rPr>
          <w:rFonts w:ascii="Times New Roman" w:hAnsi="Times New Roman" w:cs="Times New Roman"/>
          <w:sz w:val="26"/>
          <w:szCs w:val="26"/>
          <w:u w:val="single"/>
        </w:rPr>
        <w:t xml:space="preserve">s and </w:t>
      </w:r>
      <w:r w:rsidR="00D47DDF" w:rsidRPr="00BC2C11">
        <w:rPr>
          <w:rFonts w:ascii="Times New Roman" w:hAnsi="Times New Roman" w:cs="Times New Roman"/>
          <w:sz w:val="26"/>
          <w:szCs w:val="26"/>
          <w:u w:val="single"/>
        </w:rPr>
        <w:t xml:space="preserve">reflect focused </w:t>
      </w:r>
      <w:r w:rsidR="00C73BA3">
        <w:rPr>
          <w:rFonts w:ascii="Times New Roman" w:hAnsi="Times New Roman" w:cs="Times New Roman"/>
          <w:sz w:val="26"/>
          <w:szCs w:val="26"/>
          <w:u w:val="single"/>
        </w:rPr>
        <w:t>outreach and education</w:t>
      </w:r>
      <w:r w:rsidR="00D47DDF" w:rsidRPr="00BC2C11">
        <w:rPr>
          <w:rFonts w:ascii="Times New Roman" w:hAnsi="Times New Roman" w:cs="Times New Roman"/>
          <w:sz w:val="26"/>
          <w:szCs w:val="26"/>
          <w:u w:val="single"/>
        </w:rPr>
        <w:t xml:space="preserve"> effort</w:t>
      </w:r>
      <w:r w:rsidR="00FF6E5B">
        <w:rPr>
          <w:rFonts w:ascii="Times New Roman" w:hAnsi="Times New Roman" w:cs="Times New Roman"/>
          <w:sz w:val="26"/>
          <w:szCs w:val="26"/>
          <w:u w:val="single"/>
        </w:rPr>
        <w:t>s</w:t>
      </w:r>
      <w:r w:rsidR="00D47DDF" w:rsidRPr="00BC2C11">
        <w:rPr>
          <w:rFonts w:ascii="Times New Roman" w:hAnsi="Times New Roman" w:cs="Times New Roman"/>
          <w:sz w:val="26"/>
          <w:szCs w:val="26"/>
          <w:u w:val="single"/>
        </w:rPr>
        <w:t xml:space="preserve">, specific to the demographics of the individual service territory, spanning the duration of the universal service plan period.  </w:t>
      </w:r>
      <w:r w:rsidR="00D47DDF" w:rsidRPr="00511899">
        <w:rPr>
          <w:rFonts w:ascii="Times New Roman" w:hAnsi="Times New Roman" w:cs="Times New Roman"/>
          <w:sz w:val="26"/>
          <w:szCs w:val="26"/>
          <w:u w:val="single"/>
        </w:rPr>
        <w:t>T</w:t>
      </w:r>
      <w:r w:rsidR="00D47DDF" w:rsidRPr="00CC6AB4">
        <w:rPr>
          <w:rFonts w:ascii="Times New Roman" w:hAnsi="Times New Roman" w:cs="Times New Roman"/>
          <w:sz w:val="26"/>
          <w:szCs w:val="26"/>
          <w:u w:val="single"/>
        </w:rPr>
        <w:t>he</w:t>
      </w:r>
      <w:r w:rsidR="00D47DDF" w:rsidRPr="0006143C">
        <w:rPr>
          <w:rFonts w:ascii="Times New Roman" w:hAnsi="Times New Roman" w:cs="Times New Roman"/>
          <w:sz w:val="26"/>
          <w:szCs w:val="26"/>
          <w:u w:val="single"/>
        </w:rPr>
        <w:t xml:space="preserve"> </w:t>
      </w:r>
      <w:r>
        <w:rPr>
          <w:rFonts w:ascii="Times New Roman" w:hAnsi="Times New Roman" w:cs="Times New Roman"/>
          <w:sz w:val="26"/>
          <w:szCs w:val="26"/>
          <w:u w:val="single"/>
        </w:rPr>
        <w:t>utility</w:t>
      </w:r>
      <w:r w:rsidR="00D47DDF" w:rsidRPr="00BC2C11">
        <w:rPr>
          <w:rFonts w:ascii="Times New Roman" w:hAnsi="Times New Roman" w:cs="Times New Roman"/>
          <w:sz w:val="26"/>
          <w:szCs w:val="26"/>
          <w:u w:val="single"/>
        </w:rPr>
        <w:t xml:space="preserve"> should </w:t>
      </w:r>
      <w:r w:rsidR="00FF1EDA">
        <w:rPr>
          <w:rFonts w:ascii="Times New Roman" w:hAnsi="Times New Roman" w:cs="Times New Roman"/>
          <w:sz w:val="26"/>
          <w:szCs w:val="26"/>
          <w:u w:val="single"/>
        </w:rPr>
        <w:t>include</w:t>
      </w:r>
      <w:r w:rsidR="00FF1EDA" w:rsidRPr="00BC2C11">
        <w:rPr>
          <w:rFonts w:ascii="Times New Roman" w:hAnsi="Times New Roman" w:cs="Times New Roman"/>
          <w:sz w:val="26"/>
          <w:szCs w:val="26"/>
          <w:u w:val="single"/>
        </w:rPr>
        <w:t xml:space="preserve"> </w:t>
      </w:r>
      <w:r>
        <w:rPr>
          <w:rFonts w:ascii="Times New Roman" w:hAnsi="Times New Roman" w:cs="Times New Roman"/>
          <w:sz w:val="26"/>
          <w:szCs w:val="26"/>
          <w:u w:val="single"/>
        </w:rPr>
        <w:t>the following provisions in its plan:</w:t>
      </w:r>
    </w:p>
    <w:p w14:paraId="60783A46" w14:textId="798D7F7D" w:rsidR="00785E50" w:rsidRDefault="00785E50" w:rsidP="003F4CB9">
      <w:pPr>
        <w:spacing w:before="100" w:beforeAutospacing="1" w:after="100" w:afterAutospacing="1" w:line="240" w:lineRule="auto"/>
        <w:rPr>
          <w:rFonts w:ascii="Times New Roman" w:hAnsi="Times New Roman" w:cs="Times New Roman"/>
          <w:sz w:val="26"/>
          <w:szCs w:val="26"/>
          <w:u w:val="single"/>
        </w:rPr>
      </w:pPr>
      <w:r w:rsidRPr="0004771D">
        <w:rPr>
          <w:rFonts w:ascii="Times New Roman" w:hAnsi="Times New Roman" w:cs="Times New Roman"/>
          <w:sz w:val="26"/>
          <w:szCs w:val="26"/>
        </w:rPr>
        <w:t>         </w:t>
      </w:r>
      <w:r w:rsidR="00AE17E5">
        <w:rPr>
          <w:rFonts w:ascii="Times New Roman" w:hAnsi="Times New Roman" w:cs="Times New Roman"/>
          <w:sz w:val="26"/>
          <w:szCs w:val="26"/>
          <w:u w:val="single"/>
        </w:rPr>
        <w:t>(</w:t>
      </w:r>
      <w:r>
        <w:rPr>
          <w:rFonts w:ascii="Times New Roman" w:hAnsi="Times New Roman" w:cs="Times New Roman"/>
          <w:sz w:val="26"/>
          <w:szCs w:val="26"/>
          <w:u w:val="single"/>
        </w:rPr>
        <w:t>I</w:t>
      </w:r>
      <w:r w:rsidR="00AE17E5">
        <w:rPr>
          <w:rFonts w:ascii="Times New Roman" w:hAnsi="Times New Roman" w:cs="Times New Roman"/>
          <w:sz w:val="26"/>
          <w:szCs w:val="26"/>
          <w:u w:val="single"/>
        </w:rPr>
        <w:t>)</w:t>
      </w:r>
      <w:r>
        <w:rPr>
          <w:rFonts w:ascii="Times New Roman" w:hAnsi="Times New Roman" w:cs="Times New Roman"/>
          <w:sz w:val="26"/>
          <w:szCs w:val="26"/>
          <w:u w:val="single"/>
        </w:rPr>
        <w:t>   S</w:t>
      </w:r>
      <w:r w:rsidR="00D47DDF" w:rsidRPr="00BC2C11">
        <w:rPr>
          <w:rFonts w:ascii="Times New Roman" w:hAnsi="Times New Roman" w:cs="Times New Roman"/>
          <w:sz w:val="26"/>
          <w:szCs w:val="26"/>
          <w:u w:val="single"/>
        </w:rPr>
        <w:t>pecific efforts to educate and enroll eligible and interested customers at or below 50% of FPIG</w:t>
      </w:r>
      <w:r>
        <w:rPr>
          <w:rFonts w:ascii="Times New Roman" w:hAnsi="Times New Roman" w:cs="Times New Roman"/>
          <w:sz w:val="26"/>
          <w:szCs w:val="26"/>
          <w:u w:val="single"/>
        </w:rPr>
        <w:t>.</w:t>
      </w:r>
    </w:p>
    <w:p w14:paraId="6CC50F51" w14:textId="5080C64B" w:rsidR="00785E50" w:rsidRDefault="00785E50" w:rsidP="003F4CB9">
      <w:pPr>
        <w:spacing w:before="100" w:beforeAutospacing="1" w:after="100" w:afterAutospacing="1" w:line="240" w:lineRule="auto"/>
        <w:rPr>
          <w:rFonts w:ascii="Times New Roman" w:hAnsi="Times New Roman" w:cs="Times New Roman"/>
          <w:sz w:val="26"/>
          <w:szCs w:val="26"/>
          <w:u w:val="single"/>
        </w:rPr>
      </w:pPr>
      <w:r w:rsidRPr="0004771D">
        <w:rPr>
          <w:rFonts w:ascii="Times New Roman" w:hAnsi="Times New Roman" w:cs="Times New Roman"/>
          <w:sz w:val="26"/>
          <w:szCs w:val="26"/>
        </w:rPr>
        <w:t>         </w:t>
      </w:r>
      <w:r w:rsidR="00AE17E5">
        <w:rPr>
          <w:rFonts w:ascii="Times New Roman" w:hAnsi="Times New Roman" w:cs="Times New Roman"/>
          <w:sz w:val="26"/>
          <w:szCs w:val="26"/>
          <w:u w:val="single"/>
        </w:rPr>
        <w:t>(</w:t>
      </w:r>
      <w:r>
        <w:rPr>
          <w:rFonts w:ascii="Times New Roman" w:hAnsi="Times New Roman" w:cs="Times New Roman"/>
          <w:sz w:val="26"/>
          <w:szCs w:val="26"/>
          <w:u w:val="single"/>
        </w:rPr>
        <w:t>II</w:t>
      </w:r>
      <w:r w:rsidR="00AE17E5">
        <w:rPr>
          <w:rFonts w:ascii="Times New Roman" w:hAnsi="Times New Roman" w:cs="Times New Roman"/>
          <w:sz w:val="26"/>
          <w:szCs w:val="26"/>
          <w:u w:val="single"/>
        </w:rPr>
        <w:t>)</w:t>
      </w:r>
      <w:r>
        <w:rPr>
          <w:rFonts w:ascii="Times New Roman" w:hAnsi="Times New Roman" w:cs="Times New Roman"/>
          <w:sz w:val="26"/>
          <w:szCs w:val="26"/>
          <w:u w:val="single"/>
        </w:rPr>
        <w:t>   R</w:t>
      </w:r>
      <w:r w:rsidR="00D47DDF" w:rsidRPr="00BC2C11">
        <w:rPr>
          <w:rFonts w:ascii="Times New Roman" w:hAnsi="Times New Roman" w:cs="Times New Roman"/>
          <w:sz w:val="26"/>
          <w:szCs w:val="26"/>
          <w:u w:val="single"/>
        </w:rPr>
        <w:t>esources</w:t>
      </w:r>
      <w:r w:rsidR="008D4E3D">
        <w:rPr>
          <w:rFonts w:ascii="Times New Roman" w:hAnsi="Times New Roman" w:cs="Times New Roman"/>
          <w:sz w:val="26"/>
          <w:szCs w:val="26"/>
          <w:u w:val="single"/>
        </w:rPr>
        <w:t xml:space="preserve">, </w:t>
      </w:r>
      <w:r w:rsidR="00D47DDF" w:rsidRPr="00BC2C11">
        <w:rPr>
          <w:rFonts w:ascii="Times New Roman" w:hAnsi="Times New Roman" w:cs="Times New Roman"/>
          <w:sz w:val="26"/>
          <w:szCs w:val="26"/>
          <w:u w:val="single"/>
        </w:rPr>
        <w:t>translation services</w:t>
      </w:r>
      <w:r w:rsidR="008D4E3D">
        <w:rPr>
          <w:rFonts w:ascii="Times New Roman" w:hAnsi="Times New Roman" w:cs="Times New Roman"/>
          <w:sz w:val="26"/>
          <w:szCs w:val="26"/>
          <w:u w:val="single"/>
        </w:rPr>
        <w:t>,</w:t>
      </w:r>
      <w:r w:rsidR="00D47DDF" w:rsidRPr="00BC2C11">
        <w:rPr>
          <w:rFonts w:ascii="Times New Roman" w:hAnsi="Times New Roman" w:cs="Times New Roman"/>
          <w:sz w:val="26"/>
          <w:szCs w:val="26"/>
          <w:u w:val="single"/>
        </w:rPr>
        <w:t xml:space="preserve"> and translated materials for those customers who are of Limited English Proficiency</w:t>
      </w:r>
      <w:r w:rsidR="00B8159E">
        <w:rPr>
          <w:rFonts w:ascii="Times New Roman" w:hAnsi="Times New Roman" w:cs="Times New Roman"/>
          <w:sz w:val="26"/>
          <w:szCs w:val="26"/>
          <w:u w:val="single"/>
        </w:rPr>
        <w:t>.</w:t>
      </w:r>
      <w:r w:rsidR="00D47DDF">
        <w:rPr>
          <w:rFonts w:ascii="Times New Roman" w:hAnsi="Times New Roman" w:cs="Times New Roman"/>
          <w:sz w:val="26"/>
          <w:szCs w:val="26"/>
          <w:u w:val="single"/>
        </w:rPr>
        <w:t xml:space="preserve"> </w:t>
      </w:r>
    </w:p>
    <w:p w14:paraId="4F616AAD" w14:textId="774ACA3B" w:rsidR="003F4CB9" w:rsidRPr="00E21B7F" w:rsidRDefault="00785E50"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u w:val="single"/>
        </w:rPr>
        <w:t>(C)   </w:t>
      </w:r>
      <w:r w:rsidR="0004771D">
        <w:rPr>
          <w:rFonts w:ascii="Times New Roman" w:eastAsia="Times New Roman" w:hAnsi="Times New Roman" w:cs="Times New Roman"/>
          <w:sz w:val="26"/>
          <w:szCs w:val="26"/>
          <w:u w:val="single"/>
        </w:rPr>
        <w:t>[</w:t>
      </w:r>
      <w:r w:rsidR="003F4CB9" w:rsidRPr="00E21B7F">
        <w:rPr>
          <w:rFonts w:ascii="Times New Roman" w:eastAsia="Times New Roman" w:hAnsi="Times New Roman" w:cs="Times New Roman"/>
          <w:sz w:val="26"/>
          <w:szCs w:val="26"/>
        </w:rPr>
        <w:t>Referrals</w:t>
      </w:r>
      <w:r w:rsidR="0004771D">
        <w:rPr>
          <w:rFonts w:ascii="Times New Roman" w:eastAsia="Times New Roman" w:hAnsi="Times New Roman" w:cs="Times New Roman"/>
          <w:sz w:val="26"/>
          <w:szCs w:val="26"/>
        </w:rPr>
        <w:t xml:space="preserve">] </w:t>
      </w:r>
      <w:r w:rsidR="0004771D" w:rsidRPr="0004771D">
        <w:rPr>
          <w:rFonts w:ascii="Times New Roman" w:eastAsia="Times New Roman" w:hAnsi="Times New Roman" w:cs="Times New Roman"/>
          <w:sz w:val="26"/>
          <w:szCs w:val="26"/>
          <w:u w:val="single"/>
        </w:rPr>
        <w:t xml:space="preserve">Customer education should include </w:t>
      </w:r>
      <w:r w:rsidR="0004771D">
        <w:rPr>
          <w:rFonts w:ascii="Times New Roman" w:eastAsia="Times New Roman" w:hAnsi="Times New Roman" w:cs="Times New Roman"/>
          <w:sz w:val="26"/>
          <w:szCs w:val="26"/>
          <w:u w:val="single"/>
        </w:rPr>
        <w:t>referrals</w:t>
      </w:r>
      <w:r w:rsidR="003F4CB9" w:rsidRPr="00E21B7F">
        <w:rPr>
          <w:rFonts w:ascii="Times New Roman" w:eastAsia="Times New Roman" w:hAnsi="Times New Roman" w:cs="Times New Roman"/>
          <w:sz w:val="26"/>
          <w:szCs w:val="26"/>
        </w:rPr>
        <w:t xml:space="preserve"> to other appropriate support services </w:t>
      </w:r>
      <w:r w:rsidR="0004771D">
        <w:rPr>
          <w:rFonts w:ascii="Times New Roman" w:eastAsia="Times New Roman" w:hAnsi="Times New Roman" w:cs="Times New Roman"/>
          <w:sz w:val="26"/>
          <w:szCs w:val="26"/>
        </w:rPr>
        <w:t>[</w:t>
      </w:r>
      <w:r w:rsidR="003F4CB9" w:rsidRPr="00E21B7F">
        <w:rPr>
          <w:rFonts w:ascii="Times New Roman" w:eastAsia="Times New Roman" w:hAnsi="Times New Roman" w:cs="Times New Roman"/>
          <w:sz w:val="26"/>
          <w:szCs w:val="26"/>
        </w:rPr>
        <w:t>should also be a part of consumer education</w:t>
      </w:r>
      <w:r w:rsidR="0004771D">
        <w:rPr>
          <w:rFonts w:ascii="Times New Roman" w:eastAsia="Times New Roman" w:hAnsi="Times New Roman" w:cs="Times New Roman"/>
          <w:sz w:val="26"/>
          <w:szCs w:val="26"/>
        </w:rPr>
        <w:t>]</w:t>
      </w:r>
      <w:r w:rsidR="003F4CB9" w:rsidRPr="00E21B7F">
        <w:rPr>
          <w:rFonts w:ascii="Times New Roman" w:eastAsia="Times New Roman" w:hAnsi="Times New Roman" w:cs="Times New Roman"/>
          <w:sz w:val="26"/>
          <w:szCs w:val="26"/>
        </w:rPr>
        <w:t xml:space="preserve">. </w:t>
      </w:r>
      <w:r w:rsidR="00213BF2" w:rsidRPr="00681723">
        <w:rPr>
          <w:rFonts w:ascii="Times New Roman" w:eastAsia="Times New Roman" w:hAnsi="Times New Roman" w:cs="Times New Roman"/>
          <w:sz w:val="26"/>
          <w:szCs w:val="26"/>
        </w:rPr>
        <w:t xml:space="preserve"> </w:t>
      </w:r>
    </w:p>
    <w:p w14:paraId="67465892" w14:textId="3C4BF0C2" w:rsidR="003F4CB9" w:rsidRPr="00527967" w:rsidRDefault="003F4CB9" w:rsidP="003F4CB9">
      <w:pPr>
        <w:spacing w:before="100" w:beforeAutospacing="1" w:after="100" w:afterAutospacing="1" w:line="240" w:lineRule="auto"/>
        <w:rPr>
          <w:rFonts w:ascii="Times New Roman" w:eastAsia="Times New Roman" w:hAnsi="Times New Roman" w:cs="Times New Roman"/>
          <w:sz w:val="26"/>
          <w:szCs w:val="26"/>
          <w:u w:val="single"/>
        </w:rPr>
      </w:pPr>
      <w:r w:rsidRPr="00E21B7F">
        <w:rPr>
          <w:rFonts w:ascii="Times New Roman" w:eastAsia="Times New Roman" w:hAnsi="Times New Roman" w:cs="Times New Roman"/>
          <w:sz w:val="26"/>
          <w:szCs w:val="26"/>
        </w:rPr>
        <w:t>     (vii)   </w:t>
      </w:r>
      <w:r w:rsidRPr="00E21B7F">
        <w:rPr>
          <w:rFonts w:ascii="Times New Roman" w:eastAsia="Times New Roman" w:hAnsi="Times New Roman" w:cs="Times New Roman"/>
          <w:i/>
          <w:iCs/>
          <w:sz w:val="26"/>
          <w:szCs w:val="26"/>
        </w:rPr>
        <w:t>Account monitoring.</w:t>
      </w:r>
      <w:r w:rsidRPr="00E21B7F">
        <w:rPr>
          <w:rFonts w:ascii="Times New Roman" w:eastAsia="Times New Roman" w:hAnsi="Times New Roman" w:cs="Times New Roman"/>
          <w:sz w:val="26"/>
          <w:szCs w:val="26"/>
        </w:rPr>
        <w:t xml:space="preserve"> Account monitoring should include both payment and energy consumption monitoring. </w:t>
      </w:r>
      <w:r w:rsidR="00B438EE">
        <w:rPr>
          <w:rFonts w:ascii="Times New Roman" w:hAnsi="Times New Roman" w:cs="Times New Roman"/>
          <w:sz w:val="26"/>
          <w:szCs w:val="26"/>
          <w:u w:val="single"/>
        </w:rPr>
        <w:t>A</w:t>
      </w:r>
      <w:r w:rsidR="00B438EE" w:rsidRPr="00527967">
        <w:rPr>
          <w:rFonts w:ascii="Times New Roman" w:hAnsi="Times New Roman" w:cs="Times New Roman"/>
          <w:sz w:val="26"/>
          <w:szCs w:val="26"/>
          <w:u w:val="single"/>
        </w:rPr>
        <w:t xml:space="preserve"> </w:t>
      </w:r>
      <w:r w:rsidRPr="00527967">
        <w:rPr>
          <w:rFonts w:ascii="Times New Roman" w:hAnsi="Times New Roman" w:cs="Times New Roman"/>
          <w:sz w:val="26"/>
          <w:szCs w:val="26"/>
          <w:u w:val="single"/>
        </w:rPr>
        <w:t>CAP participant</w:t>
      </w:r>
      <w:r w:rsidR="001529C6">
        <w:rPr>
          <w:rFonts w:ascii="Times New Roman" w:hAnsi="Times New Roman" w:cs="Times New Roman"/>
          <w:sz w:val="26"/>
          <w:szCs w:val="26"/>
          <w:u w:val="single"/>
        </w:rPr>
        <w:t>’</w:t>
      </w:r>
      <w:r w:rsidRPr="00527967">
        <w:rPr>
          <w:rFonts w:ascii="Times New Roman" w:hAnsi="Times New Roman" w:cs="Times New Roman"/>
          <w:sz w:val="26"/>
          <w:szCs w:val="26"/>
          <w:u w:val="single"/>
        </w:rPr>
        <w:t>s bills should be evaluated at least quarterly to determine whether the CAP credit amount and billing method is appropriate.</w:t>
      </w:r>
    </w:p>
    <w:p w14:paraId="047FA162" w14:textId="299887B2" w:rsidR="004F73EB"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sidRPr="00ED0048">
        <w:rPr>
          <w:rFonts w:ascii="Times New Roman" w:eastAsia="Times New Roman" w:hAnsi="Times New Roman" w:cs="Times New Roman"/>
          <w:sz w:val="26"/>
          <w:szCs w:val="26"/>
        </w:rPr>
        <w:t>(viii)   [</w:t>
      </w:r>
      <w:r w:rsidRPr="00ED0048">
        <w:rPr>
          <w:rFonts w:ascii="Times New Roman" w:eastAsia="Times New Roman" w:hAnsi="Times New Roman" w:cs="Times New Roman"/>
          <w:i/>
          <w:iCs/>
          <w:sz w:val="26"/>
          <w:szCs w:val="26"/>
        </w:rPr>
        <w:t>Annual reapplication</w:t>
      </w:r>
      <w:r w:rsidRPr="00ED0048">
        <w:rPr>
          <w:rFonts w:ascii="Times New Roman" w:eastAsia="Times New Roman" w:hAnsi="Times New Roman" w:cs="Times New Roman"/>
          <w:sz w:val="26"/>
          <w:szCs w:val="26"/>
        </w:rPr>
        <w:t>]</w:t>
      </w:r>
      <w:r w:rsidRPr="00ED0048">
        <w:rPr>
          <w:rFonts w:ascii="Times New Roman" w:eastAsia="Times New Roman" w:hAnsi="Times New Roman" w:cs="Times New Roman"/>
          <w:i/>
          <w:iCs/>
          <w:sz w:val="26"/>
          <w:szCs w:val="26"/>
        </w:rPr>
        <w:t xml:space="preserve"> </w:t>
      </w:r>
      <w:r w:rsidRPr="00ED0048">
        <w:rPr>
          <w:rFonts w:ascii="Times New Roman" w:eastAsia="Times New Roman" w:hAnsi="Times New Roman" w:cs="Times New Roman"/>
          <w:i/>
          <w:iCs/>
          <w:sz w:val="26"/>
          <w:szCs w:val="26"/>
          <w:u w:val="single"/>
        </w:rPr>
        <w:t>Recertification</w:t>
      </w:r>
      <w:r w:rsidRPr="00ED0048">
        <w:rPr>
          <w:rFonts w:ascii="Times New Roman" w:eastAsia="Times New Roman" w:hAnsi="Times New Roman" w:cs="Times New Roman"/>
          <w:i/>
          <w:iCs/>
          <w:sz w:val="26"/>
          <w:szCs w:val="26"/>
        </w:rPr>
        <w:t>.</w:t>
      </w:r>
      <w:r w:rsidRPr="00ED0048">
        <w:rPr>
          <w:rFonts w:ascii="Times New Roman" w:eastAsia="Times New Roman" w:hAnsi="Times New Roman" w:cs="Times New Roman"/>
          <w:sz w:val="26"/>
          <w:szCs w:val="26"/>
        </w:rPr>
        <w:t xml:space="preserve"> [An annual process</w:t>
      </w:r>
      <w:r>
        <w:rPr>
          <w:rFonts w:ascii="Times New Roman" w:eastAsia="Times New Roman" w:hAnsi="Times New Roman" w:cs="Times New Roman"/>
          <w:sz w:val="26"/>
          <w:szCs w:val="26"/>
        </w:rPr>
        <w:t xml:space="preserve"> </w:t>
      </w:r>
      <w:r w:rsidRPr="00ED0048">
        <w:rPr>
          <w:rFonts w:ascii="Times New Roman" w:eastAsia="Times New Roman" w:hAnsi="Times New Roman" w:cs="Times New Roman"/>
          <w:sz w:val="26"/>
          <w:szCs w:val="26"/>
        </w:rPr>
        <w:t>that reestablishes a participant</w:t>
      </w:r>
      <w:r w:rsidR="001529C6">
        <w:rPr>
          <w:rFonts w:ascii="Times New Roman" w:eastAsia="Times New Roman" w:hAnsi="Times New Roman" w:cs="Times New Roman"/>
          <w:sz w:val="26"/>
          <w:szCs w:val="26"/>
        </w:rPr>
        <w:t>’</w:t>
      </w:r>
      <w:r w:rsidRPr="00ED0048">
        <w:rPr>
          <w:rFonts w:ascii="Times New Roman" w:eastAsia="Times New Roman" w:hAnsi="Times New Roman" w:cs="Times New Roman"/>
          <w:sz w:val="26"/>
          <w:szCs w:val="26"/>
        </w:rPr>
        <w:t>s eligibility for CAP benefits should be required.</w:t>
      </w:r>
      <w:r>
        <w:rPr>
          <w:rFonts w:ascii="Times New Roman" w:eastAsia="Times New Roman" w:hAnsi="Times New Roman" w:cs="Times New Roman"/>
          <w:sz w:val="26"/>
          <w:szCs w:val="26"/>
        </w:rPr>
        <w:t>]</w:t>
      </w:r>
      <w:r w:rsidRPr="00ED0048">
        <w:rPr>
          <w:rFonts w:ascii="Times New Roman" w:eastAsia="Times New Roman" w:hAnsi="Times New Roman" w:cs="Times New Roman"/>
          <w:sz w:val="26"/>
          <w:szCs w:val="26"/>
        </w:rPr>
        <w:t xml:space="preserve"> </w:t>
      </w:r>
    </w:p>
    <w:p w14:paraId="10C0BE32" w14:textId="50BC16D7" w:rsidR="003F4CB9" w:rsidRPr="00ED0048" w:rsidRDefault="001470D7" w:rsidP="003F4CB9">
      <w:pPr>
        <w:spacing w:before="100" w:beforeAutospacing="1" w:after="100" w:afterAutospacing="1" w:line="240" w:lineRule="auto"/>
        <w:rPr>
          <w:rFonts w:ascii="Times New Roman" w:eastAsia="Times New Roman" w:hAnsi="Times New Roman" w:cs="Times New Roman"/>
          <w:sz w:val="26"/>
          <w:szCs w:val="26"/>
        </w:rPr>
      </w:pPr>
      <w:r w:rsidRPr="00057C48">
        <w:rPr>
          <w:rFonts w:ascii="Times New Roman" w:hAnsi="Times New Roman" w:cs="Times New Roman"/>
          <w:sz w:val="26"/>
          <w:szCs w:val="26"/>
        </w:rPr>
        <w:t>       </w:t>
      </w:r>
      <w:r w:rsidRPr="00057C48">
        <w:rPr>
          <w:rFonts w:ascii="Times New Roman" w:hAnsi="Times New Roman" w:cs="Times New Roman"/>
          <w:sz w:val="26"/>
          <w:szCs w:val="26"/>
          <w:u w:val="single"/>
        </w:rPr>
        <w:t>(</w:t>
      </w:r>
      <w:r>
        <w:rPr>
          <w:rFonts w:ascii="Times New Roman" w:hAnsi="Times New Roman" w:cs="Times New Roman"/>
          <w:sz w:val="26"/>
          <w:szCs w:val="26"/>
          <w:u w:val="single"/>
        </w:rPr>
        <w:t>A</w:t>
      </w:r>
      <w:r w:rsidRPr="00057C48">
        <w:rPr>
          <w:rFonts w:ascii="Times New Roman" w:hAnsi="Times New Roman" w:cs="Times New Roman"/>
          <w:sz w:val="26"/>
          <w:szCs w:val="26"/>
          <w:u w:val="single"/>
        </w:rPr>
        <w:t>)</w:t>
      </w:r>
      <w:r w:rsidR="00585BC3">
        <w:rPr>
          <w:rFonts w:ascii="Times New Roman" w:hAnsi="Times New Roman" w:cs="Times New Roman"/>
          <w:sz w:val="26"/>
          <w:szCs w:val="26"/>
          <w:u w:val="single"/>
        </w:rPr>
        <w:t>   </w:t>
      </w:r>
      <w:r w:rsidR="003F4CB9" w:rsidRPr="00E2241B">
        <w:rPr>
          <w:rFonts w:ascii="Times New Roman" w:hAnsi="Times New Roman" w:cs="Times New Roman"/>
          <w:sz w:val="26"/>
          <w:szCs w:val="26"/>
          <w:u w:val="single"/>
        </w:rPr>
        <w:t>A utility should recertify a participant</w:t>
      </w:r>
      <w:r w:rsidR="001529C6">
        <w:rPr>
          <w:rFonts w:ascii="Times New Roman" w:hAnsi="Times New Roman" w:cs="Times New Roman"/>
          <w:sz w:val="26"/>
          <w:szCs w:val="26"/>
          <w:u w:val="single"/>
        </w:rPr>
        <w:t>’</w:t>
      </w:r>
      <w:r w:rsidR="003F4CB9" w:rsidRPr="00E2241B">
        <w:rPr>
          <w:rFonts w:ascii="Times New Roman" w:hAnsi="Times New Roman" w:cs="Times New Roman"/>
          <w:sz w:val="26"/>
          <w:szCs w:val="26"/>
          <w:u w:val="single"/>
        </w:rPr>
        <w:t>s eligibility for CAP benefits within the following time frames:</w:t>
      </w:r>
    </w:p>
    <w:p w14:paraId="4D4D3FE2" w14:textId="6C7EF609" w:rsidR="003F4CB9" w:rsidRPr="00ED0048" w:rsidRDefault="00585BC3" w:rsidP="003F4CB9">
      <w:pPr>
        <w:pStyle w:val="NormalWeb"/>
        <w:tabs>
          <w:tab w:val="left" w:pos="360"/>
          <w:tab w:val="left" w:pos="720"/>
          <w:tab w:val="left" w:pos="1080"/>
        </w:tabs>
        <w:rPr>
          <w:sz w:val="26"/>
          <w:szCs w:val="26"/>
          <w:u w:val="single"/>
        </w:rPr>
      </w:pPr>
      <w:r w:rsidRPr="00ED0048">
        <w:rPr>
          <w:sz w:val="26"/>
          <w:szCs w:val="26"/>
        </w:rPr>
        <w:t>      </w:t>
      </w:r>
      <w:r w:rsidRPr="00E32C7E">
        <w:rPr>
          <w:sz w:val="26"/>
          <w:szCs w:val="26"/>
        </w:rPr>
        <w:t> </w:t>
      </w:r>
      <w:r w:rsidRPr="00C66412">
        <w:rPr>
          <w:sz w:val="26"/>
          <w:szCs w:val="26"/>
        </w:rPr>
        <w:t>     </w:t>
      </w:r>
      <w:r w:rsidR="003F4CB9" w:rsidRPr="00ED0048">
        <w:rPr>
          <w:sz w:val="26"/>
          <w:szCs w:val="26"/>
          <w:u w:val="single"/>
        </w:rPr>
        <w:t>(</w:t>
      </w:r>
      <w:r>
        <w:rPr>
          <w:sz w:val="26"/>
          <w:szCs w:val="26"/>
          <w:u w:val="single"/>
        </w:rPr>
        <w:t>I</w:t>
      </w:r>
      <w:r w:rsidR="003F4CB9" w:rsidRPr="00ED0048">
        <w:rPr>
          <w:sz w:val="26"/>
          <w:szCs w:val="26"/>
          <w:u w:val="single"/>
        </w:rPr>
        <w:t>)</w:t>
      </w:r>
      <w:r>
        <w:rPr>
          <w:sz w:val="26"/>
          <w:szCs w:val="26"/>
          <w:u w:val="single"/>
        </w:rPr>
        <w:t>  </w:t>
      </w:r>
      <w:r w:rsidR="00C66412">
        <w:rPr>
          <w:sz w:val="26"/>
          <w:szCs w:val="26"/>
          <w:u w:val="single"/>
        </w:rPr>
        <w:t> </w:t>
      </w:r>
      <w:r w:rsidR="003F4CB9" w:rsidRPr="00ED0048">
        <w:rPr>
          <w:sz w:val="26"/>
          <w:szCs w:val="26"/>
          <w:u w:val="single"/>
        </w:rPr>
        <w:t xml:space="preserve">A household reporting no income </w:t>
      </w:r>
      <w:r w:rsidR="003F4CB9">
        <w:rPr>
          <w:sz w:val="26"/>
          <w:szCs w:val="26"/>
          <w:u w:val="single"/>
        </w:rPr>
        <w:t>should</w:t>
      </w:r>
      <w:r w:rsidR="003F4CB9" w:rsidRPr="00ED0048">
        <w:rPr>
          <w:sz w:val="26"/>
          <w:szCs w:val="26"/>
          <w:u w:val="single"/>
        </w:rPr>
        <w:t xml:space="preserve"> recertify at least every 6 months.</w:t>
      </w:r>
    </w:p>
    <w:p w14:paraId="27989207" w14:textId="3D052DA4" w:rsidR="003F4CB9" w:rsidRPr="00ED0048" w:rsidRDefault="00585BC3" w:rsidP="003F4CB9">
      <w:pPr>
        <w:pStyle w:val="NormalWeb"/>
        <w:tabs>
          <w:tab w:val="left" w:pos="360"/>
          <w:tab w:val="left" w:pos="720"/>
          <w:tab w:val="left" w:pos="1080"/>
        </w:tabs>
        <w:rPr>
          <w:sz w:val="26"/>
          <w:szCs w:val="26"/>
          <w:u w:val="single"/>
        </w:rPr>
      </w:pPr>
      <w:r w:rsidRPr="00ED0048">
        <w:rPr>
          <w:sz w:val="26"/>
          <w:szCs w:val="26"/>
        </w:rPr>
        <w:t>      </w:t>
      </w:r>
      <w:r w:rsidRPr="00E32C7E">
        <w:rPr>
          <w:sz w:val="26"/>
          <w:szCs w:val="26"/>
        </w:rPr>
        <w:t> </w:t>
      </w:r>
      <w:r w:rsidRPr="00C66412">
        <w:rPr>
          <w:sz w:val="26"/>
          <w:szCs w:val="26"/>
        </w:rPr>
        <w:t>     </w:t>
      </w:r>
      <w:r w:rsidR="003F4CB9" w:rsidRPr="00ED0048">
        <w:rPr>
          <w:sz w:val="26"/>
          <w:szCs w:val="26"/>
          <w:u w:val="single"/>
        </w:rPr>
        <w:t>(</w:t>
      </w:r>
      <w:r>
        <w:rPr>
          <w:sz w:val="26"/>
          <w:szCs w:val="26"/>
          <w:u w:val="single"/>
        </w:rPr>
        <w:t>II</w:t>
      </w:r>
      <w:r w:rsidR="003F4CB9" w:rsidRPr="00ED0048">
        <w:rPr>
          <w:sz w:val="26"/>
          <w:szCs w:val="26"/>
          <w:u w:val="single"/>
        </w:rPr>
        <w:t>)</w:t>
      </w:r>
      <w:r>
        <w:rPr>
          <w:sz w:val="26"/>
          <w:szCs w:val="26"/>
          <w:u w:val="single"/>
        </w:rPr>
        <w:t> </w:t>
      </w:r>
      <w:r w:rsidR="00C66412">
        <w:rPr>
          <w:sz w:val="26"/>
          <w:szCs w:val="26"/>
          <w:u w:val="single"/>
        </w:rPr>
        <w:t> </w:t>
      </w:r>
      <w:r>
        <w:rPr>
          <w:sz w:val="26"/>
          <w:szCs w:val="26"/>
          <w:u w:val="single"/>
        </w:rPr>
        <w:t> </w:t>
      </w:r>
      <w:r w:rsidR="003F4CB9">
        <w:rPr>
          <w:sz w:val="26"/>
          <w:szCs w:val="26"/>
          <w:u w:val="single"/>
        </w:rPr>
        <w:t>A h</w:t>
      </w:r>
      <w:r w:rsidR="003F4CB9" w:rsidRPr="00ED0048">
        <w:rPr>
          <w:sz w:val="26"/>
          <w:szCs w:val="26"/>
          <w:u w:val="single"/>
        </w:rPr>
        <w:t>ousehold with income that participate</w:t>
      </w:r>
      <w:r w:rsidR="003F4CB9">
        <w:rPr>
          <w:sz w:val="26"/>
          <w:szCs w:val="26"/>
          <w:u w:val="single"/>
        </w:rPr>
        <w:t>s</w:t>
      </w:r>
      <w:r w:rsidR="003F4CB9" w:rsidRPr="00ED0048">
        <w:rPr>
          <w:sz w:val="26"/>
          <w:szCs w:val="26"/>
          <w:u w:val="single"/>
        </w:rPr>
        <w:t xml:space="preserve"> in LIHEAP annually should recertify at least once every 3 years.</w:t>
      </w:r>
    </w:p>
    <w:p w14:paraId="2326D09D" w14:textId="709A7D52" w:rsidR="003F4CB9" w:rsidRPr="00ED0048" w:rsidRDefault="00585BC3" w:rsidP="003F4CB9">
      <w:pPr>
        <w:pStyle w:val="NormalWeb"/>
        <w:tabs>
          <w:tab w:val="left" w:pos="360"/>
          <w:tab w:val="left" w:pos="720"/>
          <w:tab w:val="left" w:pos="1080"/>
        </w:tabs>
        <w:rPr>
          <w:sz w:val="26"/>
          <w:szCs w:val="26"/>
          <w:u w:val="single"/>
        </w:rPr>
      </w:pPr>
      <w:r w:rsidRPr="00ED0048">
        <w:rPr>
          <w:sz w:val="26"/>
          <w:szCs w:val="26"/>
        </w:rPr>
        <w:t>       </w:t>
      </w:r>
      <w:r w:rsidRPr="00C66412">
        <w:rPr>
          <w:sz w:val="26"/>
          <w:szCs w:val="26"/>
        </w:rPr>
        <w:t>     </w:t>
      </w:r>
      <w:r w:rsidR="003F4CB9" w:rsidRPr="00ED0048">
        <w:rPr>
          <w:sz w:val="26"/>
          <w:szCs w:val="26"/>
          <w:u w:val="single"/>
        </w:rPr>
        <w:t>(</w:t>
      </w:r>
      <w:r>
        <w:rPr>
          <w:sz w:val="26"/>
          <w:szCs w:val="26"/>
          <w:u w:val="single"/>
        </w:rPr>
        <w:t>III</w:t>
      </w:r>
      <w:r w:rsidR="003F4CB9" w:rsidRPr="00ED0048">
        <w:rPr>
          <w:sz w:val="26"/>
          <w:szCs w:val="26"/>
          <w:u w:val="single"/>
        </w:rPr>
        <w:t>)</w:t>
      </w:r>
      <w:r w:rsidR="00C66412">
        <w:rPr>
          <w:sz w:val="26"/>
          <w:szCs w:val="26"/>
          <w:u w:val="single"/>
        </w:rPr>
        <w:t>   </w:t>
      </w:r>
      <w:r w:rsidR="003F4CB9">
        <w:rPr>
          <w:sz w:val="26"/>
          <w:szCs w:val="26"/>
          <w:u w:val="single"/>
        </w:rPr>
        <w:t>A h</w:t>
      </w:r>
      <w:r w:rsidR="003F4CB9" w:rsidRPr="00ED0048">
        <w:rPr>
          <w:sz w:val="26"/>
          <w:szCs w:val="26"/>
          <w:u w:val="single"/>
        </w:rPr>
        <w:t xml:space="preserve">ousehold whose primary source of income is Social Security, Supplemental Security Income, or pensions should recertify at least once every </w:t>
      </w:r>
      <w:r w:rsidR="00244BB7">
        <w:rPr>
          <w:sz w:val="26"/>
          <w:szCs w:val="26"/>
          <w:u w:val="single"/>
        </w:rPr>
        <w:t>3</w:t>
      </w:r>
      <w:r w:rsidR="003F4CB9" w:rsidRPr="00ED0048">
        <w:rPr>
          <w:sz w:val="26"/>
          <w:szCs w:val="26"/>
          <w:u w:val="single"/>
        </w:rPr>
        <w:t xml:space="preserve"> years.</w:t>
      </w:r>
    </w:p>
    <w:p w14:paraId="231DE81C" w14:textId="342CC6EB" w:rsidR="003F4CB9" w:rsidRDefault="00585BC3" w:rsidP="003F4CB9">
      <w:pPr>
        <w:pStyle w:val="NormalWeb"/>
        <w:tabs>
          <w:tab w:val="left" w:pos="360"/>
          <w:tab w:val="left" w:pos="720"/>
          <w:tab w:val="left" w:pos="1080"/>
        </w:tabs>
        <w:rPr>
          <w:sz w:val="26"/>
          <w:szCs w:val="26"/>
          <w:u w:val="single"/>
        </w:rPr>
      </w:pPr>
      <w:r w:rsidRPr="00ED0048">
        <w:rPr>
          <w:sz w:val="26"/>
          <w:szCs w:val="26"/>
        </w:rPr>
        <w:t>       </w:t>
      </w:r>
      <w:r w:rsidRPr="00C66412">
        <w:rPr>
          <w:sz w:val="26"/>
          <w:szCs w:val="26"/>
        </w:rPr>
        <w:t>     </w:t>
      </w:r>
      <w:r w:rsidR="003F4CB9" w:rsidRPr="00ED0048">
        <w:rPr>
          <w:sz w:val="26"/>
          <w:szCs w:val="26"/>
          <w:u w:val="single"/>
        </w:rPr>
        <w:t>(</w:t>
      </w:r>
      <w:r>
        <w:rPr>
          <w:sz w:val="26"/>
          <w:szCs w:val="26"/>
          <w:u w:val="single"/>
        </w:rPr>
        <w:t>IV</w:t>
      </w:r>
      <w:r w:rsidR="003F4CB9" w:rsidRPr="00ED0048">
        <w:rPr>
          <w:sz w:val="26"/>
          <w:szCs w:val="26"/>
          <w:u w:val="single"/>
        </w:rPr>
        <w:t>)</w:t>
      </w:r>
      <w:r w:rsidR="00C66412">
        <w:rPr>
          <w:sz w:val="26"/>
          <w:szCs w:val="26"/>
          <w:u w:val="single"/>
        </w:rPr>
        <w:t>   </w:t>
      </w:r>
      <w:r w:rsidR="003F4CB9" w:rsidRPr="00ED0048">
        <w:rPr>
          <w:sz w:val="26"/>
          <w:szCs w:val="26"/>
          <w:u w:val="single"/>
        </w:rPr>
        <w:t>All other CAP households should recertify at least once every 2 years.</w:t>
      </w:r>
    </w:p>
    <w:p w14:paraId="61AB111F" w14:textId="652F3946" w:rsidR="006F25C1" w:rsidRPr="00173B5C" w:rsidRDefault="006F25C1" w:rsidP="003F4CB9">
      <w:pPr>
        <w:pStyle w:val="NormalWeb"/>
        <w:tabs>
          <w:tab w:val="left" w:pos="360"/>
          <w:tab w:val="left" w:pos="720"/>
          <w:tab w:val="left" w:pos="1080"/>
        </w:tabs>
        <w:rPr>
          <w:sz w:val="26"/>
          <w:szCs w:val="26"/>
        </w:rPr>
      </w:pPr>
      <w:r w:rsidRPr="000B2D00">
        <w:rPr>
          <w:sz w:val="26"/>
          <w:szCs w:val="26"/>
        </w:rPr>
        <w:t>       </w:t>
      </w:r>
      <w:r w:rsidRPr="000B2D00">
        <w:rPr>
          <w:sz w:val="26"/>
          <w:szCs w:val="26"/>
          <w:u w:val="single"/>
        </w:rPr>
        <w:t>(</w:t>
      </w:r>
      <w:r w:rsidR="00E11671">
        <w:rPr>
          <w:sz w:val="26"/>
          <w:szCs w:val="26"/>
          <w:u w:val="single"/>
        </w:rPr>
        <w:t>B</w:t>
      </w:r>
      <w:r w:rsidRPr="0087252C">
        <w:rPr>
          <w:sz w:val="26"/>
          <w:szCs w:val="26"/>
          <w:u w:val="single"/>
        </w:rPr>
        <w:t>)</w:t>
      </w:r>
      <w:r w:rsidR="00585BC3" w:rsidRPr="0087252C">
        <w:rPr>
          <w:sz w:val="26"/>
          <w:szCs w:val="26"/>
          <w:u w:val="single"/>
        </w:rPr>
        <w:t>   </w:t>
      </w:r>
      <w:r w:rsidRPr="0087252C">
        <w:rPr>
          <w:sz w:val="26"/>
          <w:szCs w:val="26"/>
          <w:u w:val="single"/>
        </w:rPr>
        <w:t xml:space="preserve">A utility should </w:t>
      </w:r>
      <w:r w:rsidR="009564A2">
        <w:rPr>
          <w:sz w:val="26"/>
          <w:szCs w:val="26"/>
          <w:u w:val="single"/>
        </w:rPr>
        <w:t>identify and implement</w:t>
      </w:r>
      <w:r w:rsidRPr="0087252C">
        <w:rPr>
          <w:sz w:val="26"/>
          <w:szCs w:val="26"/>
          <w:u w:val="single"/>
        </w:rPr>
        <w:t xml:space="preserve"> more effective ways of communicating its recertification practices and procedures </w:t>
      </w:r>
      <w:r w:rsidR="009564A2">
        <w:rPr>
          <w:sz w:val="26"/>
          <w:szCs w:val="26"/>
          <w:u w:val="single"/>
        </w:rPr>
        <w:t xml:space="preserve">to CAP participants </w:t>
      </w:r>
      <w:r w:rsidRPr="0087252C">
        <w:rPr>
          <w:sz w:val="26"/>
          <w:szCs w:val="26"/>
          <w:u w:val="single"/>
        </w:rPr>
        <w:t xml:space="preserve">and </w:t>
      </w:r>
      <w:r w:rsidR="009564A2">
        <w:rPr>
          <w:sz w:val="26"/>
          <w:szCs w:val="26"/>
          <w:u w:val="single"/>
        </w:rPr>
        <w:t>improve its methods</w:t>
      </w:r>
      <w:r w:rsidRPr="0087252C">
        <w:rPr>
          <w:sz w:val="26"/>
          <w:szCs w:val="26"/>
          <w:u w:val="single"/>
        </w:rPr>
        <w:t xml:space="preserve"> of collecting appropriate income information from customers in order to minimize disruption in CAP participation.</w:t>
      </w:r>
    </w:p>
    <w:p w14:paraId="4D5E422D" w14:textId="77777777" w:rsidR="003F4CB9"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sidRPr="00927A7D">
        <w:rPr>
          <w:rFonts w:ascii="Times New Roman" w:eastAsia="Times New Roman" w:hAnsi="Times New Roman" w:cs="Times New Roman"/>
          <w:sz w:val="26"/>
          <w:szCs w:val="26"/>
        </w:rPr>
        <w:t>(ix)   </w:t>
      </w:r>
      <w:r w:rsidRPr="00927A7D">
        <w:rPr>
          <w:rFonts w:ascii="Times New Roman" w:eastAsia="Times New Roman" w:hAnsi="Times New Roman" w:cs="Times New Roman"/>
          <w:sz w:val="26"/>
          <w:szCs w:val="26"/>
          <w:u w:val="single"/>
        </w:rPr>
        <w:t>[</w:t>
      </w:r>
      <w:r w:rsidRPr="00927A7D">
        <w:rPr>
          <w:rFonts w:ascii="Times New Roman" w:eastAsia="Times New Roman" w:hAnsi="Times New Roman" w:cs="Times New Roman"/>
          <w:i/>
          <w:sz w:val="26"/>
          <w:szCs w:val="26"/>
        </w:rPr>
        <w:t>Arrearage</w:t>
      </w:r>
      <w:r w:rsidRPr="00927A7D">
        <w:rPr>
          <w:rFonts w:ascii="Times New Roman" w:eastAsia="Times New Roman" w:hAnsi="Times New Roman" w:cs="Times New Roman"/>
          <w:sz w:val="26"/>
          <w:szCs w:val="26"/>
        </w:rPr>
        <w:t>]</w:t>
      </w:r>
      <w:r w:rsidRPr="00927A7D">
        <w:rPr>
          <w:rFonts w:ascii="Times New Roman" w:eastAsia="Times New Roman" w:hAnsi="Times New Roman" w:cs="Times New Roman"/>
          <w:i/>
          <w:sz w:val="26"/>
          <w:szCs w:val="26"/>
          <w:u w:val="single"/>
        </w:rPr>
        <w:t xml:space="preserve"> Pre-program arrearage</w:t>
      </w:r>
      <w:r w:rsidRPr="00927A7D">
        <w:rPr>
          <w:rFonts w:ascii="Times New Roman" w:eastAsia="Times New Roman" w:hAnsi="Times New Roman" w:cs="Times New Roman"/>
          <w:i/>
          <w:sz w:val="26"/>
          <w:szCs w:val="26"/>
        </w:rPr>
        <w:t xml:space="preserve"> forgiveness.</w:t>
      </w:r>
      <w:r w:rsidRPr="00927A7D">
        <w:rPr>
          <w:rFonts w:ascii="Times New Roman" w:eastAsia="Times New Roman" w:hAnsi="Times New Roman" w:cs="Times New Roman"/>
          <w:sz w:val="26"/>
          <w:szCs w:val="26"/>
        </w:rPr>
        <w:t xml:space="preserve"> </w:t>
      </w:r>
      <w:r w:rsidRPr="00927A7D">
        <w:rPr>
          <w:rFonts w:ascii="Times New Roman" w:eastAsia="Times New Roman" w:hAnsi="Times New Roman" w:cs="Times New Roman"/>
          <w:sz w:val="26"/>
          <w:szCs w:val="26"/>
          <w:u w:val="single"/>
        </w:rPr>
        <w:t>[</w:t>
      </w:r>
      <w:r w:rsidRPr="00927A7D">
        <w:rPr>
          <w:rFonts w:ascii="Times New Roman" w:eastAsia="Times New Roman" w:hAnsi="Times New Roman" w:cs="Times New Roman"/>
          <w:sz w:val="26"/>
          <w:szCs w:val="26"/>
        </w:rPr>
        <w:t xml:space="preserve">Arrearage] </w:t>
      </w:r>
      <w:r w:rsidRPr="00927A7D">
        <w:rPr>
          <w:rFonts w:ascii="Times New Roman" w:eastAsia="Times New Roman" w:hAnsi="Times New Roman" w:cs="Times New Roman"/>
          <w:sz w:val="26"/>
          <w:szCs w:val="26"/>
          <w:u w:val="single"/>
        </w:rPr>
        <w:t xml:space="preserve">Pre-program arrearage </w:t>
      </w:r>
      <w:r w:rsidRPr="00927A7D">
        <w:rPr>
          <w:rFonts w:ascii="Times New Roman" w:eastAsia="Times New Roman" w:hAnsi="Times New Roman" w:cs="Times New Roman"/>
          <w:sz w:val="26"/>
          <w:szCs w:val="26"/>
        </w:rPr>
        <w:t xml:space="preserve">forgiveness should occur over a </w:t>
      </w:r>
      <w:r>
        <w:rPr>
          <w:rFonts w:ascii="Times New Roman" w:eastAsia="Times New Roman" w:hAnsi="Times New Roman" w:cs="Times New Roman"/>
          <w:sz w:val="26"/>
          <w:szCs w:val="26"/>
        </w:rPr>
        <w:t>[</w:t>
      </w:r>
      <w:r w:rsidRPr="00927A7D">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sidRPr="002C39CE">
        <w:rPr>
          <w:rFonts w:ascii="Times New Roman" w:eastAsia="Times New Roman" w:hAnsi="Times New Roman" w:cs="Times New Roman"/>
          <w:sz w:val="26"/>
          <w:szCs w:val="26"/>
          <w:u w:val="single"/>
        </w:rPr>
        <w:t>1</w:t>
      </w:r>
      <w:r w:rsidRPr="00927A7D">
        <w:rPr>
          <w:rFonts w:ascii="Times New Roman" w:eastAsia="Times New Roman" w:hAnsi="Times New Roman" w:cs="Times New Roman"/>
          <w:sz w:val="26"/>
          <w:szCs w:val="26"/>
        </w:rPr>
        <w:t>- to 3-year period contingent upon receipt</w:t>
      </w:r>
      <w:r w:rsidRPr="00E21B7F">
        <w:rPr>
          <w:rFonts w:ascii="Times New Roman" w:eastAsia="Times New Roman" w:hAnsi="Times New Roman" w:cs="Times New Roman"/>
          <w:sz w:val="26"/>
          <w:szCs w:val="26"/>
        </w:rPr>
        <w:t xml:space="preserve"> of regular monthly payments by the CAP participant. </w:t>
      </w:r>
    </w:p>
    <w:p w14:paraId="341DA78B" w14:textId="1BD489F9" w:rsidR="003F4CB9" w:rsidRPr="00A41102" w:rsidRDefault="003F4CB9" w:rsidP="003F4CB9">
      <w:pPr>
        <w:pStyle w:val="NormalWeb"/>
        <w:tabs>
          <w:tab w:val="left" w:pos="360"/>
          <w:tab w:val="left" w:pos="720"/>
          <w:tab w:val="left" w:pos="1080"/>
        </w:tabs>
        <w:rPr>
          <w:sz w:val="26"/>
          <w:szCs w:val="26"/>
          <w:u w:val="single"/>
        </w:rPr>
      </w:pPr>
      <w:r w:rsidRPr="00A41102">
        <w:rPr>
          <w:sz w:val="26"/>
          <w:szCs w:val="26"/>
        </w:rPr>
        <w:t>       </w:t>
      </w:r>
      <w:r w:rsidRPr="00A41102">
        <w:rPr>
          <w:sz w:val="26"/>
          <w:szCs w:val="26"/>
          <w:u w:val="single"/>
        </w:rPr>
        <w:t xml:space="preserve">(A) </w:t>
      </w:r>
      <w:r w:rsidR="00051FBF">
        <w:rPr>
          <w:sz w:val="26"/>
          <w:szCs w:val="26"/>
          <w:u w:val="single"/>
        </w:rPr>
        <w:t xml:space="preserve">A </w:t>
      </w:r>
      <w:r w:rsidRPr="00A41102">
        <w:rPr>
          <w:sz w:val="26"/>
          <w:szCs w:val="26"/>
          <w:u w:val="single"/>
        </w:rPr>
        <w:t xml:space="preserve">CAP participant should receive </w:t>
      </w:r>
      <w:r>
        <w:rPr>
          <w:sz w:val="26"/>
          <w:szCs w:val="26"/>
          <w:u w:val="single"/>
        </w:rPr>
        <w:t xml:space="preserve">pre-program </w:t>
      </w:r>
      <w:r w:rsidRPr="00A41102">
        <w:rPr>
          <w:sz w:val="26"/>
          <w:szCs w:val="26"/>
          <w:u w:val="single"/>
        </w:rPr>
        <w:t>arrearage forgiveness for each on-time and in-full monthly CAP payment regardless of in-CAP arrears.</w:t>
      </w:r>
    </w:p>
    <w:p w14:paraId="70B14840" w14:textId="66DDBC3A" w:rsidR="003F4CB9" w:rsidRPr="001A248C" w:rsidRDefault="003F4CB9" w:rsidP="003F4CB9">
      <w:pPr>
        <w:pStyle w:val="NormalWeb"/>
        <w:tabs>
          <w:tab w:val="left" w:pos="360"/>
          <w:tab w:val="left" w:pos="720"/>
          <w:tab w:val="left" w:pos="1080"/>
        </w:tabs>
        <w:rPr>
          <w:sz w:val="26"/>
          <w:szCs w:val="26"/>
          <w:u w:val="single"/>
        </w:rPr>
      </w:pPr>
      <w:r w:rsidRPr="00A41102">
        <w:rPr>
          <w:sz w:val="26"/>
          <w:szCs w:val="26"/>
        </w:rPr>
        <w:t>       </w:t>
      </w:r>
      <w:r w:rsidRPr="00B6474B">
        <w:rPr>
          <w:sz w:val="26"/>
          <w:szCs w:val="26"/>
          <w:u w:val="single"/>
        </w:rPr>
        <w:t xml:space="preserve">(B) </w:t>
      </w:r>
      <w:r w:rsidR="00051FBF">
        <w:rPr>
          <w:sz w:val="26"/>
          <w:szCs w:val="26"/>
          <w:u w:val="single"/>
        </w:rPr>
        <w:t xml:space="preserve">A </w:t>
      </w:r>
      <w:r w:rsidRPr="00B6474B">
        <w:rPr>
          <w:sz w:val="26"/>
          <w:szCs w:val="26"/>
          <w:u w:val="single"/>
        </w:rPr>
        <w:t>CAP participant should receive retroactive pre-program arrearage forgiveness for any monthly payment missed once the household pays in full its CAP balance/in-program arrears/debt.</w:t>
      </w:r>
    </w:p>
    <w:p w14:paraId="5C2DA766" w14:textId="77777777" w:rsidR="003F4CB9"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   </w:t>
      </w:r>
      <w:r w:rsidRPr="00E21B7F">
        <w:rPr>
          <w:rFonts w:ascii="Times New Roman" w:eastAsia="Times New Roman" w:hAnsi="Times New Roman" w:cs="Times New Roman"/>
          <w:i/>
          <w:iCs/>
          <w:sz w:val="26"/>
          <w:szCs w:val="26"/>
        </w:rPr>
        <w:t>Routine management program progress reports.</w:t>
      </w:r>
      <w:r w:rsidRPr="00E21B7F">
        <w:rPr>
          <w:rFonts w:ascii="Times New Roman" w:eastAsia="Times New Roman" w:hAnsi="Times New Roman" w:cs="Times New Roman"/>
          <w:sz w:val="26"/>
          <w:szCs w:val="26"/>
        </w:rPr>
        <w:t xml:space="preserve"> Progress reports that may be used to monitor CAP administration should be prepared at regular intervals. These reports should include basic information related to the number of participants, payments and account status. </w:t>
      </w:r>
    </w:p>
    <w:p w14:paraId="5E7BE079"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(9)</w:t>
      </w:r>
      <w:r w:rsidRPr="00E21B7F">
        <w:rPr>
          <w:rFonts w:ascii="Times New Roman" w:eastAsia="Times New Roman" w:hAnsi="Times New Roman" w:cs="Times New Roman"/>
          <w:sz w:val="26"/>
          <w:szCs w:val="26"/>
        </w:rPr>
        <w:t>  </w:t>
      </w:r>
      <w:r w:rsidRPr="00E21B7F">
        <w:rPr>
          <w:rFonts w:ascii="Times New Roman" w:eastAsia="Times New Roman" w:hAnsi="Times New Roman" w:cs="Times New Roman"/>
          <w:i/>
          <w:iCs/>
          <w:sz w:val="26"/>
          <w:szCs w:val="26"/>
        </w:rPr>
        <w:t>Default provisions.</w:t>
      </w:r>
      <w:r w:rsidRPr="00E21B7F">
        <w:rPr>
          <w:rFonts w:ascii="Times New Roman" w:eastAsia="Times New Roman" w:hAnsi="Times New Roman" w:cs="Times New Roman"/>
          <w:sz w:val="26"/>
          <w:szCs w:val="26"/>
        </w:rPr>
        <w:t xml:space="preserve"> The failure of a participant to comply with one of the following should result in dismissal from CAP participation: </w:t>
      </w:r>
    </w:p>
    <w:p w14:paraId="515F7BCA"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(i)   Failure to make payments will result in the utility returning the participant to the regular collection cycle and may lead to termination of service. By returning the customer to the regular collection cycle, the utility does not need to enter into a new payment arrangement but may begin the termination process. At a minimum, the utility should inform the participant of the consequences of defaulting from the CAP. To avoid termination of service, the CAP participant must pay the amount set forth in the termination notice prior to the scheduled termination date. This amount should generally be no more than two CAP bills.</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p>
    <w:p w14:paraId="571CDB8F"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(ii)</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(i)</w:t>
      </w:r>
      <w:r w:rsidRPr="00E21B7F">
        <w:rPr>
          <w:rFonts w:ascii="Times New Roman" w:eastAsia="Times New Roman" w:hAnsi="Times New Roman" w:cs="Times New Roman"/>
          <w:sz w:val="26"/>
          <w:szCs w:val="26"/>
        </w:rPr>
        <w:t xml:space="preserve">   Failure to abide by established consumption limits. </w:t>
      </w:r>
    </w:p>
    <w:p w14:paraId="091FDB5D"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(iii)</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(ii)</w:t>
      </w:r>
      <w:r w:rsidRPr="00E21B7F">
        <w:rPr>
          <w:rFonts w:ascii="Times New Roman" w:eastAsia="Times New Roman" w:hAnsi="Times New Roman" w:cs="Times New Roman"/>
          <w:sz w:val="26"/>
          <w:szCs w:val="26"/>
        </w:rPr>
        <w:t xml:space="preserve">   Failure to allow access or to provide customer meter readings in 4 consecutive months. </w:t>
      </w:r>
    </w:p>
    <w:p w14:paraId="262F2D2B" w14:textId="1EB57AC5"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(iv)</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(iii)</w:t>
      </w:r>
      <w:r w:rsidRPr="00E21B7F">
        <w:rPr>
          <w:rFonts w:ascii="Times New Roman" w:eastAsia="Times New Roman" w:hAnsi="Times New Roman" w:cs="Times New Roman"/>
          <w:sz w:val="26"/>
          <w:szCs w:val="26"/>
        </w:rPr>
        <w:t xml:space="preserve">   Failure to report changes in income or </w:t>
      </w:r>
      <w:r w:rsidR="000A1369">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family</w:t>
      </w:r>
      <w:r w:rsidR="000A1369">
        <w:rPr>
          <w:rFonts w:ascii="Times New Roman" w:eastAsia="Times New Roman" w:hAnsi="Times New Roman" w:cs="Times New Roman"/>
          <w:sz w:val="26"/>
          <w:szCs w:val="26"/>
        </w:rPr>
        <w:t xml:space="preserve">] </w:t>
      </w:r>
      <w:r w:rsidR="000A1369">
        <w:rPr>
          <w:rFonts w:ascii="Times New Roman" w:eastAsia="Times New Roman" w:hAnsi="Times New Roman" w:cs="Times New Roman"/>
          <w:sz w:val="26"/>
          <w:szCs w:val="26"/>
          <w:u w:val="single"/>
        </w:rPr>
        <w:t>household</w:t>
      </w:r>
      <w:r w:rsidRPr="00E21B7F">
        <w:rPr>
          <w:rFonts w:ascii="Times New Roman" w:eastAsia="Times New Roman" w:hAnsi="Times New Roman" w:cs="Times New Roman"/>
          <w:sz w:val="26"/>
          <w:szCs w:val="26"/>
        </w:rPr>
        <w:t xml:space="preserve"> size. </w:t>
      </w:r>
    </w:p>
    <w:p w14:paraId="7AE48ECD" w14:textId="63F6239B"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(v)</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(iv)</w:t>
      </w:r>
      <w:r w:rsidRPr="00E21B7F">
        <w:rPr>
          <w:rFonts w:ascii="Times New Roman" w:eastAsia="Times New Roman" w:hAnsi="Times New Roman" w:cs="Times New Roman"/>
          <w:sz w:val="26"/>
          <w:szCs w:val="26"/>
        </w:rPr>
        <w:t>   Failure to accept budget counseling, weatherization/usage reduction or consumer</w:t>
      </w:r>
      <w:r w:rsidR="00FA48A2">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 xml:space="preserve">education services. </w:t>
      </w:r>
    </w:p>
    <w:p w14:paraId="2D4759EA" w14:textId="77777777" w:rsidR="003F4CB9"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(vi)</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(v)</w:t>
      </w:r>
      <w:r w:rsidRPr="00E21B7F">
        <w:rPr>
          <w:rFonts w:ascii="Times New Roman" w:eastAsia="Times New Roman" w:hAnsi="Times New Roman" w:cs="Times New Roman"/>
          <w:sz w:val="26"/>
          <w:szCs w:val="26"/>
        </w:rPr>
        <w:t xml:space="preserve">   Failure to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annually verify</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recertify</w:t>
      </w:r>
      <w:r w:rsidRPr="00E21B7F">
        <w:rPr>
          <w:rFonts w:ascii="Times New Roman" w:eastAsia="Times New Roman" w:hAnsi="Times New Roman" w:cs="Times New Roman"/>
          <w:sz w:val="26"/>
          <w:szCs w:val="26"/>
        </w:rPr>
        <w:t xml:space="preserve"> eligibility. </w:t>
      </w:r>
    </w:p>
    <w:p w14:paraId="25514133" w14:textId="1FF00BF9" w:rsidR="003F4CB9" w:rsidRDefault="003F4CB9" w:rsidP="003F4CB9">
      <w:pPr>
        <w:pStyle w:val="NormalWeb"/>
        <w:tabs>
          <w:tab w:val="left" w:pos="360"/>
          <w:tab w:val="left" w:pos="720"/>
          <w:tab w:val="left" w:pos="1080"/>
        </w:tabs>
        <w:spacing w:before="0" w:beforeAutospacing="0" w:after="0" w:afterAutospacing="0"/>
        <w:rPr>
          <w:sz w:val="26"/>
          <w:szCs w:val="26"/>
          <w:u w:val="single"/>
        </w:rPr>
      </w:pPr>
      <w:r>
        <w:rPr>
          <w:sz w:val="26"/>
          <w:szCs w:val="26"/>
          <w:u w:val="single"/>
        </w:rPr>
        <w:t>   (10) </w:t>
      </w:r>
      <w:r w:rsidRPr="005A3B30">
        <w:rPr>
          <w:i/>
          <w:iCs/>
          <w:sz w:val="26"/>
          <w:szCs w:val="26"/>
          <w:u w:val="single"/>
        </w:rPr>
        <w:t>Transfer of service.</w:t>
      </w:r>
      <w:r>
        <w:rPr>
          <w:sz w:val="26"/>
          <w:szCs w:val="26"/>
          <w:u w:val="single"/>
        </w:rPr>
        <w:t xml:space="preserve">  </w:t>
      </w:r>
      <w:r w:rsidR="00051FBF">
        <w:rPr>
          <w:sz w:val="26"/>
          <w:szCs w:val="26"/>
          <w:u w:val="single"/>
        </w:rPr>
        <w:t xml:space="preserve">A </w:t>
      </w:r>
      <w:r w:rsidRPr="005A3B30">
        <w:rPr>
          <w:sz w:val="26"/>
          <w:szCs w:val="26"/>
          <w:u w:val="single"/>
        </w:rPr>
        <w:t xml:space="preserve">CAP household should </w:t>
      </w:r>
      <w:r>
        <w:rPr>
          <w:sz w:val="26"/>
          <w:szCs w:val="26"/>
          <w:u w:val="single"/>
        </w:rPr>
        <w:t xml:space="preserve">be able to </w:t>
      </w:r>
      <w:r w:rsidRPr="005A3B30">
        <w:rPr>
          <w:sz w:val="26"/>
          <w:szCs w:val="26"/>
          <w:u w:val="single"/>
        </w:rPr>
        <w:t xml:space="preserve">retain program enrollment </w:t>
      </w:r>
      <w:r>
        <w:rPr>
          <w:sz w:val="26"/>
          <w:szCs w:val="26"/>
          <w:u w:val="single"/>
        </w:rPr>
        <w:t xml:space="preserve">status </w:t>
      </w:r>
      <w:r w:rsidRPr="005A3B30">
        <w:rPr>
          <w:sz w:val="26"/>
          <w:szCs w:val="26"/>
          <w:u w:val="single"/>
        </w:rPr>
        <w:t>when transfer</w:t>
      </w:r>
      <w:r w:rsidR="00051FBF">
        <w:rPr>
          <w:sz w:val="26"/>
          <w:szCs w:val="26"/>
          <w:u w:val="single"/>
        </w:rPr>
        <w:t>ring</w:t>
      </w:r>
      <w:r w:rsidRPr="005A3B30">
        <w:rPr>
          <w:sz w:val="26"/>
          <w:szCs w:val="26"/>
          <w:u w:val="single"/>
        </w:rPr>
        <w:t xml:space="preserve"> service within the utility</w:t>
      </w:r>
      <w:r w:rsidR="001529C6">
        <w:rPr>
          <w:sz w:val="26"/>
          <w:szCs w:val="26"/>
          <w:u w:val="single"/>
        </w:rPr>
        <w:t>’</w:t>
      </w:r>
      <w:r w:rsidRPr="005A3B30">
        <w:rPr>
          <w:sz w:val="26"/>
          <w:szCs w:val="26"/>
          <w:u w:val="single"/>
        </w:rPr>
        <w:t>s</w:t>
      </w:r>
      <w:r>
        <w:rPr>
          <w:sz w:val="26"/>
          <w:szCs w:val="26"/>
          <w:u w:val="single"/>
        </w:rPr>
        <w:t>,</w:t>
      </w:r>
      <w:r w:rsidRPr="005A3B30">
        <w:rPr>
          <w:sz w:val="26"/>
          <w:szCs w:val="26"/>
          <w:u w:val="single"/>
        </w:rPr>
        <w:t xml:space="preserve"> or an affiliate</w:t>
      </w:r>
      <w:r w:rsidR="001529C6">
        <w:rPr>
          <w:sz w:val="26"/>
          <w:szCs w:val="26"/>
          <w:u w:val="single"/>
        </w:rPr>
        <w:t>’</w:t>
      </w:r>
      <w:r w:rsidRPr="005A3B30">
        <w:rPr>
          <w:sz w:val="26"/>
          <w:szCs w:val="26"/>
          <w:u w:val="single"/>
        </w:rPr>
        <w:t>s</w:t>
      </w:r>
      <w:r>
        <w:rPr>
          <w:sz w:val="26"/>
          <w:szCs w:val="26"/>
          <w:u w:val="single"/>
        </w:rPr>
        <w:t>,</w:t>
      </w:r>
      <w:r w:rsidRPr="005A3B30">
        <w:rPr>
          <w:sz w:val="26"/>
          <w:szCs w:val="26"/>
          <w:u w:val="single"/>
        </w:rPr>
        <w:t xml:space="preserve"> service territory.</w:t>
      </w:r>
    </w:p>
    <w:p w14:paraId="393EF72D" w14:textId="542598A5" w:rsidR="003F4CB9" w:rsidRPr="00E21B7F" w:rsidRDefault="003F4CB9" w:rsidP="003F4CB9">
      <w:pPr>
        <w:pStyle w:val="NormalWeb"/>
        <w:tabs>
          <w:tab w:val="left" w:pos="360"/>
          <w:tab w:val="left" w:pos="720"/>
          <w:tab w:val="left" w:pos="1080"/>
        </w:tabs>
      </w:pPr>
      <w:r>
        <w:rPr>
          <w:sz w:val="26"/>
          <w:szCs w:val="26"/>
          <w:u w:val="single"/>
        </w:rPr>
        <w:t>   </w:t>
      </w:r>
      <w:r w:rsidRPr="00056883">
        <w:rPr>
          <w:sz w:val="26"/>
          <w:szCs w:val="26"/>
          <w:u w:val="single"/>
        </w:rPr>
        <w:t>(</w:t>
      </w:r>
      <w:r>
        <w:rPr>
          <w:sz w:val="26"/>
          <w:szCs w:val="26"/>
          <w:u w:val="single"/>
        </w:rPr>
        <w:t>11</w:t>
      </w:r>
      <w:r w:rsidRPr="00056883">
        <w:rPr>
          <w:sz w:val="26"/>
          <w:szCs w:val="26"/>
          <w:u w:val="single"/>
        </w:rPr>
        <w:t>)</w:t>
      </w:r>
      <w:r>
        <w:rPr>
          <w:sz w:val="26"/>
          <w:szCs w:val="26"/>
          <w:u w:val="single"/>
        </w:rPr>
        <w:t> </w:t>
      </w:r>
      <w:r w:rsidRPr="006B273E">
        <w:rPr>
          <w:i/>
          <w:iCs/>
          <w:sz w:val="26"/>
          <w:szCs w:val="26"/>
          <w:u w:val="single"/>
        </w:rPr>
        <w:t>Collection Activity</w:t>
      </w:r>
      <w:r>
        <w:rPr>
          <w:sz w:val="26"/>
          <w:szCs w:val="26"/>
          <w:u w:val="single"/>
        </w:rPr>
        <w:t xml:space="preserve">.  </w:t>
      </w:r>
      <w:r w:rsidR="00051FBF">
        <w:rPr>
          <w:sz w:val="26"/>
          <w:szCs w:val="26"/>
          <w:u w:val="single"/>
        </w:rPr>
        <w:t>A utility</w:t>
      </w:r>
      <w:r>
        <w:rPr>
          <w:sz w:val="26"/>
          <w:szCs w:val="26"/>
          <w:u w:val="single"/>
        </w:rPr>
        <w:t xml:space="preserve"> should i</w:t>
      </w:r>
      <w:r w:rsidRPr="00952A5A">
        <w:rPr>
          <w:sz w:val="26"/>
          <w:szCs w:val="26"/>
          <w:u w:val="single"/>
        </w:rPr>
        <w:t>nitiate collection activity for CAP accounts after no more than two payments in arrears.</w:t>
      </w:r>
      <w:r>
        <w:rPr>
          <w:sz w:val="26"/>
          <w:szCs w:val="26"/>
          <w:u w:val="single"/>
        </w:rPr>
        <w:t xml:space="preserve"> </w:t>
      </w:r>
      <w:r w:rsidR="00051FBF">
        <w:rPr>
          <w:sz w:val="26"/>
          <w:szCs w:val="26"/>
          <w:u w:val="single"/>
        </w:rPr>
        <w:t>A c</w:t>
      </w:r>
      <w:r w:rsidRPr="00952A5A">
        <w:rPr>
          <w:sz w:val="26"/>
          <w:szCs w:val="26"/>
          <w:u w:val="single"/>
        </w:rPr>
        <w:t>ustomer should not be removed or defaulted from CAP as a precursor to termination for non-payment.</w:t>
      </w:r>
    </w:p>
    <w:p w14:paraId="3F9D5549" w14:textId="6E4D83FA"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(12)</w:t>
      </w:r>
      <w:r w:rsidRPr="00E21B7F">
        <w:rPr>
          <w:rFonts w:ascii="Times New Roman" w:eastAsia="Times New Roman" w:hAnsi="Times New Roman" w:cs="Times New Roman"/>
          <w:sz w:val="26"/>
          <w:szCs w:val="26"/>
        </w:rPr>
        <w:t>  </w:t>
      </w:r>
      <w:r w:rsidRPr="00E21B7F">
        <w:rPr>
          <w:rFonts w:ascii="Times New Roman" w:eastAsia="Times New Roman" w:hAnsi="Times New Roman" w:cs="Times New Roman"/>
          <w:i/>
          <w:iCs/>
          <w:sz w:val="26"/>
          <w:szCs w:val="26"/>
        </w:rPr>
        <w:t>Reinstatement policy.</w:t>
      </w:r>
      <w:r w:rsidRPr="00E21B7F">
        <w:rPr>
          <w:rFonts w:ascii="Times New Roman" w:eastAsia="Times New Roman" w:hAnsi="Times New Roman" w:cs="Times New Roman"/>
          <w:sz w:val="26"/>
          <w:szCs w:val="26"/>
        </w:rPr>
        <w:t xml:space="preserve"> A customer may be reinstated into CAP at the utility</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discretion. </w:t>
      </w:r>
    </w:p>
    <w:p w14:paraId="11DDA67E" w14:textId="0BE1EB08"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(9)  </w:t>
      </w:r>
      <w:r w:rsidRPr="00E21B7F">
        <w:rPr>
          <w:rFonts w:ascii="Times New Roman" w:eastAsia="Times New Roman" w:hAnsi="Times New Roman" w:cs="Times New Roman"/>
          <w:i/>
          <w:iCs/>
          <w:sz w:val="26"/>
          <w:szCs w:val="26"/>
        </w:rPr>
        <w:t>Coordination of energy assistance benefits.</w:t>
      </w:r>
      <w:r w:rsidRPr="00E21B7F">
        <w:rPr>
          <w:rFonts w:ascii="Times New Roman" w:eastAsia="Times New Roman" w:hAnsi="Times New Roman" w:cs="Times New Roman"/>
          <w:sz w:val="26"/>
          <w:szCs w:val="26"/>
        </w:rPr>
        <w:t xml:space="preserve"> In a CAP, the utility should include the following to coordinate a participant</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s energy assistance benefits between it and other utilities: </w:t>
      </w:r>
    </w:p>
    <w:p w14:paraId="7F48E27F"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   A LIHEAP grant should be designated by the participant to the utility sponsoring the CAP. </w:t>
      </w:r>
    </w:p>
    <w:p w14:paraId="2A262137"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   A utility may impose a penalty on a CAP participant who is eligible for LIHEAP benefits but who fails to apply for those benefits. A utility should use this option carefully and the penalty should not exceed the amount of an average LIHEAP cash benefit. If a customer applies for a LIHEAP benefit but directs it to another utility or energy provider, the CAP provider should not assess a penalty. </w:t>
      </w:r>
    </w:p>
    <w:p w14:paraId="13D51738"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(iii)   The LIHEAP grant should be applied to reduce the amount of CAP credits. </w:t>
      </w:r>
    </w:p>
    <w:p w14:paraId="70E889D2"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(iv)   A utility may impose a penalty on a CAP participant who is eligible for LIHEAP benefits but who fails to apply for those benefits. A utility should use this option carefully and the penalty should not exceed the amount of an average LIHEAP cash benefit. If a customer applies for a LIHEAP benefit but directs it to another utility or energy provider, the CAP provider should not assess a penalty.</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p>
    <w:p w14:paraId="23FC2C43" w14:textId="37F027E2"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(10)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(13)</w:t>
      </w:r>
      <w:r w:rsidRPr="00E21B7F">
        <w:rPr>
          <w:rFonts w:ascii="Times New Roman" w:eastAsia="Times New Roman" w:hAnsi="Times New Roman" w:cs="Times New Roman"/>
          <w:sz w:val="26"/>
          <w:szCs w:val="26"/>
        </w:rPr>
        <w:t>  </w:t>
      </w:r>
      <w:r w:rsidRPr="00E21B7F">
        <w:rPr>
          <w:rFonts w:ascii="Times New Roman" w:eastAsia="Times New Roman" w:hAnsi="Times New Roman" w:cs="Times New Roman"/>
          <w:i/>
          <w:iCs/>
          <w:sz w:val="26"/>
          <w:szCs w:val="26"/>
        </w:rPr>
        <w:t>Evaluation.</w:t>
      </w:r>
      <w:r w:rsidRPr="00E21B7F">
        <w:rPr>
          <w:rFonts w:ascii="Times New Roman" w:eastAsia="Times New Roman" w:hAnsi="Times New Roman" w:cs="Times New Roman"/>
          <w:sz w:val="26"/>
          <w:szCs w:val="26"/>
        </w:rPr>
        <w:t xml:space="preserve"> The utility should thoroughly and objectively evaluate its CAP in accordance with the following unless otherwise modified in § 54.76</w:t>
      </w:r>
      <w:r>
        <w:rPr>
          <w:rFonts w:ascii="Times New Roman" w:eastAsia="Times New Roman" w:hAnsi="Times New Roman" w:cs="Times New Roman"/>
          <w:sz w:val="26"/>
          <w:szCs w:val="26"/>
        </w:rPr>
        <w:t xml:space="preserve"> </w:t>
      </w:r>
      <w:r w:rsidRPr="00E21B7F">
        <w:rPr>
          <w:rFonts w:ascii="Times New Roman" w:eastAsia="Times New Roman" w:hAnsi="Times New Roman" w:cs="Times New Roman"/>
          <w:sz w:val="26"/>
          <w:szCs w:val="26"/>
        </w:rPr>
        <w:t>(relating to evaluation reporting requirements)</w:t>
      </w:r>
      <w:r w:rsidR="00552734">
        <w:rPr>
          <w:rFonts w:ascii="Times New Roman" w:eastAsia="Times New Roman" w:hAnsi="Times New Roman" w:cs="Times New Roman"/>
          <w:sz w:val="26"/>
          <w:szCs w:val="26"/>
        </w:rPr>
        <w:t xml:space="preserve"> </w:t>
      </w:r>
      <w:r w:rsidR="00552734">
        <w:rPr>
          <w:rFonts w:ascii="Times New Roman" w:eastAsia="Times New Roman" w:hAnsi="Times New Roman" w:cs="Times New Roman"/>
          <w:sz w:val="26"/>
          <w:szCs w:val="26"/>
          <w:u w:val="single"/>
        </w:rPr>
        <w:t xml:space="preserve">for EDCs or </w:t>
      </w:r>
      <w:r w:rsidR="00552734" w:rsidRPr="00552734">
        <w:rPr>
          <w:rFonts w:ascii="Times New Roman" w:eastAsia="Times New Roman" w:hAnsi="Times New Roman" w:cs="Times New Roman"/>
          <w:sz w:val="26"/>
          <w:szCs w:val="26"/>
          <w:u w:val="single"/>
        </w:rPr>
        <w:t>§ 62.6 (relating to evaluation reporting requirements) for NGDCs</w:t>
      </w:r>
      <w:r w:rsidRPr="00E21B7F">
        <w:rPr>
          <w:rFonts w:ascii="Times New Roman" w:eastAsia="Times New Roman" w:hAnsi="Times New Roman" w:cs="Times New Roman"/>
          <w:sz w:val="26"/>
          <w:szCs w:val="26"/>
        </w:rPr>
        <w:t xml:space="preserve">. </w:t>
      </w:r>
    </w:p>
    <w:p w14:paraId="1C3ABA45"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   </w:t>
      </w:r>
      <w:r w:rsidRPr="00E21B7F">
        <w:rPr>
          <w:rFonts w:ascii="Times New Roman" w:eastAsia="Times New Roman" w:hAnsi="Times New Roman" w:cs="Times New Roman"/>
          <w:i/>
          <w:iCs/>
          <w:sz w:val="26"/>
          <w:szCs w:val="26"/>
        </w:rPr>
        <w:t>Content.</w:t>
      </w:r>
      <w:r w:rsidRPr="00E21B7F">
        <w:rPr>
          <w:rFonts w:ascii="Times New Roman" w:eastAsia="Times New Roman" w:hAnsi="Times New Roman" w:cs="Times New Roman"/>
          <w:sz w:val="26"/>
          <w:szCs w:val="26"/>
        </w:rPr>
        <w:t xml:space="preserve"> The evaluation should include both process and impact components. The process evaluation should focus on whether CAP implementation conforms to the program design and should assess the degree to which the program operates efficiently. The impact evaluation should focus on the degree to which the program achieves the continuation of utility service to CAP participants at reasonable cost levels.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The</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At a minimum, the</w:t>
      </w:r>
      <w:r w:rsidRPr="00E21B7F">
        <w:rPr>
          <w:rFonts w:ascii="Times New Roman" w:eastAsia="Times New Roman" w:hAnsi="Times New Roman" w:cs="Times New Roman"/>
          <w:sz w:val="26"/>
          <w:szCs w:val="26"/>
        </w:rPr>
        <w:t xml:space="preserve"> impact evaluation should include an analysis of the following: </w:t>
      </w:r>
    </w:p>
    <w:p w14:paraId="140897D3"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(A)   Customer payment behavior. </w:t>
      </w:r>
    </w:p>
    <w:p w14:paraId="28B53A51"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(B)   Energy assistance participation. </w:t>
      </w:r>
    </w:p>
    <w:p w14:paraId="4B8B05E6"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(C)   Energy consumption. </w:t>
      </w:r>
    </w:p>
    <w:p w14:paraId="2F6E258B"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(D)   Administrative costs. </w:t>
      </w:r>
    </w:p>
    <w:p w14:paraId="2FA308EF"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(E)   Program costs. </w:t>
      </w:r>
    </w:p>
    <w:p w14:paraId="1C9A7E96" w14:textId="17137968"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(ii)   </w:t>
      </w:r>
      <w:r w:rsidRPr="00E21B7F">
        <w:rPr>
          <w:rFonts w:ascii="Times New Roman" w:eastAsia="Times New Roman" w:hAnsi="Times New Roman" w:cs="Times New Roman"/>
          <w:i/>
          <w:iCs/>
          <w:sz w:val="26"/>
          <w:szCs w:val="26"/>
        </w:rPr>
        <w:t>Time frame.</w:t>
      </w:r>
      <w:r w:rsidRPr="00E21B7F">
        <w:rPr>
          <w:rFonts w:ascii="Times New Roman" w:eastAsia="Times New Roman" w:hAnsi="Times New Roman" w:cs="Times New Roman"/>
          <w:sz w:val="26"/>
          <w:szCs w:val="26"/>
        </w:rPr>
        <w:t xml:space="preserve"> Unless otherwise modified by § 54.76</w:t>
      </w:r>
      <w:r>
        <w:rPr>
          <w:rFonts w:ascii="Times New Roman" w:eastAsia="Times New Roman" w:hAnsi="Times New Roman" w:cs="Times New Roman"/>
          <w:sz w:val="26"/>
          <w:szCs w:val="26"/>
        </w:rPr>
        <w:t xml:space="preserve"> </w:t>
      </w:r>
      <w:r w:rsidR="00BB72C7">
        <w:rPr>
          <w:rFonts w:ascii="Times New Roman" w:eastAsia="Times New Roman" w:hAnsi="Times New Roman" w:cs="Times New Roman"/>
          <w:sz w:val="26"/>
          <w:szCs w:val="26"/>
          <w:u w:val="single"/>
        </w:rPr>
        <w:t xml:space="preserve">or </w:t>
      </w:r>
      <w:r>
        <w:rPr>
          <w:rFonts w:ascii="Times New Roman" w:eastAsia="Times New Roman" w:hAnsi="Times New Roman" w:cs="Times New Roman"/>
          <w:sz w:val="26"/>
          <w:szCs w:val="26"/>
          <w:u w:val="single"/>
        </w:rPr>
        <w:t>§ 62.6</w:t>
      </w:r>
      <w:r w:rsidRPr="00E21B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the time frame for evaluations should be as follows: </w:t>
      </w:r>
    </w:p>
    <w:p w14:paraId="6DF6F816" w14:textId="7777777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xml:space="preserve">       (A)   Following the expansion of a CAP or subsequent to substantial revision of an existing CAP or alternate program design, a one-time process evaluation completed by an independent third-party should be undertaken during the middle of the second year. </w:t>
      </w:r>
    </w:p>
    <w:p w14:paraId="36985BA7" w14:textId="727D3A29"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(B)   Program</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 xml:space="preserve">program </w:t>
      </w:r>
      <w:r w:rsidRPr="00E21B7F">
        <w:rPr>
          <w:rFonts w:ascii="Times New Roman" w:eastAsia="Times New Roman" w:hAnsi="Times New Roman" w:cs="Times New Roman"/>
          <w:sz w:val="26"/>
          <w:szCs w:val="26"/>
        </w:rPr>
        <w:t>impacts should be evaluated by an independent third-party at no more than 6 year intervals and submitted to the Commission.</w:t>
      </w:r>
      <w:r w:rsidRPr="000B527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C033FD">
        <w:rPr>
          <w:rFonts w:ascii="Times New Roman" w:eastAsia="Times New Roman" w:hAnsi="Times New Roman" w:cs="Times New Roman"/>
          <w:sz w:val="26"/>
          <w:szCs w:val="26"/>
          <w:u w:val="single"/>
        </w:rPr>
        <w:t>The impact evaluations should be filed and served at the utility</w:t>
      </w:r>
      <w:r w:rsidR="001529C6">
        <w:rPr>
          <w:rFonts w:ascii="Times New Roman" w:eastAsia="Times New Roman" w:hAnsi="Times New Roman" w:cs="Times New Roman"/>
          <w:sz w:val="26"/>
          <w:szCs w:val="26"/>
          <w:u w:val="single"/>
        </w:rPr>
        <w:t>’</w:t>
      </w:r>
      <w:r w:rsidRPr="00C033FD">
        <w:rPr>
          <w:rFonts w:ascii="Times New Roman" w:eastAsia="Times New Roman" w:hAnsi="Times New Roman" w:cs="Times New Roman"/>
          <w:sz w:val="26"/>
          <w:szCs w:val="26"/>
          <w:u w:val="single"/>
        </w:rPr>
        <w:t>s then-current USECP docket and submitted to the Bureau of Consumer Services.</w:t>
      </w:r>
      <w:r>
        <w:rPr>
          <w:rFonts w:ascii="Times New Roman" w:eastAsia="Times New Roman" w:hAnsi="Times New Roman" w:cs="Times New Roman"/>
          <w:sz w:val="26"/>
          <w:szCs w:val="26"/>
        </w:rPr>
        <w:t xml:space="preserve"> </w:t>
      </w:r>
    </w:p>
    <w:p w14:paraId="0E00F2A8" w14:textId="77777777" w:rsidR="003F4CB9"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(iii)   </w:t>
      </w:r>
      <w:r w:rsidRPr="00E21B7F">
        <w:rPr>
          <w:rFonts w:ascii="Times New Roman" w:eastAsia="Times New Roman" w:hAnsi="Times New Roman" w:cs="Times New Roman"/>
          <w:i/>
          <w:iCs/>
          <w:sz w:val="26"/>
          <w:szCs w:val="26"/>
        </w:rPr>
        <w:t>Evaluation plan approval.</w:t>
      </w:r>
      <w:r w:rsidRPr="00E21B7F">
        <w:rPr>
          <w:rFonts w:ascii="Times New Roman" w:eastAsia="Times New Roman" w:hAnsi="Times New Roman" w:cs="Times New Roman"/>
          <w:sz w:val="26"/>
          <w:szCs w:val="26"/>
        </w:rPr>
        <w:t xml:space="preserve"> The utility should submit the impact evaluation plan to the Bureau of Consumer Services for review and approval.</w:t>
      </w:r>
    </w:p>
    <w:p w14:paraId="5569DA77" w14:textId="77777777" w:rsidR="003F4CB9" w:rsidRPr="00931A21" w:rsidRDefault="003F4CB9" w:rsidP="003F4CB9">
      <w:pPr>
        <w:spacing w:before="100" w:beforeAutospacing="1" w:after="100" w:afterAutospacing="1" w:line="240" w:lineRule="auto"/>
        <w:rPr>
          <w:rFonts w:ascii="Times New Roman" w:hAnsi="Times New Roman"/>
          <w:bCs/>
          <w:color w:val="0D0D0D" w:themeColor="text1" w:themeTint="F2"/>
          <w:sz w:val="26"/>
          <w:szCs w:val="26"/>
          <w:u w:val="single"/>
        </w:rPr>
      </w:pPr>
      <w:r w:rsidRPr="00931A21">
        <w:rPr>
          <w:rFonts w:ascii="Times New Roman" w:eastAsia="Times New Roman" w:hAnsi="Times New Roman" w:cs="Times New Roman"/>
          <w:sz w:val="26"/>
          <w:szCs w:val="26"/>
        </w:rPr>
        <w:t>   </w:t>
      </w:r>
      <w:r w:rsidRPr="00931A21">
        <w:rPr>
          <w:rFonts w:ascii="Times New Roman" w:eastAsia="Times New Roman" w:hAnsi="Times New Roman" w:cs="Times New Roman"/>
          <w:sz w:val="26"/>
          <w:szCs w:val="26"/>
          <w:u w:val="single"/>
        </w:rPr>
        <w:t>(1</w:t>
      </w:r>
      <w:r>
        <w:rPr>
          <w:rFonts w:ascii="Times New Roman" w:eastAsia="Times New Roman" w:hAnsi="Times New Roman" w:cs="Times New Roman"/>
          <w:sz w:val="26"/>
          <w:szCs w:val="26"/>
          <w:u w:val="single"/>
        </w:rPr>
        <w:t>4</w:t>
      </w:r>
      <w:r w:rsidRPr="00931A21">
        <w:rPr>
          <w:rFonts w:ascii="Times New Roman" w:eastAsia="Times New Roman" w:hAnsi="Times New Roman" w:cs="Times New Roman"/>
          <w:sz w:val="26"/>
          <w:szCs w:val="26"/>
          <w:u w:val="single"/>
        </w:rPr>
        <w:t>)  </w:t>
      </w:r>
      <w:r w:rsidRPr="00931A21">
        <w:rPr>
          <w:rFonts w:ascii="Times New Roman" w:eastAsia="Times New Roman" w:hAnsi="Times New Roman" w:cs="Times New Roman"/>
          <w:i/>
          <w:sz w:val="26"/>
          <w:szCs w:val="26"/>
          <w:u w:val="single"/>
        </w:rPr>
        <w:t>Industry-standardized forms</w:t>
      </w:r>
      <w:r w:rsidRPr="00931A21">
        <w:rPr>
          <w:rFonts w:ascii="Times New Roman" w:eastAsia="Times New Roman" w:hAnsi="Times New Roman" w:cs="Times New Roman"/>
          <w:sz w:val="26"/>
          <w:szCs w:val="26"/>
          <w:u w:val="single"/>
        </w:rPr>
        <w:t xml:space="preserve">. Utilities are </w:t>
      </w:r>
      <w:r w:rsidRPr="00931A21">
        <w:rPr>
          <w:rFonts w:ascii="Times New Roman" w:hAnsi="Times New Roman"/>
          <w:sz w:val="26"/>
          <w:szCs w:val="26"/>
          <w:u w:val="single"/>
        </w:rPr>
        <w:t>encouraged to develop and use standardized CAP forms and CAP procedures.</w:t>
      </w:r>
    </w:p>
    <w:p w14:paraId="58EEF35A" w14:textId="77777777" w:rsidR="003F4CB9" w:rsidRPr="00E21B7F" w:rsidRDefault="003F4CB9" w:rsidP="003F4CB9">
      <w:pPr>
        <w:keepNext/>
        <w:spacing w:before="100" w:beforeAutospacing="1" w:after="100" w:afterAutospacing="1" w:line="240" w:lineRule="auto"/>
        <w:outlineLvl w:val="3"/>
        <w:rPr>
          <w:rFonts w:ascii="Times New Roman" w:eastAsia="Times New Roman" w:hAnsi="Times New Roman" w:cs="Times New Roman"/>
          <w:b/>
          <w:bCs/>
          <w:sz w:val="26"/>
          <w:szCs w:val="26"/>
        </w:rPr>
      </w:pPr>
      <w:r w:rsidRPr="00E21B7F">
        <w:rPr>
          <w:rFonts w:ascii="Times New Roman" w:eastAsia="Times New Roman" w:hAnsi="Times New Roman" w:cs="Times New Roman"/>
          <w:b/>
          <w:bCs/>
          <w:sz w:val="26"/>
          <w:szCs w:val="26"/>
        </w:rPr>
        <w:t>§ 69.266. Cost recovery.</w:t>
      </w:r>
    </w:p>
    <w:p w14:paraId="61FAA1A7" w14:textId="6406EA17" w:rsidR="003F4CB9" w:rsidRPr="00E21B7F" w:rsidRDefault="003F4CB9" w:rsidP="003F4CB9">
      <w:pPr>
        <w:spacing w:before="100" w:beforeAutospacing="1" w:after="100" w:afterAutospacing="1" w:line="240" w:lineRule="auto"/>
        <w:rPr>
          <w:rFonts w:ascii="Times New Roman" w:eastAsia="Times New Roman" w:hAnsi="Times New Roman" w:cs="Times New Roman"/>
          <w:sz w:val="26"/>
          <w:szCs w:val="26"/>
        </w:rPr>
      </w:pPr>
      <w:r w:rsidRPr="00E21B7F">
        <w:rPr>
          <w:rFonts w:ascii="Times New Roman" w:eastAsia="Times New Roman" w:hAnsi="Times New Roman" w:cs="Times New Roman"/>
          <w:sz w:val="26"/>
          <w:szCs w:val="26"/>
        </w:rPr>
        <w:t> </w:t>
      </w:r>
      <w:r w:rsidRPr="4E6986F7">
        <w:rPr>
          <w:rFonts w:ascii="Times New Roman" w:eastAsia="Times New Roman" w:hAnsi="Times New Roman" w:cs="Times New Roman"/>
          <w:sz w:val="26"/>
          <w:szCs w:val="26"/>
          <w:u w:val="single"/>
        </w:rPr>
        <w:t>(a)</w:t>
      </w:r>
      <w:r w:rsidRPr="00292224">
        <w:rPr>
          <w:rFonts w:ascii="Times New Roman" w:eastAsia="Times New Roman" w:hAnsi="Times New Roman" w:cs="Times New Roman"/>
          <w:sz w:val="26"/>
          <w:szCs w:val="26"/>
        </w:rPr>
        <w:t>  </w:t>
      </w:r>
      <w:r w:rsidRPr="00E21B7F">
        <w:rPr>
          <w:rFonts w:ascii="Times New Roman" w:eastAsia="Times New Roman" w:hAnsi="Times New Roman" w:cs="Times New Roman"/>
          <w:sz w:val="26"/>
          <w:szCs w:val="26"/>
        </w:rPr>
        <w:t>In evaluating utility CAPs for ratemaking purposes, the Commission will consider both revenue and expense impacts. Revenue impact considerations include a comparison between the amount of revenue collected from CAP participants prior to and during their enrollment in the CAP. CAP expense impacts include both the expenses associated with operating the CAPs as well as the potential decrease of customary utility operating expenses. Operating expenses include the return requirement on cash working capital for carrying arrearages, the cost of credit and collection activities for dealing with low income negative ability to pay customers and uncollectible accounts expense for writing off bad debt for these customers. When making CAP-related expense adjustments and projections, utilities should indicate whether a customer</w:t>
      </w:r>
      <w:r w:rsidR="001529C6">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s participation in a CAP produced an immediate reduction in customary utility expenses and a reduction in future customary expenses pertaining to that account.</w:t>
      </w:r>
    </w:p>
    <w:p w14:paraId="67187B54" w14:textId="77777777" w:rsidR="003F4CB9" w:rsidRDefault="003F4CB9" w:rsidP="003F4CB9">
      <w:pPr>
        <w:spacing w:beforeAutospacing="1" w:afterAutospacing="1" w:line="240" w:lineRule="auto"/>
        <w:rPr>
          <w:rFonts w:ascii="Times New Roman" w:eastAsia="Times New Roman" w:hAnsi="Times New Roman" w:cs="Times New Roman"/>
          <w:sz w:val="26"/>
          <w:szCs w:val="26"/>
          <w:u w:val="single"/>
        </w:rPr>
      </w:pPr>
      <w:r w:rsidRPr="00D0331A">
        <w:rPr>
          <w:rFonts w:ascii="Times New Roman" w:eastAsia="Times New Roman" w:hAnsi="Times New Roman" w:cs="Times New Roman"/>
          <w:sz w:val="26"/>
          <w:szCs w:val="26"/>
        </w:rPr>
        <w:t> </w:t>
      </w:r>
      <w:r w:rsidRPr="1A88E061">
        <w:rPr>
          <w:rFonts w:ascii="Times New Roman" w:eastAsia="Times New Roman" w:hAnsi="Times New Roman" w:cs="Times New Roman"/>
          <w:sz w:val="26"/>
          <w:szCs w:val="26"/>
          <w:u w:val="single"/>
        </w:rPr>
        <w:t>(b)</w:t>
      </w:r>
      <w:r>
        <w:rPr>
          <w:rFonts w:ascii="Times New Roman" w:eastAsia="Times New Roman" w:hAnsi="Times New Roman" w:cs="Times New Roman"/>
          <w:sz w:val="26"/>
          <w:szCs w:val="26"/>
          <w:u w:val="single"/>
        </w:rPr>
        <w:t>  </w:t>
      </w:r>
      <w:r w:rsidRPr="1A88E061">
        <w:rPr>
          <w:rFonts w:ascii="Times New Roman" w:eastAsia="Times New Roman" w:hAnsi="Times New Roman" w:cs="Times New Roman"/>
          <w:sz w:val="26"/>
          <w:szCs w:val="26"/>
          <w:u w:val="single"/>
        </w:rPr>
        <w:t>In rate cases, parties may raise the issue of recovery of CAP costs, whether specifically or as part of universal service program costs in general, from all ratepayer classes.  No rate class should be considered routinely exempt from CAP and other universal service obligations.</w:t>
      </w:r>
    </w:p>
    <w:p w14:paraId="3140226E" w14:textId="77777777" w:rsidR="003F4CB9" w:rsidRPr="00E21B7F" w:rsidRDefault="003F4CB9" w:rsidP="003F4CB9">
      <w:pPr>
        <w:keepNext/>
        <w:spacing w:before="100" w:beforeAutospacing="1" w:after="100" w:afterAutospacing="1" w:line="240" w:lineRule="auto"/>
        <w:outlineLvl w:val="3"/>
        <w:rPr>
          <w:rFonts w:ascii="Times New Roman" w:eastAsia="Times New Roman" w:hAnsi="Times New Roman" w:cs="Times New Roman"/>
          <w:b/>
          <w:bCs/>
          <w:sz w:val="26"/>
          <w:szCs w:val="26"/>
        </w:rPr>
      </w:pPr>
      <w:r w:rsidRPr="00E21B7F">
        <w:rPr>
          <w:rFonts w:ascii="Times New Roman" w:eastAsia="Times New Roman" w:hAnsi="Times New Roman" w:cs="Times New Roman"/>
          <w:b/>
          <w:bCs/>
          <w:sz w:val="26"/>
          <w:szCs w:val="26"/>
        </w:rPr>
        <w:t>§ 69.267. Alternative program designs.</w:t>
      </w:r>
    </w:p>
    <w:p w14:paraId="42F5CB6A" w14:textId="193A22E4" w:rsidR="00622DD9" w:rsidRPr="00735D5B" w:rsidRDefault="003F4CB9" w:rsidP="00066F68">
      <w:pPr>
        <w:spacing w:before="100" w:beforeAutospacing="1" w:after="100" w:afterAutospacing="1" w:line="240" w:lineRule="auto"/>
        <w:rPr>
          <w:sz w:val="26"/>
          <w:szCs w:val="26"/>
        </w:rPr>
      </w:pPr>
      <w:bookmarkStart w:id="46" w:name="69.267."/>
      <w:r w:rsidRPr="00E21B7F">
        <w:rPr>
          <w:rFonts w:ascii="Times New Roman" w:eastAsia="Times New Roman" w:hAnsi="Times New Roman" w:cs="Times New Roman"/>
          <w:sz w:val="26"/>
          <w:szCs w:val="26"/>
        </w:rPr>
        <w:t xml:space="preserve"> Alternative program designs that differ from §§ 69.261—69.266 and this section may reduce uncollectible balances and may provide </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low income, payment troubled</w:t>
      </w:r>
      <w:r>
        <w:rPr>
          <w:rFonts w:ascii="Times New Roman" w:eastAsia="Times New Roman" w:hAnsi="Times New Roman" w:cs="Times New Roman"/>
          <w:sz w:val="26"/>
          <w:szCs w:val="26"/>
        </w:rPr>
        <w:t>]</w:t>
      </w:r>
      <w:r w:rsidRPr="00E21B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 xml:space="preserve">low-income </w:t>
      </w:r>
      <w:r w:rsidRPr="00E21B7F">
        <w:rPr>
          <w:rFonts w:ascii="Times New Roman" w:eastAsia="Times New Roman" w:hAnsi="Times New Roman" w:cs="Times New Roman"/>
          <w:sz w:val="26"/>
          <w:szCs w:val="26"/>
        </w:rPr>
        <w:t xml:space="preserve">customers with needed assistance. These programs may be acceptable if the utility can provide support for design deviations. Before implementing an alternative program design, the utility should submit its proposal including an evaluation plan as described in </w:t>
      </w:r>
      <w:r>
        <w:rPr>
          <w:rFonts w:ascii="Times New Roman" w:eastAsia="Times New Roman" w:hAnsi="Times New Roman" w:cs="Times New Roman"/>
          <w:sz w:val="26"/>
          <w:szCs w:val="26"/>
        </w:rPr>
        <w:t>[</w:t>
      </w:r>
      <w:r w:rsidRPr="00172712">
        <w:rPr>
          <w:rFonts w:ascii="Times New Roman" w:eastAsia="Times New Roman" w:hAnsi="Times New Roman" w:cs="Times New Roman"/>
          <w:sz w:val="26"/>
          <w:szCs w:val="26"/>
        </w:rPr>
        <w:t>§ 69.265(10)]</w:t>
      </w:r>
      <w:r>
        <w:rPr>
          <w:rFonts w:ascii="Times New Roman" w:eastAsia="Times New Roman" w:hAnsi="Times New Roman" w:cs="Times New Roman"/>
          <w:sz w:val="26"/>
          <w:szCs w:val="26"/>
        </w:rPr>
        <w:t xml:space="preserve"> </w:t>
      </w:r>
      <w:r w:rsidRPr="00D4735B">
        <w:rPr>
          <w:rFonts w:ascii="Times New Roman" w:eastAsia="Times New Roman" w:hAnsi="Times New Roman" w:cs="Times New Roman"/>
          <w:sz w:val="26"/>
          <w:szCs w:val="26"/>
          <w:u w:val="single"/>
        </w:rPr>
        <w:t>§ 69.265</w:t>
      </w:r>
      <w:r>
        <w:rPr>
          <w:rFonts w:ascii="Times New Roman" w:eastAsia="Times New Roman" w:hAnsi="Times New Roman" w:cs="Times New Roman"/>
          <w:sz w:val="26"/>
          <w:szCs w:val="26"/>
          <w:u w:val="single"/>
        </w:rPr>
        <w:t>(1</w:t>
      </w:r>
      <w:r w:rsidR="00BB72C7">
        <w:rPr>
          <w:rFonts w:ascii="Times New Roman" w:eastAsia="Times New Roman" w:hAnsi="Times New Roman" w:cs="Times New Roman"/>
          <w:sz w:val="26"/>
          <w:szCs w:val="26"/>
          <w:u w:val="single"/>
        </w:rPr>
        <w:t>3</w:t>
      </w:r>
      <w:r>
        <w:rPr>
          <w:rFonts w:ascii="Times New Roman" w:eastAsia="Times New Roman" w:hAnsi="Times New Roman" w:cs="Times New Roman"/>
          <w:sz w:val="26"/>
          <w:szCs w:val="26"/>
          <w:u w:val="single"/>
        </w:rPr>
        <w:t>)</w:t>
      </w:r>
      <w:r w:rsidRPr="00172712">
        <w:rPr>
          <w:rFonts w:ascii="Times New Roman" w:eastAsia="Times New Roman" w:hAnsi="Times New Roman" w:cs="Times New Roman"/>
          <w:sz w:val="26"/>
          <w:szCs w:val="26"/>
        </w:rPr>
        <w:t xml:space="preserve"> (relating to CAP design elements) to the Bureau of Consumer Services for review</w:t>
      </w:r>
      <w:r w:rsidRPr="00172712">
        <w:rPr>
          <w:rFonts w:ascii="Times New Roman" w:hAnsi="Times New Roman" w:cs="Times New Roman"/>
          <w:sz w:val="26"/>
          <w:szCs w:val="26"/>
          <w:u w:val="single"/>
        </w:rPr>
        <w:t>. Thereafter, if the utility determines to proceed with proposing the alternative program design, it will need to file and serve the proposed alternative program design</w:t>
      </w:r>
      <w:r>
        <w:rPr>
          <w:rFonts w:ascii="Times New Roman" w:hAnsi="Times New Roman" w:cs="Times New Roman"/>
          <w:sz w:val="26"/>
          <w:szCs w:val="26"/>
          <w:u w:val="single"/>
        </w:rPr>
        <w:t xml:space="preserve"> as it would a proposed USECP that conforms to this policy statement</w:t>
      </w:r>
      <w:r w:rsidRPr="00172712">
        <w:rPr>
          <w:rFonts w:ascii="Times New Roman" w:hAnsi="Times New Roman" w:cs="Times New Roman"/>
          <w:sz w:val="26"/>
          <w:szCs w:val="26"/>
          <w:u w:val="single"/>
        </w:rPr>
        <w:t xml:space="preserve">. The proposed alternative program design </w:t>
      </w:r>
      <w:r>
        <w:rPr>
          <w:rFonts w:ascii="Times New Roman" w:hAnsi="Times New Roman" w:cs="Times New Roman"/>
          <w:sz w:val="26"/>
          <w:szCs w:val="26"/>
          <w:u w:val="single"/>
        </w:rPr>
        <w:t>should not</w:t>
      </w:r>
      <w:r w:rsidRPr="00172712">
        <w:rPr>
          <w:rFonts w:ascii="Times New Roman" w:hAnsi="Times New Roman" w:cs="Times New Roman"/>
          <w:sz w:val="26"/>
          <w:szCs w:val="26"/>
          <w:u w:val="single"/>
        </w:rPr>
        <w:t xml:space="preserve"> be implemented until it has received </w:t>
      </w:r>
      <w:r w:rsidRPr="00172712">
        <w:rPr>
          <w:rFonts w:ascii="Times New Roman" w:hAnsi="Times New Roman" w:cs="Times New Roman"/>
          <w:sz w:val="26"/>
          <w:szCs w:val="26"/>
        </w:rPr>
        <w:t>[</w:t>
      </w:r>
      <w:r w:rsidRPr="00172712">
        <w:rPr>
          <w:rFonts w:ascii="Times New Roman" w:eastAsia="Times New Roman" w:hAnsi="Times New Roman" w:cs="Times New Roman"/>
          <w:sz w:val="26"/>
          <w:szCs w:val="26"/>
        </w:rPr>
        <w:t>and] Commission approval.</w:t>
      </w:r>
      <w:bookmarkEnd w:id="46"/>
    </w:p>
    <w:sectPr w:rsidR="00622DD9" w:rsidRPr="00735D5B" w:rsidSect="00354397">
      <w:headerReference w:type="first" r:id="rId31"/>
      <w:footerReference w:type="first" r:id="rId3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C37BB" w14:textId="77777777" w:rsidR="00201862" w:rsidRDefault="00201862" w:rsidP="000B2531">
      <w:pPr>
        <w:spacing w:after="0" w:line="240" w:lineRule="auto"/>
      </w:pPr>
      <w:r>
        <w:separator/>
      </w:r>
    </w:p>
  </w:endnote>
  <w:endnote w:type="continuationSeparator" w:id="0">
    <w:p w14:paraId="638B58C5" w14:textId="77777777" w:rsidR="00201862" w:rsidRDefault="00201862" w:rsidP="000B2531">
      <w:pPr>
        <w:spacing w:after="0" w:line="240" w:lineRule="auto"/>
      </w:pPr>
      <w:r>
        <w:continuationSeparator/>
      </w:r>
    </w:p>
  </w:endnote>
  <w:endnote w:type="continuationNotice" w:id="1">
    <w:p w14:paraId="73E1239D" w14:textId="77777777" w:rsidR="00201862" w:rsidRDefault="00201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1478" w14:textId="77777777" w:rsidR="00223E05" w:rsidRDefault="0022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367F278" w14:textId="77777777" w:rsidR="00223E05" w:rsidRDefault="00223E05">
    <w:pPr>
      <w:pStyle w:val="Footer"/>
    </w:pPr>
  </w:p>
  <w:p w14:paraId="792CDAE5" w14:textId="77777777" w:rsidR="00223E05" w:rsidRDefault="00223E05"/>
  <w:p w14:paraId="38F47B4A" w14:textId="77777777" w:rsidR="00223E05" w:rsidRDefault="0022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60E2" w14:textId="4117B605" w:rsidR="00223E05" w:rsidRPr="00B811C1" w:rsidRDefault="00223E05">
    <w:pPr>
      <w:pStyle w:val="Footer"/>
      <w:framePr w:wrap="around" w:vAnchor="text" w:hAnchor="margin" w:xAlign="center" w:y="1"/>
      <w:rPr>
        <w:rStyle w:val="PageNumber"/>
        <w:sz w:val="22"/>
        <w:szCs w:val="22"/>
      </w:rPr>
    </w:pPr>
    <w:r w:rsidRPr="00B811C1">
      <w:rPr>
        <w:rStyle w:val="PageNumber"/>
        <w:sz w:val="22"/>
        <w:szCs w:val="22"/>
      </w:rPr>
      <w:fldChar w:fldCharType="begin"/>
    </w:r>
    <w:r>
      <w:rPr>
        <w:rStyle w:val="PageNumber"/>
      </w:rPr>
      <w:instrText xml:space="preserve">PAGE  </w:instrText>
    </w:r>
    <w:r w:rsidRPr="00B811C1">
      <w:rPr>
        <w:rStyle w:val="PageNumber"/>
        <w:sz w:val="22"/>
        <w:szCs w:val="22"/>
      </w:rPr>
      <w:fldChar w:fldCharType="separate"/>
    </w:r>
    <w:r>
      <w:rPr>
        <w:rStyle w:val="PageNumber"/>
        <w:noProof/>
      </w:rPr>
      <w:t>66</w:t>
    </w:r>
    <w:r w:rsidRPr="00B811C1">
      <w:rPr>
        <w:rStyle w:val="PageNumber"/>
        <w:sz w:val="22"/>
        <w:szCs w:val="22"/>
      </w:rPr>
      <w:fldChar w:fldCharType="end"/>
    </w:r>
  </w:p>
  <w:p w14:paraId="4BA3498E" w14:textId="77777777" w:rsidR="00223E05" w:rsidRDefault="00223E05" w:rsidP="00B90F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1D7F" w14:textId="6BC13374" w:rsidR="00223E05" w:rsidRDefault="00223E05">
    <w:pPr>
      <w:pStyle w:val="Footer"/>
      <w:jc w:val="center"/>
    </w:pPr>
  </w:p>
  <w:p w14:paraId="24326F14" w14:textId="2B796916" w:rsidR="00223E05" w:rsidRDefault="00223E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362935"/>
      <w:docPartObj>
        <w:docPartGallery w:val="Page Numbers (Bottom of Page)"/>
        <w:docPartUnique/>
      </w:docPartObj>
    </w:sdtPr>
    <w:sdtEndPr>
      <w:rPr>
        <w:noProof/>
      </w:rPr>
    </w:sdtEndPr>
    <w:sdtContent>
      <w:p w14:paraId="0C9EB5CA" w14:textId="1DFDC9AC" w:rsidR="00223E05" w:rsidRDefault="00223E05" w:rsidP="00066F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8F06" w14:textId="77777777" w:rsidR="00223E05" w:rsidRDefault="00223E05">
    <w:pPr>
      <w:pStyle w:val="Footer"/>
      <w:jc w:val="center"/>
    </w:pPr>
  </w:p>
  <w:p w14:paraId="12938A09" w14:textId="77777777" w:rsidR="00223E05" w:rsidRDefault="00223E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A9AF" w14:textId="19BCCBD1" w:rsidR="00223E05" w:rsidRDefault="00223E05" w:rsidP="00787BF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DF2C" w14:textId="1B3BBD9D" w:rsidR="00223E05" w:rsidRDefault="00223E05" w:rsidP="00787BF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961509"/>
      <w:docPartObj>
        <w:docPartGallery w:val="Page Numbers (Bottom of Page)"/>
        <w:docPartUnique/>
      </w:docPartObj>
    </w:sdtPr>
    <w:sdtEndPr>
      <w:rPr>
        <w:noProof/>
      </w:rPr>
    </w:sdtEndPr>
    <w:sdtContent>
      <w:p w14:paraId="3E3653B2" w14:textId="68296311" w:rsidR="00223E05" w:rsidRDefault="00223E05" w:rsidP="00F04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ED442" w14:textId="77777777" w:rsidR="00201862" w:rsidRDefault="00201862" w:rsidP="000B2531">
      <w:pPr>
        <w:spacing w:after="0" w:line="240" w:lineRule="auto"/>
      </w:pPr>
      <w:r>
        <w:separator/>
      </w:r>
    </w:p>
  </w:footnote>
  <w:footnote w:type="continuationSeparator" w:id="0">
    <w:p w14:paraId="26692FEF" w14:textId="77777777" w:rsidR="00201862" w:rsidRDefault="00201862" w:rsidP="000B2531">
      <w:pPr>
        <w:spacing w:after="0" w:line="240" w:lineRule="auto"/>
      </w:pPr>
      <w:r>
        <w:continuationSeparator/>
      </w:r>
    </w:p>
  </w:footnote>
  <w:footnote w:type="continuationNotice" w:id="1">
    <w:p w14:paraId="1259A279" w14:textId="77777777" w:rsidR="00201862" w:rsidRDefault="00201862">
      <w:pPr>
        <w:spacing w:after="0" w:line="240" w:lineRule="auto"/>
      </w:pPr>
    </w:p>
  </w:footnote>
  <w:footnote w:id="2">
    <w:p w14:paraId="068A5BDE" w14:textId="0476F629"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Released via order entered on January 17, 2019, in </w:t>
      </w:r>
      <w:r w:rsidRPr="00D869A2">
        <w:rPr>
          <w:i/>
          <w:spacing w:val="15"/>
          <w:sz w:val="22"/>
          <w:szCs w:val="22"/>
        </w:rPr>
        <w:t>Energy Affordability for Low-Income Customers</w:t>
      </w:r>
      <w:r w:rsidRPr="00D869A2">
        <w:rPr>
          <w:sz w:val="22"/>
          <w:szCs w:val="22"/>
        </w:rPr>
        <w:t>, Docket No. M-2017-2587711 (</w:t>
      </w:r>
      <w:r w:rsidRPr="00D869A2">
        <w:rPr>
          <w:i/>
          <w:sz w:val="22"/>
          <w:szCs w:val="22"/>
        </w:rPr>
        <w:t>Energy Affordability</w:t>
      </w:r>
      <w:r w:rsidRPr="00D869A2">
        <w:rPr>
          <w:sz w:val="22"/>
          <w:szCs w:val="22"/>
        </w:rPr>
        <w:t xml:space="preserve"> proceeding).  </w:t>
      </w:r>
      <w:hyperlink r:id="rId1" w:history="1">
        <w:r w:rsidRPr="00D869A2">
          <w:rPr>
            <w:rStyle w:val="Hyperlink"/>
            <w:sz w:val="22"/>
            <w:szCs w:val="22"/>
          </w:rPr>
          <w:t>http://www.puc.pa.gov/pcdocs/1602386.pdf</w:t>
        </w:r>
      </w:hyperlink>
      <w:r w:rsidRPr="00D869A2">
        <w:rPr>
          <w:rStyle w:val="Hyperlink"/>
          <w:color w:val="auto"/>
          <w:sz w:val="22"/>
          <w:szCs w:val="22"/>
          <w:u w:val="none"/>
        </w:rPr>
        <w:t xml:space="preserve">.  </w:t>
      </w:r>
      <w:r w:rsidRPr="00D869A2">
        <w:rPr>
          <w:rStyle w:val="Hyperlink"/>
          <w:i/>
          <w:color w:val="auto"/>
          <w:sz w:val="22"/>
          <w:szCs w:val="22"/>
          <w:u w:val="none"/>
        </w:rPr>
        <w:t>See also</w:t>
      </w:r>
      <w:r w:rsidRPr="00D869A2">
        <w:rPr>
          <w:rStyle w:val="Hyperlink"/>
          <w:i/>
          <w:color w:val="auto"/>
          <w:sz w:val="22"/>
          <w:szCs w:val="22"/>
        </w:rPr>
        <w:t xml:space="preserve"> </w:t>
      </w:r>
      <w:r w:rsidRPr="00D869A2">
        <w:rPr>
          <w:i/>
          <w:spacing w:val="15"/>
          <w:sz w:val="22"/>
          <w:szCs w:val="22"/>
        </w:rPr>
        <w:t>Review of Universal Service and Energy Conservation Programs</w:t>
      </w:r>
      <w:r w:rsidRPr="00D869A2">
        <w:rPr>
          <w:spacing w:val="15"/>
          <w:sz w:val="22"/>
          <w:szCs w:val="22"/>
        </w:rPr>
        <w:t xml:space="preserve">, Docket No. </w:t>
      </w:r>
      <w:r w:rsidRPr="00D869A2">
        <w:rPr>
          <w:sz w:val="22"/>
          <w:szCs w:val="22"/>
        </w:rPr>
        <w:t>M­2017­2596907 (</w:t>
      </w:r>
      <w:r w:rsidRPr="00D869A2">
        <w:rPr>
          <w:i/>
          <w:sz w:val="22"/>
          <w:szCs w:val="22"/>
        </w:rPr>
        <w:t>Review</w:t>
      </w:r>
      <w:r w:rsidRPr="00D869A2">
        <w:rPr>
          <w:sz w:val="22"/>
          <w:szCs w:val="22"/>
        </w:rPr>
        <w:t xml:space="preserve"> proceeding).  </w:t>
      </w:r>
    </w:p>
  </w:footnote>
  <w:footnote w:id="3">
    <w:p w14:paraId="78A66733" w14:textId="70622EA7" w:rsidR="00223E05" w:rsidRPr="00D869A2" w:rsidRDefault="00223E05" w:rsidP="00024368">
      <w:pPr>
        <w:pStyle w:val="FootnoteText"/>
        <w:rPr>
          <w:sz w:val="22"/>
          <w:szCs w:val="22"/>
        </w:rPr>
      </w:pPr>
      <w:r w:rsidRPr="00D869A2">
        <w:rPr>
          <w:rStyle w:val="FootnoteReference"/>
          <w:sz w:val="22"/>
          <w:szCs w:val="22"/>
        </w:rPr>
        <w:footnoteRef/>
      </w:r>
      <w:r w:rsidRPr="00D869A2">
        <w:rPr>
          <w:sz w:val="22"/>
          <w:szCs w:val="22"/>
        </w:rPr>
        <w:t xml:space="preserve">  Order entered on May 5, 2017, in the </w:t>
      </w:r>
      <w:r w:rsidRPr="00D869A2">
        <w:rPr>
          <w:i/>
          <w:sz w:val="22"/>
          <w:szCs w:val="22"/>
        </w:rPr>
        <w:t xml:space="preserve">Review </w:t>
      </w:r>
      <w:r w:rsidRPr="00D869A2">
        <w:rPr>
          <w:sz w:val="22"/>
          <w:szCs w:val="22"/>
        </w:rPr>
        <w:t>proceeding.</w:t>
      </w:r>
    </w:p>
  </w:footnote>
  <w:footnote w:id="4">
    <w:p w14:paraId="6DB2A1B3" w14:textId="64FF6706" w:rsidR="00223E05" w:rsidRPr="00D869A2" w:rsidRDefault="00223E05" w:rsidP="00024368">
      <w:pPr>
        <w:pStyle w:val="FootnoteText"/>
        <w:rPr>
          <w:sz w:val="22"/>
          <w:szCs w:val="22"/>
        </w:rPr>
      </w:pPr>
      <w:r w:rsidRPr="00D869A2">
        <w:rPr>
          <w:rStyle w:val="FootnoteReference"/>
          <w:sz w:val="22"/>
          <w:szCs w:val="22"/>
        </w:rPr>
        <w:footnoteRef/>
      </w:r>
      <w:r w:rsidRPr="00D869A2">
        <w:rPr>
          <w:sz w:val="22"/>
          <w:szCs w:val="22"/>
        </w:rPr>
        <w:t xml:space="preserve">  Order entered on May 10, 2017, in the </w:t>
      </w:r>
      <w:r w:rsidRPr="00D869A2">
        <w:rPr>
          <w:i/>
          <w:sz w:val="22"/>
          <w:szCs w:val="22"/>
        </w:rPr>
        <w:t xml:space="preserve">Energy Affordability </w:t>
      </w:r>
      <w:r w:rsidRPr="00D869A2">
        <w:rPr>
          <w:sz w:val="22"/>
          <w:szCs w:val="22"/>
        </w:rPr>
        <w:t>proceeding.</w:t>
      </w:r>
    </w:p>
  </w:footnote>
  <w:footnote w:id="5">
    <w:p w14:paraId="24223723" w14:textId="0686F52E"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As indicated in Appendix B, there were numerous stakeholders in </w:t>
      </w:r>
      <w:r w:rsidRPr="00D869A2">
        <w:rPr>
          <w:i/>
          <w:sz w:val="22"/>
          <w:szCs w:val="22"/>
        </w:rPr>
        <w:t>Review</w:t>
      </w:r>
      <w:r w:rsidRPr="00D869A2">
        <w:rPr>
          <w:sz w:val="22"/>
          <w:szCs w:val="22"/>
        </w:rPr>
        <w:t xml:space="preserve"> and </w:t>
      </w:r>
      <w:r w:rsidRPr="00D869A2">
        <w:rPr>
          <w:i/>
          <w:sz w:val="22"/>
          <w:szCs w:val="22"/>
        </w:rPr>
        <w:t>Energy Affordability</w:t>
      </w:r>
      <w:r w:rsidRPr="00D869A2">
        <w:rPr>
          <w:sz w:val="22"/>
          <w:szCs w:val="22"/>
        </w:rPr>
        <w:t xml:space="preserve"> proceeding.  In addition to the participating EDCs and NGDCs and the Energy Association of Pennsylvania (EAP), other active participants included statutory advocates, low-income advocates, industrial user groups, community-based organizations, other agencies, energy marketers, educational institutions, and others.  Our appreciation extends to all who participated actively or by observation.   </w:t>
      </w:r>
    </w:p>
  </w:footnote>
  <w:footnote w:id="6">
    <w:p w14:paraId="17DA4C7F" w14:textId="77777777" w:rsidR="00223E05" w:rsidRPr="00D869A2" w:rsidRDefault="00223E05" w:rsidP="009F7846">
      <w:pPr>
        <w:pStyle w:val="FootnoteText"/>
        <w:rPr>
          <w:sz w:val="22"/>
          <w:szCs w:val="22"/>
        </w:rPr>
      </w:pPr>
      <w:r w:rsidRPr="00D869A2">
        <w:rPr>
          <w:rStyle w:val="FootnoteReference"/>
          <w:sz w:val="22"/>
          <w:szCs w:val="22"/>
        </w:rPr>
        <w:footnoteRef/>
      </w:r>
      <w:r w:rsidRPr="00D869A2">
        <w:rPr>
          <w:sz w:val="22"/>
          <w:szCs w:val="22"/>
        </w:rPr>
        <w:t xml:space="preserve">  A low-income customer is one with a household income at or below 150% of the Federal Poverty Income Guidelines (FPIG).  </w:t>
      </w:r>
    </w:p>
  </w:footnote>
  <w:footnote w:id="7">
    <w:p w14:paraId="2CB550A5" w14:textId="6E7FAFFC" w:rsidR="00223E05" w:rsidRPr="00D869A2" w:rsidRDefault="00223E05" w:rsidP="009F7846">
      <w:pPr>
        <w:pStyle w:val="FootnoteText"/>
        <w:rPr>
          <w:sz w:val="22"/>
          <w:szCs w:val="22"/>
        </w:rPr>
      </w:pPr>
      <w:r w:rsidRPr="00D869A2">
        <w:rPr>
          <w:rStyle w:val="FootnoteReference"/>
          <w:sz w:val="22"/>
          <w:szCs w:val="22"/>
        </w:rPr>
        <w:footnoteRef/>
      </w:r>
      <w:r w:rsidRPr="00D869A2">
        <w:rPr>
          <w:sz w:val="22"/>
          <w:szCs w:val="22"/>
        </w:rPr>
        <w:t xml:space="preserve">  Section 2803 of the Electricity Generation Customer Choice and Competition Act, 66 Pa. C.S. §§ 2801–2816 (1997), and Section 2202 of the Natural Gas Choice and Competition Act, 66 Pa. C.S. §§ 2201–2212 (1999</w:t>
      </w:r>
      <w:r w:rsidRPr="00D869A2" w:rsidDel="00CB614F">
        <w:rPr>
          <w:sz w:val="22"/>
          <w:szCs w:val="22"/>
        </w:rPr>
        <w:t>)</w:t>
      </w:r>
      <w:r w:rsidRPr="00D869A2">
        <w:rPr>
          <w:sz w:val="22"/>
          <w:szCs w:val="22"/>
        </w:rPr>
        <w:t xml:space="preserve">, (respectively </w:t>
      </w:r>
      <w:bookmarkStart w:id="3" w:name="_Hlk16864487"/>
      <w:r w:rsidRPr="00D869A2">
        <w:rPr>
          <w:sz w:val="22"/>
          <w:szCs w:val="22"/>
        </w:rPr>
        <w:t>Electric Competition Act and Natural Gas Competition Act</w:t>
      </w:r>
      <w:bookmarkEnd w:id="3"/>
      <w:r w:rsidRPr="00D869A2">
        <w:rPr>
          <w:sz w:val="22"/>
          <w:szCs w:val="22"/>
        </w:rPr>
        <w:t>; collectively Competition Acts).</w:t>
      </w:r>
    </w:p>
  </w:footnote>
  <w:footnote w:id="8">
    <w:p w14:paraId="42E39FBC" w14:textId="20DE631D" w:rsidR="00223E05" w:rsidRPr="00D869A2" w:rsidRDefault="00223E05" w:rsidP="009F7846">
      <w:pPr>
        <w:pStyle w:val="FootnoteText"/>
        <w:rPr>
          <w:sz w:val="22"/>
          <w:szCs w:val="22"/>
        </w:rPr>
      </w:pPr>
      <w:r w:rsidRPr="00D869A2">
        <w:rPr>
          <w:rStyle w:val="FootnoteReference"/>
          <w:sz w:val="22"/>
          <w:szCs w:val="22"/>
        </w:rPr>
        <w:footnoteRef/>
      </w:r>
      <w:r w:rsidRPr="00D869A2">
        <w:rPr>
          <w:sz w:val="22"/>
          <w:szCs w:val="22"/>
        </w:rPr>
        <w:t xml:space="preserve">  LIURPs are intended to assist low-income customers in conserving energy and reducing residential energy bills.  The Commission’s LIURP regulations at 52 Pa. Code §§ 58.1–58.18 (promulgated in 1993 and last amended in 1998) require covered energy utilities to establish fair, effective, and efficient energy usage reduction programs for their low-income customers.  Chapter 58 was effective January 16, 1993.  </w:t>
      </w:r>
      <w:r w:rsidRPr="00D869A2">
        <w:rPr>
          <w:i/>
          <w:sz w:val="22"/>
          <w:szCs w:val="22"/>
        </w:rPr>
        <w:t>See</w:t>
      </w:r>
      <w:r w:rsidRPr="00D869A2">
        <w:rPr>
          <w:sz w:val="22"/>
          <w:szCs w:val="22"/>
        </w:rPr>
        <w:t xml:space="preserve"> 23 </w:t>
      </w:r>
      <w:r w:rsidRPr="00D869A2">
        <w:rPr>
          <w:iCs/>
          <w:sz w:val="22"/>
          <w:szCs w:val="22"/>
        </w:rPr>
        <w:t>Pa.B.</w:t>
      </w:r>
      <w:r w:rsidRPr="00D869A2">
        <w:rPr>
          <w:sz w:val="22"/>
          <w:szCs w:val="22"/>
        </w:rPr>
        <w:t xml:space="preserve"> 265.  Sections 58.2, 58.3, 58.8, and 58.10 were amended effective January 3, 1998.  </w:t>
      </w:r>
      <w:r w:rsidRPr="00D869A2">
        <w:rPr>
          <w:i/>
          <w:sz w:val="22"/>
          <w:szCs w:val="22"/>
        </w:rPr>
        <w:t>See</w:t>
      </w:r>
      <w:r w:rsidRPr="00D869A2">
        <w:rPr>
          <w:sz w:val="22"/>
          <w:szCs w:val="22"/>
        </w:rPr>
        <w:t xml:space="preserve"> 28 </w:t>
      </w:r>
      <w:r w:rsidRPr="00D869A2">
        <w:rPr>
          <w:iCs/>
          <w:sz w:val="22"/>
          <w:szCs w:val="22"/>
        </w:rPr>
        <w:t>Pa.B.</w:t>
      </w:r>
      <w:r w:rsidRPr="00D869A2">
        <w:rPr>
          <w:sz w:val="22"/>
          <w:szCs w:val="22"/>
        </w:rPr>
        <w:t xml:space="preserve"> 25.  </w:t>
      </w:r>
      <w:r w:rsidRPr="00D869A2">
        <w:rPr>
          <w:i/>
          <w:sz w:val="22"/>
          <w:szCs w:val="22"/>
        </w:rPr>
        <w:t>See</w:t>
      </w:r>
      <w:r w:rsidRPr="00D869A2">
        <w:rPr>
          <w:sz w:val="22"/>
          <w:szCs w:val="22"/>
        </w:rPr>
        <w:t xml:space="preserve"> 52 Pa. Code § 58.2 for the definition of “covered utility.”  A utility may spend up to 20% of its annual LIURP budget on customers having an arrearage and whose household income is at or below 200% of FPIG.  </w:t>
      </w:r>
      <w:r w:rsidRPr="00D869A2">
        <w:rPr>
          <w:i/>
          <w:sz w:val="22"/>
          <w:szCs w:val="22"/>
        </w:rPr>
        <w:t>See</w:t>
      </w:r>
      <w:r w:rsidRPr="00D869A2">
        <w:rPr>
          <w:sz w:val="22"/>
          <w:szCs w:val="22"/>
        </w:rPr>
        <w:t xml:space="preserve"> 52 Pa. Code §§ 58.1, 58.2, and 58.10.</w:t>
      </w:r>
    </w:p>
  </w:footnote>
  <w:footnote w:id="9">
    <w:p w14:paraId="4439F40C" w14:textId="0ACDDDBA" w:rsidR="00223E05" w:rsidRPr="00D869A2" w:rsidRDefault="00223E05" w:rsidP="00D879D4">
      <w:pPr>
        <w:pStyle w:val="FootnoteText"/>
        <w:rPr>
          <w:sz w:val="22"/>
          <w:szCs w:val="22"/>
        </w:rPr>
      </w:pPr>
      <w:r w:rsidRPr="00D869A2">
        <w:rPr>
          <w:rStyle w:val="FootnoteReference"/>
          <w:sz w:val="22"/>
          <w:szCs w:val="22"/>
        </w:rPr>
        <w:footnoteRef/>
      </w:r>
      <w:r w:rsidRPr="00D869A2">
        <w:rPr>
          <w:sz w:val="22"/>
          <w:szCs w:val="22"/>
        </w:rPr>
        <w:t xml:space="preserve">  CARES and Hardship Funds, unlike CAPs, are not covered by express policy statements.  CARES and Hardship Funds, unlike LIURP, do not have extensive regulatory or policy provisions.  </w:t>
      </w:r>
    </w:p>
  </w:footnote>
  <w:footnote w:id="10">
    <w:p w14:paraId="3173C850" w14:textId="77777777" w:rsidR="00223E05" w:rsidRPr="00D869A2" w:rsidRDefault="00223E05" w:rsidP="009F7846">
      <w:pPr>
        <w:pStyle w:val="FootnoteText"/>
        <w:rPr>
          <w:sz w:val="22"/>
          <w:szCs w:val="22"/>
        </w:rPr>
      </w:pPr>
      <w:r w:rsidRPr="00D869A2">
        <w:rPr>
          <w:rStyle w:val="FootnoteReference"/>
          <w:sz w:val="22"/>
          <w:szCs w:val="22"/>
        </w:rPr>
        <w:footnoteRef/>
      </w:r>
      <w:r w:rsidRPr="00D869A2">
        <w:rPr>
          <w:sz w:val="22"/>
          <w:szCs w:val="22"/>
        </w:rPr>
        <w:t xml:space="preserve">  66 Pa. C.S. §§ 2203(8) and 2804(9).</w:t>
      </w:r>
    </w:p>
  </w:footnote>
  <w:footnote w:id="11">
    <w:p w14:paraId="41D876CF" w14:textId="59BFE2E9" w:rsidR="00223E05" w:rsidRPr="00D869A2" w:rsidRDefault="00223E05" w:rsidP="009F7846">
      <w:pPr>
        <w:pStyle w:val="FootnoteText"/>
        <w:rPr>
          <w:sz w:val="22"/>
          <w:szCs w:val="22"/>
        </w:rPr>
      </w:pPr>
      <w:r w:rsidRPr="00D869A2">
        <w:rPr>
          <w:rStyle w:val="FootnoteReference"/>
          <w:sz w:val="22"/>
          <w:szCs w:val="22"/>
        </w:rPr>
        <w:footnoteRef/>
      </w:r>
      <w:r w:rsidRPr="00D869A2">
        <w:rPr>
          <w:sz w:val="22"/>
          <w:szCs w:val="22"/>
        </w:rPr>
        <w:t xml:space="preserve">  52 Pa. Code §§ 54.74 and 62.4.</w:t>
      </w:r>
    </w:p>
  </w:footnote>
  <w:footnote w:id="12">
    <w:p w14:paraId="2852C38F" w14:textId="659E29F2" w:rsidR="00223E05" w:rsidRPr="00D869A2" w:rsidRDefault="00223E05" w:rsidP="009F7846">
      <w:pPr>
        <w:pStyle w:val="FootnoteText"/>
        <w:rPr>
          <w:sz w:val="22"/>
          <w:szCs w:val="22"/>
        </w:rPr>
      </w:pPr>
      <w:r w:rsidRPr="00D869A2">
        <w:rPr>
          <w:rStyle w:val="FootnoteReference"/>
          <w:sz w:val="22"/>
          <w:szCs w:val="22"/>
        </w:rPr>
        <w:footnoteRef/>
      </w:r>
      <w:r w:rsidRPr="00D869A2">
        <w:rPr>
          <w:sz w:val="22"/>
          <w:szCs w:val="22"/>
        </w:rPr>
        <w:t xml:space="preserve">  52 Pa. Code §§ 54.76 (a)–(b) (electric) and 62.6 (a)–(b) (natural gas).</w:t>
      </w:r>
    </w:p>
  </w:footnote>
  <w:footnote w:id="13">
    <w:p w14:paraId="4ABF5836" w14:textId="7009F294" w:rsidR="00223E05" w:rsidRPr="00D869A2" w:rsidRDefault="00223E05" w:rsidP="009F7846">
      <w:pPr>
        <w:pStyle w:val="FootnoteText"/>
        <w:rPr>
          <w:sz w:val="22"/>
          <w:szCs w:val="22"/>
        </w:rPr>
      </w:pPr>
      <w:r w:rsidRPr="00D869A2">
        <w:rPr>
          <w:rStyle w:val="FootnoteReference"/>
          <w:sz w:val="22"/>
          <w:szCs w:val="22"/>
        </w:rPr>
        <w:footnoteRef/>
      </w:r>
      <w:r w:rsidRPr="00D869A2">
        <w:rPr>
          <w:sz w:val="22"/>
          <w:szCs w:val="22"/>
        </w:rPr>
        <w:t xml:space="preserve">  A general timeline of activities in these two proceedings can be found in Appendix A.</w:t>
      </w:r>
    </w:p>
  </w:footnote>
  <w:footnote w:id="14">
    <w:p w14:paraId="5B952B83" w14:textId="6328A018"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Including housekeeping changes, all seven sections of the CAP Policy Statement will have revisions.</w:t>
      </w:r>
    </w:p>
  </w:footnote>
  <w:footnote w:id="15">
    <w:p w14:paraId="255E4B9C" w14:textId="2B2672AE" w:rsidR="00223E05" w:rsidRDefault="00223E05">
      <w:pPr>
        <w:pStyle w:val="FootnoteText"/>
      </w:pPr>
      <w:r>
        <w:rPr>
          <w:rStyle w:val="FootnoteReference"/>
        </w:rPr>
        <w:footnoteRef/>
      </w:r>
      <w:r>
        <w:t xml:space="preserve">  </w:t>
      </w:r>
      <w:r w:rsidRPr="00D037C9">
        <w:rPr>
          <w:sz w:val="22"/>
          <w:szCs w:val="22"/>
        </w:rPr>
        <w:t>Chapter 14 defines Household Income as “[t]he combined gross income of all adults in a residential household who benefit from the public utility service.” 66 Pa.C.S.§1403</w:t>
      </w:r>
      <w:r>
        <w:rPr>
          <w:sz w:val="22"/>
          <w:szCs w:val="22"/>
        </w:rPr>
        <w:t xml:space="preserve"> (relating to definitions).</w:t>
      </w:r>
    </w:p>
  </w:footnote>
  <w:footnote w:id="16">
    <w:p w14:paraId="7681F8CC" w14:textId="023EA05E" w:rsidR="00223E05" w:rsidRPr="00D869A2" w:rsidRDefault="00223E05" w:rsidP="002A39DD">
      <w:pPr>
        <w:pStyle w:val="FootnoteText"/>
        <w:rPr>
          <w:sz w:val="22"/>
          <w:szCs w:val="22"/>
        </w:rPr>
      </w:pPr>
      <w:r w:rsidRPr="00D869A2">
        <w:rPr>
          <w:rStyle w:val="FootnoteReference"/>
          <w:sz w:val="22"/>
          <w:szCs w:val="22"/>
        </w:rPr>
        <w:footnoteRef/>
      </w:r>
      <w:r w:rsidRPr="00D869A2">
        <w:rPr>
          <w:sz w:val="22"/>
          <w:szCs w:val="22"/>
        </w:rPr>
        <w:t xml:space="preserve">  We are not making a final precedential decision regarding cost recovery in this docket.  </w:t>
      </w:r>
    </w:p>
  </w:footnote>
  <w:footnote w:id="17">
    <w:p w14:paraId="44B24CEC" w14:textId="26DA1954"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This docket number is also cited as Docket No. M-00840403.</w:t>
      </w:r>
    </w:p>
  </w:footnote>
  <w:footnote w:id="18">
    <w:p w14:paraId="5EED4762"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City NGDCs have similar requirements as well.  66 Pa. Code § 2212(b).</w:t>
      </w:r>
    </w:p>
  </w:footnote>
  <w:footnote w:id="19">
    <w:p w14:paraId="7D070D67" w14:textId="647E28F3" w:rsidR="00223E05" w:rsidRPr="00D869A2" w:rsidRDefault="00223E05" w:rsidP="00A77100">
      <w:pPr>
        <w:pStyle w:val="FootnoteText"/>
        <w:rPr>
          <w:sz w:val="22"/>
          <w:szCs w:val="22"/>
        </w:rPr>
      </w:pPr>
      <w:r w:rsidRPr="00D869A2">
        <w:rPr>
          <w:rStyle w:val="FootnoteReference"/>
          <w:sz w:val="22"/>
          <w:szCs w:val="22"/>
        </w:rPr>
        <w:footnoteRef/>
      </w:r>
      <w:r w:rsidRPr="00D869A2">
        <w:rPr>
          <w:sz w:val="22"/>
          <w:szCs w:val="22"/>
        </w:rPr>
        <w:t xml:space="preserve">  For a more detailed list of activities in Docket No. M-2017-2587711, </w:t>
      </w:r>
      <w:r w:rsidRPr="00D869A2">
        <w:rPr>
          <w:i/>
          <w:sz w:val="22"/>
          <w:szCs w:val="22"/>
        </w:rPr>
        <w:t>see</w:t>
      </w:r>
      <w:r w:rsidRPr="00D869A2">
        <w:rPr>
          <w:sz w:val="22"/>
          <w:szCs w:val="22"/>
        </w:rPr>
        <w:t xml:space="preserve"> Appendix A.</w:t>
      </w:r>
    </w:p>
  </w:footnote>
  <w:footnote w:id="20">
    <w:p w14:paraId="58648EB2" w14:textId="32AEDCF3"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Met-Ed, Penelec, Penn Power, and WPP are collectively referred to as “FirstEnergy” or the “FirstEnergy utilities</w:t>
      </w:r>
      <w:r w:rsidRPr="00D869A2" w:rsidDel="0096201A">
        <w:rPr>
          <w:sz w:val="22"/>
          <w:szCs w:val="22"/>
        </w:rPr>
        <w:t>.”</w:t>
      </w:r>
    </w:p>
  </w:footnote>
  <w:footnote w:id="21">
    <w:p w14:paraId="24C32EB6" w14:textId="7F575115"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sidDel="00B44EBF">
        <w:rPr>
          <w:sz w:val="22"/>
          <w:szCs w:val="22"/>
        </w:rPr>
        <w:t xml:space="preserve"> </w:t>
      </w:r>
      <w:r w:rsidRPr="00D869A2">
        <w:rPr>
          <w:sz w:val="22"/>
          <w:szCs w:val="22"/>
        </w:rPr>
        <w:t>Peoples and Peoples-Equitable are collectively referred to as “Peoples.”</w:t>
      </w:r>
      <w:r w:rsidRPr="00D869A2" w:rsidDel="00B44EBF">
        <w:rPr>
          <w:sz w:val="22"/>
          <w:szCs w:val="22"/>
        </w:rPr>
        <w:t xml:space="preserve"> </w:t>
      </w:r>
      <w:r w:rsidRPr="00D869A2">
        <w:rPr>
          <w:sz w:val="22"/>
          <w:szCs w:val="22"/>
        </w:rPr>
        <w:t xml:space="preserve"> UGI South and UGI North are collectively referred to as “UGI.” </w:t>
      </w:r>
    </w:p>
  </w:footnote>
  <w:footnote w:id="22">
    <w:p w14:paraId="6EE3D31B" w14:textId="3D4055AC"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USR Requirements, 52 Pa. Code §§ 62.1–62.8 (natural gas) and 54.71–54.78 (electric).</w:t>
      </w:r>
    </w:p>
  </w:footnote>
  <w:footnote w:id="23">
    <w:p w14:paraId="2274B11F" w14:textId="23DEDAAC" w:rsidR="00223E05" w:rsidRPr="00D869A2" w:rsidRDefault="00223E05" w:rsidP="00182E31">
      <w:pPr>
        <w:pStyle w:val="FootnoteText"/>
        <w:rPr>
          <w:sz w:val="22"/>
          <w:szCs w:val="22"/>
        </w:rPr>
      </w:pPr>
      <w:r w:rsidRPr="00D869A2">
        <w:rPr>
          <w:rStyle w:val="FootnoteReference"/>
          <w:sz w:val="22"/>
          <w:szCs w:val="22"/>
        </w:rPr>
        <w:footnoteRef/>
      </w:r>
      <w:r w:rsidRPr="00D869A2">
        <w:rPr>
          <w:sz w:val="22"/>
          <w:szCs w:val="22"/>
        </w:rPr>
        <w:t xml:space="preserve">  For a full list of stakeholders who filed or participated in Docket No. M</w:t>
      </w:r>
      <w:r w:rsidRPr="00D869A2">
        <w:rPr>
          <w:sz w:val="22"/>
          <w:szCs w:val="22"/>
        </w:rPr>
        <w:noBreakHyphen/>
        <w:t xml:space="preserve">2017-2587711, </w:t>
      </w:r>
      <w:r w:rsidRPr="00D869A2">
        <w:rPr>
          <w:i/>
          <w:sz w:val="22"/>
          <w:szCs w:val="22"/>
        </w:rPr>
        <w:t>see</w:t>
      </w:r>
      <w:r w:rsidRPr="00D869A2">
        <w:rPr>
          <w:sz w:val="22"/>
          <w:szCs w:val="22"/>
        </w:rPr>
        <w:t xml:space="preserve"> Appendix B. </w:t>
      </w:r>
    </w:p>
  </w:footnote>
  <w:footnote w:id="24">
    <w:p w14:paraId="10C07C7E" w14:textId="55CC9C34" w:rsidR="00223E05" w:rsidRPr="00D869A2" w:rsidRDefault="00223E05" w:rsidP="0034168D">
      <w:pPr>
        <w:pStyle w:val="FootnoteText"/>
        <w:rPr>
          <w:sz w:val="22"/>
          <w:szCs w:val="22"/>
        </w:rPr>
      </w:pPr>
      <w:r w:rsidRPr="00D869A2">
        <w:rPr>
          <w:rStyle w:val="FootnoteReference"/>
          <w:sz w:val="22"/>
          <w:szCs w:val="22"/>
        </w:rPr>
        <w:footnoteRef/>
      </w:r>
      <w:r w:rsidRPr="00D869A2">
        <w:rPr>
          <w:sz w:val="22"/>
          <w:szCs w:val="22"/>
        </w:rPr>
        <w:t xml:space="preserve">  For a more detailed list of activities in Docket No. M-2017-2596907, </w:t>
      </w:r>
      <w:r w:rsidRPr="00D869A2">
        <w:rPr>
          <w:i/>
          <w:sz w:val="22"/>
          <w:szCs w:val="22"/>
        </w:rPr>
        <w:t>see</w:t>
      </w:r>
      <w:r w:rsidRPr="00D869A2">
        <w:rPr>
          <w:sz w:val="22"/>
          <w:szCs w:val="22"/>
        </w:rPr>
        <w:t xml:space="preserve"> Appendix A.</w:t>
      </w:r>
    </w:p>
  </w:footnote>
  <w:footnote w:id="25">
    <w:p w14:paraId="437495DC" w14:textId="0870E6FD" w:rsidR="00223E05" w:rsidRPr="00D869A2" w:rsidRDefault="00223E05" w:rsidP="0034168D">
      <w:pPr>
        <w:pStyle w:val="FootnoteText"/>
        <w:rPr>
          <w:sz w:val="22"/>
          <w:szCs w:val="22"/>
        </w:rPr>
      </w:pPr>
      <w:r w:rsidRPr="00D869A2">
        <w:rPr>
          <w:rStyle w:val="FootnoteReference"/>
          <w:sz w:val="22"/>
          <w:szCs w:val="22"/>
        </w:rPr>
        <w:footnoteRef/>
      </w:r>
      <w:r w:rsidRPr="00D869A2">
        <w:rPr>
          <w:sz w:val="22"/>
          <w:szCs w:val="22"/>
        </w:rPr>
        <w:t xml:space="preserve">  For a full list of stakeholders who filed or participated in Docket No. M</w:t>
      </w:r>
      <w:r w:rsidRPr="00D869A2">
        <w:rPr>
          <w:sz w:val="22"/>
          <w:szCs w:val="22"/>
        </w:rPr>
        <w:noBreakHyphen/>
        <w:t xml:space="preserve">2017-2596907, see Appendix B. </w:t>
      </w:r>
    </w:p>
  </w:footnote>
  <w:footnote w:id="26">
    <w:p w14:paraId="6AA5F994" w14:textId="77777777" w:rsidR="00223E05" w:rsidRPr="00D869A2" w:rsidRDefault="00223E05" w:rsidP="0034168D">
      <w:pPr>
        <w:pStyle w:val="FootnoteText"/>
        <w:rPr>
          <w:sz w:val="22"/>
          <w:szCs w:val="22"/>
        </w:rPr>
      </w:pPr>
      <w:r w:rsidRPr="00D869A2">
        <w:rPr>
          <w:rStyle w:val="FootnoteReference"/>
          <w:sz w:val="22"/>
          <w:szCs w:val="22"/>
        </w:rPr>
        <w:footnoteRef/>
      </w:r>
      <w:r w:rsidRPr="00D869A2">
        <w:rPr>
          <w:sz w:val="22"/>
          <w:szCs w:val="22"/>
        </w:rPr>
        <w:t xml:space="preserve">  The USWG met on May 7, 2018, July 18, 2018, September 27, 2018, and February 6, 2019.  A separate working group also met on July 30, 2019, to discuss the USRR at Docket No. M</w:t>
      </w:r>
      <w:r w:rsidRPr="00D869A2">
        <w:rPr>
          <w:sz w:val="22"/>
          <w:szCs w:val="22"/>
        </w:rPr>
        <w:noBreakHyphen/>
        <w:t>2019-3011814.</w:t>
      </w:r>
    </w:p>
  </w:footnote>
  <w:footnote w:id="27">
    <w:p w14:paraId="12159663" w14:textId="77777777" w:rsidR="00223E05" w:rsidRPr="00D869A2" w:rsidRDefault="00223E05" w:rsidP="00BE23D3">
      <w:pPr>
        <w:pStyle w:val="FootnoteText"/>
        <w:rPr>
          <w:sz w:val="22"/>
          <w:szCs w:val="22"/>
        </w:rPr>
      </w:pPr>
      <w:r w:rsidRPr="00D869A2">
        <w:rPr>
          <w:rStyle w:val="FootnoteReference"/>
          <w:sz w:val="22"/>
          <w:szCs w:val="22"/>
        </w:rPr>
        <w:footnoteRef/>
      </w:r>
      <w:r w:rsidRPr="00D869A2">
        <w:rPr>
          <w:sz w:val="22"/>
          <w:szCs w:val="22"/>
        </w:rPr>
        <w:t xml:space="preserve">  We are also making some housekeeping changes to the CAP Policy Statement.</w:t>
      </w:r>
    </w:p>
  </w:footnote>
  <w:footnote w:id="28">
    <w:p w14:paraId="3526AE97" w14:textId="087CBC17" w:rsidR="00223E05" w:rsidRPr="00D869A2" w:rsidRDefault="00223E05" w:rsidP="00347FA1">
      <w:pPr>
        <w:spacing w:after="0"/>
        <w:rPr>
          <w:rFonts w:ascii="Times New Roman" w:hAnsi="Times New Roman" w:cs="Times New Roman"/>
        </w:rPr>
      </w:pPr>
      <w:r w:rsidRPr="00D869A2">
        <w:rPr>
          <w:rStyle w:val="FootnoteReference"/>
          <w:rFonts w:ascii="Times New Roman" w:hAnsi="Times New Roman" w:cs="Times New Roman"/>
        </w:rPr>
        <w:footnoteRef/>
      </w:r>
      <w:r w:rsidRPr="00D869A2">
        <w:rPr>
          <w:rFonts w:ascii="Times New Roman" w:hAnsi="Times New Roman" w:cs="Times New Roman"/>
        </w:rPr>
        <w:t xml:space="preserve">  52 Pa. Code § 69.265(2)(i)(A)–(C).</w:t>
      </w:r>
    </w:p>
  </w:footnote>
  <w:footnote w:id="29">
    <w:p w14:paraId="2804B365" w14:textId="3BB1EFA8" w:rsidR="00223E05" w:rsidRPr="00D869A2" w:rsidRDefault="00223E05" w:rsidP="009F40F6">
      <w:pPr>
        <w:pStyle w:val="FootnoteText"/>
        <w:rPr>
          <w:sz w:val="22"/>
          <w:szCs w:val="22"/>
        </w:rPr>
      </w:pPr>
      <w:r w:rsidRPr="00D869A2">
        <w:rPr>
          <w:rStyle w:val="FootnoteReference"/>
          <w:sz w:val="22"/>
          <w:szCs w:val="22"/>
        </w:rPr>
        <w:footnoteRef/>
      </w:r>
      <w:r w:rsidRPr="00D869A2">
        <w:rPr>
          <w:sz w:val="22"/>
          <w:szCs w:val="22"/>
        </w:rPr>
        <w:t xml:space="preserve">  </w:t>
      </w:r>
      <w:r w:rsidRPr="00D869A2">
        <w:rPr>
          <w:color w:val="000000"/>
          <w:sz w:val="22"/>
          <w:szCs w:val="22"/>
        </w:rPr>
        <w:t xml:space="preserve">Fisher, Sheehan &amp; Colton, </w:t>
      </w:r>
      <w:r w:rsidRPr="00D869A2">
        <w:rPr>
          <w:i/>
          <w:color w:val="000000"/>
          <w:sz w:val="22"/>
          <w:szCs w:val="22"/>
        </w:rPr>
        <w:t xml:space="preserve">The Home Energy Affordability Gap 2015: Pennsylvania </w:t>
      </w:r>
      <w:r w:rsidRPr="00D869A2">
        <w:rPr>
          <w:color w:val="000000"/>
          <w:sz w:val="22"/>
          <w:szCs w:val="22"/>
        </w:rPr>
        <w:t>(Public Finance and General Economics, 2</w:t>
      </w:r>
      <w:r w:rsidRPr="00D869A2">
        <w:rPr>
          <w:color w:val="000000"/>
          <w:sz w:val="22"/>
          <w:szCs w:val="22"/>
          <w:vertAlign w:val="superscript"/>
        </w:rPr>
        <w:t>nd</w:t>
      </w:r>
      <w:r w:rsidRPr="00D869A2">
        <w:rPr>
          <w:color w:val="000000"/>
          <w:sz w:val="22"/>
          <w:szCs w:val="22"/>
        </w:rPr>
        <w:t xml:space="preserve"> Ser. 2016), at 1.</w:t>
      </w:r>
    </w:p>
  </w:footnote>
  <w:footnote w:id="30">
    <w:p w14:paraId="5762E9AE" w14:textId="77777777" w:rsidR="00223E05" w:rsidRPr="00D869A2" w:rsidRDefault="00223E05" w:rsidP="00506216">
      <w:pPr>
        <w:pStyle w:val="FootnoteText"/>
        <w:rPr>
          <w:i/>
          <w:sz w:val="22"/>
          <w:szCs w:val="22"/>
        </w:rPr>
      </w:pPr>
      <w:r w:rsidRPr="00D869A2">
        <w:rPr>
          <w:rStyle w:val="FootnoteReference"/>
          <w:sz w:val="22"/>
          <w:szCs w:val="22"/>
        </w:rPr>
        <w:footnoteRef/>
      </w:r>
      <w:r w:rsidRPr="00D869A2">
        <w:rPr>
          <w:sz w:val="22"/>
          <w:szCs w:val="22"/>
        </w:rPr>
        <w:t xml:space="preserve">  Applied Public Policy Research Institute for Study and Evaluation, </w:t>
      </w:r>
      <w:r w:rsidRPr="00D869A2">
        <w:rPr>
          <w:i/>
          <w:sz w:val="22"/>
          <w:szCs w:val="22"/>
        </w:rPr>
        <w:t>LIHEAP Energy Burden Evaluation Study</w:t>
      </w:r>
      <w:r w:rsidRPr="00D869A2">
        <w:rPr>
          <w:sz w:val="22"/>
          <w:szCs w:val="22"/>
        </w:rPr>
        <w:t xml:space="preserve"> (2005)</w:t>
      </w:r>
      <w:r w:rsidRPr="00D869A2">
        <w:rPr>
          <w:i/>
          <w:sz w:val="22"/>
          <w:szCs w:val="22"/>
        </w:rPr>
        <w:t>.</w:t>
      </w:r>
    </w:p>
    <w:p w14:paraId="08AB96B3" w14:textId="77777777" w:rsidR="00223E05" w:rsidRPr="00D869A2" w:rsidRDefault="00201862" w:rsidP="00506216">
      <w:pPr>
        <w:pStyle w:val="FootnoteText"/>
        <w:rPr>
          <w:sz w:val="22"/>
          <w:szCs w:val="22"/>
        </w:rPr>
      </w:pPr>
      <w:hyperlink r:id="rId2" w:history="1">
        <w:r w:rsidR="00223E05" w:rsidRPr="00D869A2">
          <w:rPr>
            <w:rStyle w:val="Hyperlink"/>
            <w:sz w:val="22"/>
            <w:szCs w:val="22"/>
          </w:rPr>
          <w:t>http://www.appriseinc.org/reports/LIHEAP%20BURDEN.pdf</w:t>
        </w:r>
      </w:hyperlink>
      <w:r w:rsidR="00223E05" w:rsidRPr="00D869A2">
        <w:rPr>
          <w:sz w:val="22"/>
          <w:szCs w:val="22"/>
        </w:rPr>
        <w:t xml:space="preserve"> </w:t>
      </w:r>
    </w:p>
  </w:footnote>
  <w:footnote w:id="31">
    <w:p w14:paraId="39C10661" w14:textId="77777777" w:rsidR="00223E05" w:rsidRPr="00D869A2" w:rsidRDefault="00223E05" w:rsidP="006C5A6F">
      <w:pPr>
        <w:pStyle w:val="FootnoteText"/>
        <w:rPr>
          <w:sz w:val="22"/>
          <w:szCs w:val="22"/>
        </w:rPr>
      </w:pPr>
      <w:r w:rsidRPr="00D869A2">
        <w:rPr>
          <w:rStyle w:val="FootnoteReference"/>
          <w:sz w:val="22"/>
          <w:szCs w:val="22"/>
        </w:rPr>
        <w:footnoteRef/>
      </w:r>
      <w:r w:rsidRPr="00D869A2">
        <w:rPr>
          <w:sz w:val="22"/>
          <w:szCs w:val="22"/>
        </w:rPr>
        <w:t xml:space="preserve">  New York State Energy Research Development Authority,</w:t>
      </w:r>
      <w:r w:rsidRPr="00D869A2">
        <w:rPr>
          <w:i/>
          <w:sz w:val="22"/>
          <w:szCs w:val="22"/>
        </w:rPr>
        <w:t xml:space="preserve"> Home Energy Affordability in New York: The Affordability Gap (2008 – 2010)</w:t>
      </w:r>
      <w:r w:rsidRPr="00D869A2">
        <w:rPr>
          <w:sz w:val="22"/>
          <w:szCs w:val="22"/>
        </w:rPr>
        <w:t xml:space="preserve"> (2011).  </w:t>
      </w:r>
    </w:p>
  </w:footnote>
  <w:footnote w:id="32">
    <w:p w14:paraId="3D1E774D" w14:textId="0C41770F" w:rsidR="00223E05" w:rsidRPr="00D869A2" w:rsidRDefault="00201862" w:rsidP="006C5A6F">
      <w:pPr>
        <w:spacing w:after="0" w:line="240" w:lineRule="auto"/>
        <w:rPr>
          <w:rFonts w:ascii="Times New Roman" w:hAnsi="Times New Roman" w:cs="Times New Roman"/>
        </w:rPr>
      </w:pPr>
      <w:hyperlink r:id="rId3" w:history="1">
        <w:r w:rsidR="00223E05" w:rsidRPr="00D869A2">
          <w:rPr>
            <w:rStyle w:val="Hyperlink"/>
            <w:rFonts w:ascii="Times New Roman" w:hAnsi="Times New Roman" w:cs="Times New Roman"/>
          </w:rPr>
          <w:t>http://www.fsconline.com/downloads/Papers/2011%2006%20NYSERDA%20AffordGap.pdf</w:t>
        </w:r>
      </w:hyperlink>
    </w:p>
  </w:footnote>
  <w:footnote w:id="33">
    <w:p w14:paraId="54D3AA6D" w14:textId="13EB7BE1" w:rsidR="00223E05" w:rsidRPr="00D869A2" w:rsidRDefault="00223E05" w:rsidP="006C5A6F">
      <w:pPr>
        <w:pStyle w:val="FootnoteText"/>
        <w:rPr>
          <w:sz w:val="22"/>
          <w:szCs w:val="22"/>
        </w:rPr>
      </w:pPr>
      <w:r w:rsidRPr="00D869A2">
        <w:rPr>
          <w:rStyle w:val="FootnoteReference"/>
          <w:sz w:val="22"/>
          <w:szCs w:val="22"/>
        </w:rPr>
        <w:footnoteRef/>
      </w:r>
      <w:r w:rsidRPr="00D869A2">
        <w:rPr>
          <w:sz w:val="22"/>
          <w:szCs w:val="22"/>
        </w:rPr>
        <w:t xml:space="preserve">  The Pennsylvania Service Providers are AARP Pennsylvania; ACTION Housing, Inc.; Community Justice Project; Disability Rights Pennsylvania; Health, Education, and Legal Assistance Project; Homeless Advocacy Project; Interim House, Inc.; Just Harvest; Laurel Legal Services; Legal Aid of Southeastern Pennsylvania; MidPenn Legal Services; Neighborhood Legal Services Association; North Penn Legal Services; Pennsylvania Coalition Against Domestic Violence; Pennsylvania Council of Churches; Pennsylvania Institutional Law Project; Pennsylvania Legal Aid Network; Philadelphia Legal Assistance; Regional Housing Services; SeniorLAW; Southwestern Pennsylvania Legal Services, Inc.; The Women’s Center, Inc.; The Women’s Resource Center; Stephen R. Krone; and Medna D. Makhlouf.</w:t>
      </w:r>
    </w:p>
  </w:footnote>
  <w:footnote w:id="34">
    <w:p w14:paraId="573DEF30" w14:textId="3B60E38A"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PA-EEFA are the Keystone Energy Efficiency Alliance; Housing Alliance of Pennsylvania; Green and Healthy Homes Initiative; National Consumer Law Center; National Housing Trust; and Natural Resources Defense Council.  </w:t>
      </w:r>
    </w:p>
  </w:footnote>
  <w:footnote w:id="35">
    <w:p w14:paraId="7E0DEB3C" w14:textId="5A4103AE"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The Low Income Advocates are the Coalition for Affordable Utility Services and Energy Efficiency in Pennsylvania</w:t>
      </w:r>
      <w:r w:rsidRPr="00D869A2">
        <w:rPr>
          <w:spacing w:val="41"/>
          <w:sz w:val="22"/>
          <w:szCs w:val="22"/>
        </w:rPr>
        <w:t xml:space="preserve"> </w:t>
      </w:r>
      <w:r w:rsidRPr="00D869A2">
        <w:rPr>
          <w:sz w:val="22"/>
          <w:szCs w:val="22"/>
        </w:rPr>
        <w:t>(CAUSE-PA);</w:t>
      </w:r>
      <w:r w:rsidRPr="00D869A2">
        <w:rPr>
          <w:spacing w:val="-1"/>
          <w:sz w:val="22"/>
          <w:szCs w:val="22"/>
        </w:rPr>
        <w:t xml:space="preserve"> </w:t>
      </w:r>
      <w:r w:rsidRPr="00D869A2">
        <w:rPr>
          <w:sz w:val="22"/>
          <w:szCs w:val="22"/>
        </w:rPr>
        <w:t>Tenant Union Representative Network (TURN); and Action Alliance of Senior Citizens</w:t>
      </w:r>
      <w:r w:rsidRPr="00D869A2">
        <w:rPr>
          <w:spacing w:val="47"/>
          <w:sz w:val="22"/>
          <w:szCs w:val="22"/>
        </w:rPr>
        <w:t xml:space="preserve"> </w:t>
      </w:r>
      <w:r w:rsidRPr="00D869A2">
        <w:rPr>
          <w:sz w:val="22"/>
          <w:szCs w:val="22"/>
        </w:rPr>
        <w:t xml:space="preserve">of Philadelphia (Action Alliance).  </w:t>
      </w:r>
    </w:p>
  </w:footnote>
  <w:footnote w:id="36">
    <w:p w14:paraId="77066517" w14:textId="0E7A2A6A"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Decreases to the energy burden level will primarily increase CAP credit expenditures but could also increase PPA forgiveness costs as more customers in debt may participate due to this change.  References to “CAP costs” in this document refer to the total costs for the program (</w:t>
      </w:r>
      <w:r w:rsidRPr="00D869A2">
        <w:rPr>
          <w:i/>
          <w:sz w:val="22"/>
          <w:szCs w:val="22"/>
        </w:rPr>
        <w:t>i.e.</w:t>
      </w:r>
      <w:r w:rsidRPr="00D869A2">
        <w:rPr>
          <w:sz w:val="22"/>
          <w:szCs w:val="22"/>
        </w:rPr>
        <w:t xml:space="preserve">, CAP Credits, PPA forgiveness, and administration).  </w:t>
      </w:r>
    </w:p>
  </w:footnote>
  <w:footnote w:id="37">
    <w:p w14:paraId="4B610CC7" w14:textId="22EAF19E"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The Energy Affordability Report incorrectly identified 10% as the maximum energy burden for all participants in Ohio’s CAP (</w:t>
      </w:r>
      <w:r w:rsidRPr="00D869A2">
        <w:rPr>
          <w:i/>
          <w:sz w:val="22"/>
          <w:szCs w:val="22"/>
        </w:rPr>
        <w:t>i.e.</w:t>
      </w:r>
      <w:r w:rsidRPr="00D869A2">
        <w:rPr>
          <w:sz w:val="22"/>
          <w:szCs w:val="22"/>
        </w:rPr>
        <w:t xml:space="preserve">, Percentage of Income Payment Plan Plus (PIPP)).  The 10% maximum energy burden applies only to electric heating customers.  PIPP customers with natural gas heating can have a maximum energy burden of 12%: 6% for natural gas heating and 6% for electric non-heating.  </w:t>
      </w:r>
      <w:hyperlink r:id="rId4" w:history="1">
        <w:r w:rsidRPr="00D869A2">
          <w:rPr>
            <w:rStyle w:val="Hyperlink"/>
            <w:sz w:val="22"/>
            <w:szCs w:val="22"/>
          </w:rPr>
          <w:t>https://www.development.ohio.gov/is/is_pipp.htm</w:t>
        </w:r>
      </w:hyperlink>
      <w:r w:rsidRPr="00D869A2">
        <w:rPr>
          <w:sz w:val="22"/>
          <w:szCs w:val="22"/>
        </w:rPr>
        <w:t xml:space="preserve"> </w:t>
      </w:r>
    </w:p>
  </w:footnote>
  <w:footnote w:id="38">
    <w:p w14:paraId="65341E02" w14:textId="32EB0653"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New York Public Service Commission’s </w:t>
      </w:r>
      <w:r w:rsidRPr="00D869A2">
        <w:rPr>
          <w:i/>
          <w:sz w:val="22"/>
          <w:szCs w:val="22"/>
        </w:rPr>
        <w:t>Order Adopting Low Income Program Modifications and Directing Utility Filings</w:t>
      </w:r>
      <w:r w:rsidRPr="00D869A2">
        <w:rPr>
          <w:sz w:val="22"/>
          <w:szCs w:val="22"/>
        </w:rPr>
        <w:t xml:space="preserve">, Case 14-M-0565 (effective May 20, 2016), at 3.  NOTE: New York also limited the budget for each utility’s payment assistance program to 2% of revenues for sales to end-use customers.  These costs are recovered from all ratepayer classes.  NY May 2016 Order at 3–4.  </w:t>
      </w:r>
    </w:p>
  </w:footnote>
  <w:footnote w:id="39">
    <w:p w14:paraId="1B702C43" w14:textId="06D9BF72"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New Jersey requires Universal Service Fund (USF) customers to pay energy burdens of 3% for natural gas service, 3% for electric non-heating, and 6% for electric heating.  The discount provided to customers is based on the difference between their annual utility bills (after LIHEAP is applied) and required percentage of household income.  </w:t>
      </w:r>
      <w:hyperlink r:id="rId5" w:anchor="q1" w:history="1">
        <w:r w:rsidRPr="00D869A2">
          <w:rPr>
            <w:rStyle w:val="Hyperlink"/>
            <w:sz w:val="22"/>
            <w:szCs w:val="22"/>
          </w:rPr>
          <w:t>https://www.state.nj.us/dca/divisions/dhcr/faq/usf.html#q1</w:t>
        </w:r>
      </w:hyperlink>
      <w:r w:rsidRPr="00D869A2">
        <w:rPr>
          <w:sz w:val="22"/>
          <w:szCs w:val="22"/>
        </w:rPr>
        <w:t xml:space="preserve"> </w:t>
      </w:r>
    </w:p>
  </w:footnote>
  <w:footnote w:id="40">
    <w:p w14:paraId="72D50611" w14:textId="2C38FBE8"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The Commission provided further clarifications of these estimates via a Secretarial Letter issued on March 7, 2019.  On April 8, 2019, all EDCs and NGDCs filed and served the requested projections.</w:t>
      </w:r>
    </w:p>
  </w:footnote>
  <w:footnote w:id="41">
    <w:p w14:paraId="059D6F7A"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66 Pa. C.S. § 2202 defines natural gas “universal service and energy conservation” as “Policies, practices and services that help residential low-income retail [natural] gas customers and other residential retail [natural] gas customers experiencing temporary emergencies, as defined by the commission, to maintain natural gas supply and distribution services. . . .”</w:t>
      </w:r>
    </w:p>
    <w:p w14:paraId="03CA4835" w14:textId="77777777" w:rsidR="00223E05" w:rsidRPr="00D869A2" w:rsidRDefault="00223E05" w:rsidP="00506216">
      <w:pPr>
        <w:pStyle w:val="FootnoteText"/>
        <w:rPr>
          <w:sz w:val="22"/>
          <w:szCs w:val="22"/>
        </w:rPr>
      </w:pPr>
      <w:r w:rsidRPr="00D869A2">
        <w:rPr>
          <w:sz w:val="22"/>
          <w:szCs w:val="22"/>
        </w:rPr>
        <w:t>66 Pa. C.S. §</w:t>
      </w:r>
      <w:r w:rsidRPr="00D869A2" w:rsidDel="001B642C">
        <w:rPr>
          <w:sz w:val="22"/>
          <w:szCs w:val="22"/>
        </w:rPr>
        <w:t xml:space="preserve"> </w:t>
      </w:r>
      <w:r w:rsidRPr="00D869A2">
        <w:rPr>
          <w:sz w:val="22"/>
          <w:szCs w:val="22"/>
        </w:rPr>
        <w:t>2803 defines electric “universal service and energy conservation” as “Policies, protections and services that help low-income customers to maintain electric service. . . .”</w:t>
      </w:r>
    </w:p>
  </w:footnote>
  <w:footnote w:id="42">
    <w:p w14:paraId="0240C52A"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NFG notes that customers reporting zero income, who are charged the minimum payment, slightly inflated this average.  Excluding zero-income customers reduces the 2016 average energy burden for CAP customers at or below 50% of the FPIG to 6.9%.  NFG Comments at 4. </w:t>
      </w:r>
    </w:p>
  </w:footnote>
  <w:footnote w:id="43">
    <w:p w14:paraId="52C7E200" w14:textId="77777777" w:rsidR="00223E05" w:rsidRPr="00D869A2" w:rsidRDefault="00223E05" w:rsidP="00450A32">
      <w:pPr>
        <w:pStyle w:val="FootnoteText"/>
        <w:rPr>
          <w:sz w:val="22"/>
          <w:szCs w:val="22"/>
        </w:rPr>
      </w:pPr>
      <w:r w:rsidRPr="00D869A2">
        <w:rPr>
          <w:rStyle w:val="FootnoteReference"/>
          <w:sz w:val="22"/>
          <w:szCs w:val="22"/>
        </w:rPr>
        <w:footnoteRef/>
      </w:r>
      <w:r w:rsidRPr="00D869A2">
        <w:rPr>
          <w:sz w:val="22"/>
          <w:szCs w:val="22"/>
        </w:rPr>
        <w:t xml:space="preserve">  These cost projections for the utilities that use PIP-based CAP payment plans may be the most accurate, based on the supplemental information.  This includes PECO, PGW, UGI, Peoples, and FirstEnergy.  Peoples’ projection may, however, have been low because the projection did not include the projected cost of PPA forgiveness in the estimates.  </w:t>
      </w:r>
    </w:p>
  </w:footnote>
  <w:footnote w:id="44">
    <w:p w14:paraId="59360333" w14:textId="77777777" w:rsidR="00223E05" w:rsidRPr="00D869A2" w:rsidRDefault="00223E05" w:rsidP="00450A32">
      <w:pPr>
        <w:pStyle w:val="FootnoteText"/>
        <w:rPr>
          <w:sz w:val="22"/>
          <w:szCs w:val="22"/>
        </w:rPr>
      </w:pPr>
      <w:r w:rsidRPr="00D869A2">
        <w:rPr>
          <w:rStyle w:val="FootnoteReference"/>
          <w:sz w:val="22"/>
          <w:szCs w:val="22"/>
        </w:rPr>
        <w:footnoteRef/>
      </w:r>
      <w:r w:rsidRPr="00D869A2">
        <w:rPr>
          <w:sz w:val="22"/>
          <w:szCs w:val="22"/>
        </w:rPr>
        <w:t xml:space="preserve">  The estimated cost impacts of a 10% maximum energy burden level are the difference between the historical and the projected costs of CAPs based on current models (using the 2016-2018 historical CAP costs and the utility projections for 2019-2021) and the projected costs of a PIP CAP with the 10% maximum energy burden levels (based on the supplemental information filed by utilities on April 8, 2019). </w:t>
      </w:r>
    </w:p>
  </w:footnote>
  <w:footnote w:id="45">
    <w:p w14:paraId="08259645" w14:textId="77777777" w:rsidR="00223E05" w:rsidRPr="00D869A2" w:rsidRDefault="00223E05" w:rsidP="00450A32">
      <w:pPr>
        <w:pStyle w:val="FootnoteText"/>
        <w:rPr>
          <w:sz w:val="22"/>
          <w:szCs w:val="22"/>
        </w:rPr>
      </w:pPr>
      <w:r w:rsidRPr="00D869A2">
        <w:rPr>
          <w:rStyle w:val="FootnoteReference"/>
          <w:sz w:val="22"/>
          <w:szCs w:val="22"/>
        </w:rPr>
        <w:footnoteRef/>
      </w:r>
      <w:r w:rsidRPr="00D869A2">
        <w:rPr>
          <w:sz w:val="22"/>
          <w:szCs w:val="22"/>
        </w:rPr>
        <w:t xml:space="preserve">  Actual EDC and NGDC annual CAP spending in 2017 totaled $330,924,928.  </w:t>
      </w:r>
      <w:r w:rsidRPr="00D869A2">
        <w:rPr>
          <w:i/>
          <w:sz w:val="22"/>
          <w:szCs w:val="22"/>
        </w:rPr>
        <w:t>2017 Report on Universal Service Program &amp; Collections Performance</w:t>
      </w:r>
      <w:r w:rsidRPr="00D869A2">
        <w:rPr>
          <w:sz w:val="22"/>
          <w:szCs w:val="22"/>
        </w:rPr>
        <w:t xml:space="preserve"> at 73.  </w:t>
      </w:r>
    </w:p>
  </w:footnote>
  <w:footnote w:id="46">
    <w:p w14:paraId="29C66ED4" w14:textId="4FB0F72F" w:rsidR="00223E05" w:rsidRPr="00D869A2" w:rsidRDefault="00223E05" w:rsidP="00103510">
      <w:pPr>
        <w:pStyle w:val="FootnoteText"/>
        <w:rPr>
          <w:sz w:val="22"/>
          <w:szCs w:val="22"/>
        </w:rPr>
      </w:pPr>
      <w:r w:rsidRPr="00F5795D">
        <w:rPr>
          <w:rStyle w:val="FootnoteReference"/>
          <w:sz w:val="22"/>
          <w:szCs w:val="22"/>
        </w:rPr>
        <w:footnoteRef/>
      </w:r>
      <w:r w:rsidRPr="00F5795D">
        <w:rPr>
          <w:sz w:val="22"/>
          <w:szCs w:val="22"/>
        </w:rPr>
        <w:t xml:space="preserve">  The Energy Affordability Report estimated a maximum 10% energy burden for CAP customers could increase program costs by approximately $102,439,768 per year.  </w:t>
      </w:r>
      <w:r w:rsidRPr="00F5795D">
        <w:rPr>
          <w:color w:val="000000"/>
          <w:sz w:val="22"/>
          <w:szCs w:val="22"/>
        </w:rPr>
        <w:t>Report at 107-110.</w:t>
      </w:r>
    </w:p>
  </w:footnote>
  <w:footnote w:id="47">
    <w:p w14:paraId="3C968665" w14:textId="77777777" w:rsidR="00223E05" w:rsidRPr="00D869A2" w:rsidRDefault="00223E05" w:rsidP="00C54242">
      <w:pPr>
        <w:pStyle w:val="FootnoteText"/>
        <w:rPr>
          <w:sz w:val="22"/>
          <w:szCs w:val="22"/>
        </w:rPr>
      </w:pPr>
      <w:r w:rsidRPr="00D869A2">
        <w:rPr>
          <w:rStyle w:val="FootnoteReference"/>
          <w:sz w:val="22"/>
          <w:szCs w:val="22"/>
        </w:rPr>
        <w:footnoteRef/>
      </w:r>
      <w:r w:rsidRPr="00D869A2">
        <w:rPr>
          <w:sz w:val="22"/>
          <w:szCs w:val="22"/>
        </w:rPr>
        <w:t xml:space="preserve">  PECO’s supplemental information did not break down the projected cost impacts of the CAP PIP model by fuel type.  Therefore, we have combined the estimated cost impacts for PECO’s electric and natural gas CAPs. </w:t>
      </w:r>
    </w:p>
  </w:footnote>
  <w:footnote w:id="48">
    <w:p w14:paraId="75AEA030" w14:textId="77777777" w:rsidR="00223E05" w:rsidRPr="00D869A2" w:rsidRDefault="00223E05" w:rsidP="00450A32">
      <w:pPr>
        <w:pStyle w:val="FootnoteText"/>
        <w:rPr>
          <w:sz w:val="22"/>
          <w:szCs w:val="22"/>
        </w:rPr>
      </w:pPr>
      <w:r w:rsidRPr="00D869A2">
        <w:rPr>
          <w:rStyle w:val="FootnoteReference"/>
          <w:sz w:val="22"/>
          <w:szCs w:val="22"/>
        </w:rPr>
        <w:footnoteRef/>
      </w:r>
      <w:r w:rsidRPr="00D869A2">
        <w:rPr>
          <w:sz w:val="22"/>
          <w:szCs w:val="22"/>
        </w:rPr>
        <w:t xml:space="preserve">  PECO reported current monthly universal service costs recovered from residential ratepayers are $4.31 for electric and $3.21 for natural gas.  PECO Comments at 4.</w:t>
      </w:r>
    </w:p>
  </w:footnote>
  <w:footnote w:id="49">
    <w:p w14:paraId="2C35F911" w14:textId="16228BE6"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w:t>
      </w:r>
      <w:r w:rsidRPr="00D869A2">
        <w:rPr>
          <w:rFonts w:eastAsia="Calibri"/>
          <w:sz w:val="22"/>
          <w:szCs w:val="22"/>
        </w:rPr>
        <w:t xml:space="preserve">Energy Affordability </w:t>
      </w:r>
      <w:r w:rsidRPr="00D869A2">
        <w:rPr>
          <w:sz w:val="22"/>
          <w:szCs w:val="22"/>
        </w:rPr>
        <w:t>Report at 6.</w:t>
      </w:r>
    </w:p>
  </w:footnote>
  <w:footnote w:id="50">
    <w:p w14:paraId="5736636C" w14:textId="61FD73EA"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Although not a neighboring state, Illinois has an Energy Assistance Program administered by the state’s Department of Commerce and Economic Opportunity.  The Illinois PIP provides that customers are charged a maximum of 6% of their income for natural gas and electric service.  The maximum PIP credit a customer can receive is $150 per month ($1,800 annually).  Funding is subject to appropriation from the Illinois General Assembly.  The Illinois model requires customers to be enrolled in LIHEAP.  305 ILCS 20/1 – 20/18.  </w:t>
      </w:r>
      <w:r w:rsidRPr="00D869A2">
        <w:rPr>
          <w:i/>
          <w:sz w:val="22"/>
          <w:szCs w:val="22"/>
        </w:rPr>
        <w:t xml:space="preserve">See particularly </w:t>
      </w:r>
      <w:hyperlink r:id="rId6" w:history="1">
        <w:r w:rsidRPr="00D869A2">
          <w:rPr>
            <w:rStyle w:val="Hyperlink"/>
            <w:sz w:val="22"/>
            <w:szCs w:val="22"/>
          </w:rPr>
          <w:t>http://www.ilga.gov/legislation/ilcs/documents/030500200K18.htm</w:t>
        </w:r>
      </w:hyperlink>
      <w:r w:rsidRPr="00D869A2">
        <w:rPr>
          <w:sz w:val="22"/>
          <w:szCs w:val="22"/>
        </w:rPr>
        <w:t xml:space="preserve">. </w:t>
      </w:r>
    </w:p>
  </w:footnote>
  <w:footnote w:id="51">
    <w:p w14:paraId="35E67CE3" w14:textId="7BB7233D" w:rsidR="00223E05" w:rsidRPr="00D869A2" w:rsidRDefault="00223E05" w:rsidP="00C43923">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Energy Affordability Report at 22–25.</w:t>
      </w:r>
    </w:p>
  </w:footnote>
  <w:footnote w:id="52">
    <w:p w14:paraId="6651EEB9" w14:textId="77777777" w:rsidR="00223E05" w:rsidRPr="00D869A2" w:rsidRDefault="00223E05" w:rsidP="00C43923">
      <w:pPr>
        <w:pStyle w:val="FootnoteText"/>
        <w:rPr>
          <w:sz w:val="22"/>
          <w:szCs w:val="22"/>
        </w:rPr>
      </w:pPr>
      <w:r w:rsidRPr="00D869A2">
        <w:rPr>
          <w:rStyle w:val="FootnoteReference"/>
          <w:sz w:val="22"/>
          <w:szCs w:val="22"/>
        </w:rPr>
        <w:footnoteRef/>
      </w:r>
      <w:r w:rsidRPr="00D869A2">
        <w:rPr>
          <w:sz w:val="22"/>
          <w:szCs w:val="22"/>
        </w:rPr>
        <w:t xml:space="preserve">  Low-income average energy burdens vary from 12% to 20%.  When based on an annual household income of $10,000, this results in $1,200 to $2,000 in annual energy costs.  </w:t>
      </w:r>
    </w:p>
  </w:footnote>
  <w:footnote w:id="53">
    <w:p w14:paraId="1E70CBDD" w14:textId="57D95625" w:rsidR="00223E05" w:rsidRPr="00D869A2" w:rsidRDefault="00223E05" w:rsidP="004E0B2C">
      <w:pPr>
        <w:pStyle w:val="FootnoteText"/>
        <w:rPr>
          <w:sz w:val="22"/>
          <w:szCs w:val="22"/>
        </w:rPr>
      </w:pPr>
      <w:r w:rsidRPr="00D869A2">
        <w:rPr>
          <w:rStyle w:val="FootnoteReference"/>
          <w:sz w:val="22"/>
          <w:szCs w:val="22"/>
        </w:rPr>
        <w:footnoteRef/>
      </w:r>
      <w:r w:rsidRPr="00D869A2">
        <w:rPr>
          <w:i/>
          <w:iCs/>
          <w:sz w:val="22"/>
          <w:szCs w:val="22"/>
        </w:rPr>
        <w:t xml:space="preserve">  See 2017 Report on Universal Service Programs &amp; Collections Performance</w:t>
      </w:r>
      <w:r w:rsidRPr="00D869A2">
        <w:rPr>
          <w:sz w:val="22"/>
          <w:szCs w:val="22"/>
        </w:rPr>
        <w:t xml:space="preserve"> at 53.  </w:t>
      </w:r>
      <w:hyperlink r:id="rId7" w:history="1">
        <w:r w:rsidRPr="00D869A2">
          <w:rPr>
            <w:rStyle w:val="Hyperlink"/>
            <w:sz w:val="22"/>
            <w:szCs w:val="22"/>
          </w:rPr>
          <w:t>http://www.puc.state.pa.us/General/publications_reports/pdf/EDC_NGDC_UniServ_Rpt2017.pdf</w:t>
        </w:r>
      </w:hyperlink>
      <w:r w:rsidRPr="00D869A2">
        <w:rPr>
          <w:sz w:val="22"/>
          <w:szCs w:val="22"/>
        </w:rPr>
        <w:t xml:space="preserve">. </w:t>
      </w:r>
    </w:p>
  </w:footnote>
  <w:footnote w:id="54">
    <w:p w14:paraId="6849AE35" w14:textId="2B40C782" w:rsidR="00223E05" w:rsidRPr="00D869A2" w:rsidRDefault="00223E05" w:rsidP="004E0B2C">
      <w:pPr>
        <w:pStyle w:val="FootnoteText"/>
        <w:rPr>
          <w:sz w:val="22"/>
          <w:szCs w:val="22"/>
        </w:rPr>
      </w:pPr>
      <w:r w:rsidRPr="00D869A2">
        <w:rPr>
          <w:rStyle w:val="FootnoteReference"/>
          <w:sz w:val="22"/>
          <w:szCs w:val="22"/>
        </w:rPr>
        <w:footnoteRef/>
      </w:r>
      <w:r w:rsidRPr="00D869A2">
        <w:rPr>
          <w:sz w:val="22"/>
          <w:szCs w:val="22"/>
        </w:rPr>
        <w:t xml:space="preserve">  For example, </w:t>
      </w:r>
      <w:r w:rsidRPr="008C21C5">
        <w:rPr>
          <w:i/>
          <w:sz w:val="22"/>
          <w:szCs w:val="22"/>
        </w:rPr>
        <w:t>see</w:t>
      </w:r>
      <w:r w:rsidRPr="00D869A2">
        <w:rPr>
          <w:sz w:val="22"/>
          <w:szCs w:val="22"/>
        </w:rPr>
        <w:t xml:space="preserve"> </w:t>
      </w:r>
      <w:r w:rsidRPr="00D869A2">
        <w:rPr>
          <w:i/>
          <w:iCs/>
          <w:sz w:val="22"/>
          <w:szCs w:val="22"/>
        </w:rPr>
        <w:t>Duquesne 2017-2019 USECP Order</w:t>
      </w:r>
      <w:r w:rsidRPr="00D869A2">
        <w:rPr>
          <w:sz w:val="22"/>
          <w:szCs w:val="22"/>
        </w:rPr>
        <w:t>, Docket No. M-2016-2534323 (order entered on March 23, 2017) at 28-31, OP #15.</w:t>
      </w:r>
    </w:p>
  </w:footnote>
  <w:footnote w:id="55">
    <w:p w14:paraId="4E9CE81F" w14:textId="3BCFE627" w:rsidR="00223E05" w:rsidRPr="00D869A2" w:rsidRDefault="00223E05" w:rsidP="003918C2">
      <w:pPr>
        <w:pStyle w:val="FootnoteText"/>
        <w:rPr>
          <w:sz w:val="22"/>
          <w:szCs w:val="22"/>
        </w:rPr>
      </w:pPr>
      <w:r w:rsidRPr="00D869A2">
        <w:rPr>
          <w:rStyle w:val="FootnoteReference"/>
          <w:sz w:val="22"/>
          <w:szCs w:val="22"/>
        </w:rPr>
        <w:footnoteRef/>
      </w:r>
      <w:r w:rsidRPr="00D869A2">
        <w:rPr>
          <w:sz w:val="22"/>
          <w:szCs w:val="22"/>
        </w:rPr>
        <w:t xml:space="preserve">  Low Income Advocate Comments at 38–39, Docket No. M-2017-2587711.</w:t>
      </w:r>
    </w:p>
  </w:footnote>
  <w:footnote w:id="56">
    <w:p w14:paraId="6E64932F" w14:textId="535A0FF3"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Currently, CAP participants with annual household incomes at or below 50% of the FPIG could have an energy burden of 12% to 20% or roughly $1,200 to $2,000 annually based on $10,000 annual household income.  Under the new policy, the maximum combined energy burden for the subset of customers with annual household incomes of $10,000 should be 6% or $600.  This could result in hypothetical annual reductions between $600 and $1,400 or an average annual savings of $1,000. </w:t>
      </w:r>
    </w:p>
  </w:footnote>
  <w:footnote w:id="57">
    <w:p w14:paraId="61BCB3B9" w14:textId="389D7337" w:rsidR="00223E05" w:rsidRPr="00D869A2" w:rsidRDefault="00223E05" w:rsidP="00550CF3">
      <w:pPr>
        <w:pStyle w:val="FootnoteText"/>
        <w:rPr>
          <w:sz w:val="22"/>
          <w:szCs w:val="22"/>
        </w:rPr>
      </w:pPr>
      <w:r w:rsidRPr="00D869A2">
        <w:rPr>
          <w:rStyle w:val="FootnoteReference"/>
          <w:sz w:val="22"/>
          <w:szCs w:val="22"/>
        </w:rPr>
        <w:footnoteRef/>
      </w:r>
      <w:r w:rsidRPr="00D869A2">
        <w:rPr>
          <w:sz w:val="22"/>
          <w:szCs w:val="22"/>
        </w:rPr>
        <w:t xml:space="preserve">  In 2017, 95,534 households with household incomes in the 0% to 50% FPIG tier participated in utility CAPs; 57,587 of which were electric CAP participants, and 37,947 were natural gas CAP participants.  </w:t>
      </w:r>
      <w:r w:rsidRPr="00D869A2">
        <w:rPr>
          <w:i/>
          <w:iCs/>
          <w:sz w:val="22"/>
          <w:szCs w:val="22"/>
        </w:rPr>
        <w:t>See</w:t>
      </w:r>
      <w:r w:rsidRPr="00D869A2">
        <w:rPr>
          <w:sz w:val="22"/>
          <w:szCs w:val="22"/>
        </w:rPr>
        <w:t xml:space="preserve"> </w:t>
      </w:r>
      <w:r w:rsidRPr="00D869A2">
        <w:rPr>
          <w:i/>
          <w:iCs/>
          <w:sz w:val="22"/>
          <w:szCs w:val="22"/>
        </w:rPr>
        <w:t>2017 Report on Universal Service Programs &amp; Collections Performance</w:t>
      </w:r>
      <w:r w:rsidRPr="00D869A2">
        <w:rPr>
          <w:sz w:val="22"/>
          <w:szCs w:val="22"/>
        </w:rPr>
        <w:t xml:space="preserve"> at 52.</w:t>
      </w:r>
    </w:p>
  </w:footnote>
  <w:footnote w:id="58">
    <w:p w14:paraId="7EBCFB54" w14:textId="0EC9B11C"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For utilities that do not have a PIP-based payment plan, system safeguards should be established to ensure the customer’s calculated payment does not exceed the maximum energy burden.</w:t>
      </w:r>
    </w:p>
  </w:footnote>
  <w:footnote w:id="59">
    <w:p w14:paraId="10EDE202" w14:textId="062EF1C0"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A CAP household’s bill may also exceed the maximum energy burden level if it exceeds the utility’s CAP credit limit, </w:t>
      </w:r>
      <w:r w:rsidRPr="00D869A2">
        <w:rPr>
          <w:i/>
          <w:sz w:val="22"/>
          <w:szCs w:val="22"/>
        </w:rPr>
        <w:t>e.g.</w:t>
      </w:r>
      <w:r w:rsidRPr="00D869A2">
        <w:rPr>
          <w:sz w:val="22"/>
          <w:szCs w:val="22"/>
        </w:rPr>
        <w:t>, due to usage.</w:t>
      </w:r>
    </w:p>
  </w:footnote>
  <w:footnote w:id="60">
    <w:p w14:paraId="3D7B74E5" w14:textId="77777777"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Duquesne 2017-2019 USECP, M-2016-2534323 (filed on March 12, 2018), at 5.</w:t>
      </w:r>
    </w:p>
  </w:footnote>
  <w:footnote w:id="61">
    <w:p w14:paraId="44403A46" w14:textId="6E7C3518"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2019-2021 USECP (filed on June 24, 2019), at 12, for Met-Ed (M-2017-2636976), Penelec (M­2017-2636969), Penn Power (M-2017-2636973), and WPP (M-2017-2636978).</w:t>
      </w:r>
    </w:p>
  </w:footnote>
  <w:footnote w:id="62">
    <w:p w14:paraId="6F087B66" w14:textId="77777777"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PECO 2016-2018 USECP at 35.</w:t>
      </w:r>
    </w:p>
  </w:footnote>
  <w:footnote w:id="63">
    <w:p w14:paraId="3372EE71" w14:textId="77777777"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PPL 2017-2019 USECP at 5.</w:t>
      </w:r>
    </w:p>
  </w:footnote>
  <w:footnote w:id="64">
    <w:p w14:paraId="5B323E97" w14:textId="77777777"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Columbia 2015-2018 USECP, M-2014-2424462 (filed on August 12, 2015), at 18.</w:t>
      </w:r>
    </w:p>
  </w:footnote>
  <w:footnote w:id="65">
    <w:p w14:paraId="31980305" w14:textId="77777777"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PECO 2016-2018 USECP at 35.</w:t>
      </w:r>
    </w:p>
  </w:footnote>
  <w:footnote w:id="66">
    <w:p w14:paraId="2FB89A54" w14:textId="77777777"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NFG 2017-2020 USECP, M-2016-2573847 (filed on April 2, 2018), at 17.</w:t>
      </w:r>
    </w:p>
  </w:footnote>
  <w:footnote w:id="67">
    <w:p w14:paraId="5805553E" w14:textId="35475676"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Peoples 2015-2018 USECP, M-2014-2432515 (filed on July 20, 2018), at 6, 7, 12.</w:t>
      </w:r>
    </w:p>
  </w:footnote>
  <w:footnote w:id="68">
    <w:p w14:paraId="5FA4055C" w14:textId="77777777"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PGW 2017-2020 USECP at 6.</w:t>
      </w:r>
    </w:p>
  </w:footnote>
  <w:footnote w:id="69">
    <w:p w14:paraId="326E9275" w14:textId="0BFDE003" w:rsidR="00223E05" w:rsidRPr="00D869A2" w:rsidRDefault="00223E05" w:rsidP="00951ABA">
      <w:pPr>
        <w:pStyle w:val="FootnoteText"/>
        <w:rPr>
          <w:sz w:val="22"/>
          <w:szCs w:val="22"/>
        </w:rPr>
      </w:pPr>
      <w:r w:rsidRPr="00D869A2">
        <w:rPr>
          <w:rStyle w:val="FootnoteReference"/>
          <w:sz w:val="22"/>
          <w:szCs w:val="22"/>
        </w:rPr>
        <w:footnoteRef/>
      </w:r>
      <w:r w:rsidRPr="00D869A2">
        <w:rPr>
          <w:sz w:val="22"/>
          <w:szCs w:val="22"/>
        </w:rPr>
        <w:t xml:space="preserve">  Includes </w:t>
      </w:r>
      <w:r w:rsidRPr="00D869A2" w:rsidDel="00C55DD1">
        <w:rPr>
          <w:sz w:val="22"/>
          <w:szCs w:val="22"/>
        </w:rPr>
        <w:t xml:space="preserve">UGI </w:t>
      </w:r>
      <w:r w:rsidRPr="00D869A2">
        <w:rPr>
          <w:sz w:val="22"/>
          <w:szCs w:val="22"/>
        </w:rPr>
        <w:t xml:space="preserve">North, UGI South, UGI Central, and UGI Utilities, Inc.-Electric Division (UGI Electric).  </w:t>
      </w:r>
      <w:r w:rsidRPr="00D869A2">
        <w:rPr>
          <w:i/>
          <w:sz w:val="22"/>
          <w:szCs w:val="22"/>
        </w:rPr>
        <w:t>See</w:t>
      </w:r>
      <w:r w:rsidRPr="00D869A2">
        <w:rPr>
          <w:sz w:val="22"/>
          <w:szCs w:val="22"/>
        </w:rPr>
        <w:t xml:space="preserve"> UGI’s 2014-2017 USECP, M-2013-2371824 (filed on February 17, 2015), at 15.</w:t>
      </w:r>
    </w:p>
  </w:footnote>
  <w:footnote w:id="70">
    <w:p w14:paraId="5998179D"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This issue was not addressed in the </w:t>
      </w:r>
      <w:r w:rsidRPr="00D869A2">
        <w:rPr>
          <w:i/>
          <w:sz w:val="22"/>
          <w:szCs w:val="22"/>
        </w:rPr>
        <w:t>Energy Affordability</w:t>
      </w:r>
      <w:r w:rsidRPr="00D869A2">
        <w:rPr>
          <w:sz w:val="22"/>
          <w:szCs w:val="22"/>
        </w:rPr>
        <w:t xml:space="preserve"> proceeding.</w:t>
      </w:r>
    </w:p>
  </w:footnote>
  <w:footnote w:id="71">
    <w:p w14:paraId="365B9A7B" w14:textId="608245AA" w:rsidR="00223E05" w:rsidRPr="00D869A2" w:rsidRDefault="00223E05" w:rsidP="009B7BD4">
      <w:pPr>
        <w:pStyle w:val="FootnoteText"/>
        <w:rPr>
          <w:sz w:val="22"/>
          <w:szCs w:val="22"/>
        </w:rPr>
      </w:pPr>
      <w:r w:rsidRPr="00D869A2">
        <w:rPr>
          <w:rStyle w:val="FootnoteReference"/>
          <w:sz w:val="22"/>
          <w:szCs w:val="22"/>
        </w:rPr>
        <w:footnoteRef/>
      </w:r>
      <w:r w:rsidRPr="00D869A2">
        <w:rPr>
          <w:sz w:val="22"/>
          <w:szCs w:val="22"/>
        </w:rPr>
        <w:t xml:space="preserve">  Includes </w:t>
      </w:r>
      <w:r w:rsidRPr="00D869A2" w:rsidDel="00C55DD1">
        <w:rPr>
          <w:sz w:val="22"/>
          <w:szCs w:val="22"/>
        </w:rPr>
        <w:t xml:space="preserve">UGI </w:t>
      </w:r>
      <w:r w:rsidRPr="00D869A2">
        <w:rPr>
          <w:sz w:val="22"/>
          <w:szCs w:val="22"/>
        </w:rPr>
        <w:t xml:space="preserve">North, UGI South, UGI Central, and UGI Electric.  </w:t>
      </w:r>
    </w:p>
  </w:footnote>
  <w:footnote w:id="72">
    <w:p w14:paraId="3A9BE109" w14:textId="77777777" w:rsidR="00223E05" w:rsidRPr="00D869A2" w:rsidRDefault="00223E05" w:rsidP="00AE1E63">
      <w:pPr>
        <w:pStyle w:val="FootnoteText"/>
        <w:rPr>
          <w:sz w:val="22"/>
          <w:szCs w:val="22"/>
        </w:rPr>
      </w:pPr>
      <w:r w:rsidRPr="00D869A2">
        <w:rPr>
          <w:rStyle w:val="FootnoteReference"/>
          <w:sz w:val="22"/>
          <w:szCs w:val="22"/>
        </w:rPr>
        <w:footnoteRef/>
      </w:r>
      <w:r w:rsidRPr="00D869A2">
        <w:rPr>
          <w:sz w:val="22"/>
          <w:szCs w:val="22"/>
        </w:rPr>
        <w:t xml:space="preserve">  This policy would not prohibit EDCs and NGDCs from accepting income based on other timeframes (</w:t>
      </w:r>
      <w:r w:rsidRPr="00D869A2">
        <w:rPr>
          <w:i/>
          <w:sz w:val="22"/>
          <w:szCs w:val="22"/>
        </w:rPr>
        <w:t>e.g.</w:t>
      </w:r>
      <w:r w:rsidRPr="00D869A2">
        <w:rPr>
          <w:sz w:val="22"/>
          <w:szCs w:val="22"/>
        </w:rPr>
        <w:t>, 60 or 90 days).</w:t>
      </w:r>
    </w:p>
  </w:footnote>
  <w:footnote w:id="73">
    <w:p w14:paraId="2A8B5535" w14:textId="3876FDFE"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This is similar to the definition of “Low-income [payment-troubled] customers” in Section 69.262 of the CAP Policy Statement.</w:t>
      </w:r>
    </w:p>
  </w:footnote>
  <w:footnote w:id="74">
    <w:p w14:paraId="3E50AD5E" w14:textId="5677AC8F"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Columbia Gas considers a household to be payment-troubled if it has received a termination notice or has broken a payment agreement within the past 12 months or through a utility referral or credit scoring.  Columbia Gas 2015-2018 USECP at 17, Docket No. M 2014-2424462 (filed on August 12, 2015).</w:t>
      </w:r>
    </w:p>
  </w:footnote>
  <w:footnote w:id="75">
    <w:p w14:paraId="3817C431" w14:textId="582CB6E3"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NFG considers a household to be payment-troubled if it has an arrearage on the account or at least one current, canceled, or defaulted arrangement on the account at the time of application.  NFG 2017-2020 USECP at 8, Docket No. M-2016-2573847 (filed on April 2, 2018).</w:t>
      </w:r>
    </w:p>
  </w:footnote>
  <w:footnote w:id="76">
    <w:p w14:paraId="02CE6BDD" w14:textId="570A472D"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Peoples and Peoples-Equitable consider a to be household payment troubled if it meets any of the criteria listed in 69.265(4)(iii)(A)–(D).  Peoples 2015-2018 USECP at 8, Docket No. M</w:t>
      </w:r>
      <w:r w:rsidRPr="00D869A2">
        <w:rPr>
          <w:sz w:val="22"/>
          <w:szCs w:val="22"/>
        </w:rPr>
        <w:noBreakHyphen/>
        <w:t>2014</w:t>
      </w:r>
      <w:r w:rsidRPr="00D869A2">
        <w:rPr>
          <w:sz w:val="22"/>
          <w:szCs w:val="22"/>
        </w:rPr>
        <w:noBreakHyphen/>
        <w:t>2432515 (filed July 20, 2018).</w:t>
      </w:r>
    </w:p>
  </w:footnote>
  <w:footnote w:id="77">
    <w:p w14:paraId="440CAB84" w14:textId="335CAF99"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Duquesne states that low-income customers must demonstrate or express an inability to pay their electric bills to qualify for its CAP.  Duquesne 2017-2019 USECP at 12, Docket No. M</w:t>
      </w:r>
      <w:r w:rsidRPr="00D869A2">
        <w:rPr>
          <w:sz w:val="22"/>
          <w:szCs w:val="22"/>
        </w:rPr>
        <w:noBreakHyphen/>
        <w:t>2016-2534323 (filed March 12, 2018).  However, this is not a payment-troubled criterion under the CAP Policy Statement.</w:t>
      </w:r>
    </w:p>
  </w:footnote>
  <w:footnote w:id="78">
    <w:p w14:paraId="351CC391" w14:textId="77777777" w:rsidR="00223E05" w:rsidRPr="00D869A2" w:rsidRDefault="00223E05" w:rsidP="00506216">
      <w:pPr>
        <w:pStyle w:val="Default"/>
        <w:rPr>
          <w:rFonts w:ascii="Times New Roman" w:hAnsi="Times New Roman" w:cs="Times New Roman"/>
          <w:sz w:val="22"/>
          <w:szCs w:val="22"/>
        </w:rPr>
      </w:pPr>
      <w:r w:rsidRPr="00D869A2">
        <w:rPr>
          <w:rStyle w:val="FootnoteReference"/>
          <w:rFonts w:ascii="Times New Roman" w:hAnsi="Times New Roman" w:cs="Times New Roman"/>
          <w:sz w:val="22"/>
          <w:szCs w:val="22"/>
        </w:rPr>
        <w:footnoteRef/>
      </w:r>
      <w:r w:rsidRPr="00D869A2">
        <w:rPr>
          <w:rFonts w:ascii="Times New Roman" w:hAnsi="Times New Roman" w:cs="Times New Roman"/>
          <w:sz w:val="22"/>
          <w:szCs w:val="22"/>
        </w:rPr>
        <w:t xml:space="preserve">  Opinion Dynamics Corp.  (March 2013).  “Low Income Assistance Program Evaluation” at 4.  </w:t>
      </w:r>
      <w:hyperlink r:id="rId8" w:history="1">
        <w:r w:rsidRPr="00D869A2">
          <w:rPr>
            <w:rStyle w:val="Hyperlink"/>
            <w:rFonts w:ascii="Times New Roman" w:hAnsi="Times New Roman" w:cs="Times New Roman"/>
            <w:sz w:val="22"/>
            <w:szCs w:val="22"/>
          </w:rPr>
          <w:t>http://www.opiniondynamics.com/wp-content/uploads/2013/06/Low-Income-Payment-Assistance-Program-Evaluation.pdf</w:t>
        </w:r>
      </w:hyperlink>
      <w:r w:rsidRPr="00D869A2">
        <w:rPr>
          <w:rFonts w:ascii="Times New Roman" w:hAnsi="Times New Roman" w:cs="Times New Roman"/>
          <w:sz w:val="22"/>
          <w:szCs w:val="22"/>
        </w:rPr>
        <w:t>.  Retrieved August 1, 2019.  “More customers who have low [PPA] balances have higher than average on-time rates.  Customers with less than $391 in arrearages pay on-time 61% of the time, while customers with more than $1,514 in arrearages pay on-time 45% of the time.”</w:t>
      </w:r>
    </w:p>
  </w:footnote>
  <w:footnote w:id="79">
    <w:p w14:paraId="2B876FA3" w14:textId="3821B246"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PECO Gas reported a CAP participation rate of 75% in 2017, but it is the Commission’s understanding that only customers which have applied for PECO’s CAP are counted as confirmed low-income.</w:t>
      </w:r>
    </w:p>
  </w:footnote>
  <w:footnote w:id="80">
    <w:p w14:paraId="7126EA00" w14:textId="571EFF24" w:rsidR="00223E05" w:rsidRPr="00D869A2" w:rsidRDefault="00223E05" w:rsidP="00AC739F">
      <w:pPr>
        <w:pStyle w:val="FootnoteText"/>
        <w:tabs>
          <w:tab w:val="left" w:pos="7920"/>
        </w:tabs>
        <w:rPr>
          <w:sz w:val="22"/>
          <w:szCs w:val="22"/>
        </w:rPr>
      </w:pPr>
      <w:r w:rsidRPr="00D869A2">
        <w:rPr>
          <w:rStyle w:val="FootnoteReference"/>
          <w:sz w:val="22"/>
          <w:szCs w:val="22"/>
        </w:rPr>
        <w:footnoteRef/>
      </w:r>
      <w:r w:rsidRPr="00D869A2">
        <w:rPr>
          <w:sz w:val="22"/>
          <w:szCs w:val="22"/>
        </w:rPr>
        <w:t xml:space="preserve">  In the Commonwealth, prior to 2009, utilities could use LIHEAP grants to fund CAPs by subsidizing CAP credits.  In 2009, the Pennsylvania Department of Human Services (DHS), then known as the Department of Public Welfare (DPW), informed utilities that they must apply LIHEAP grants directly to a customer’s CAP bill or “asked-to-pay” (ATP) amount.  At that time, the CAP Policy Statement, Section 69.265(9)(ii) &amp; (iv), provided that a utility could impose a penalty on a CAP participant that was eligible for LIHEAP benefits but failed to apply for LIHEAP, not exceeding the amount of an average LIHEAP benefit.  Participants who directed their LIHEAP benefits to another utility or energy provider were exempt from the penalty provision.  Section 69.265(9)(iii) provided that LIHEAP grants should be applied to the CAP shortfall.  The 2009 LIHEAP directive from DHS conflicted with these aspects of the CAP Policy Statement.  Utilities could no longer apply LIHEAP grants to a CAP customer’s deferred arrears</w:t>
      </w:r>
      <w:r w:rsidRPr="00D869A2">
        <w:rPr>
          <w:sz w:val="22"/>
          <w:szCs w:val="22"/>
          <w:vertAlign w:val="superscript"/>
        </w:rPr>
        <w:t xml:space="preserve"> </w:t>
      </w:r>
      <w:r w:rsidRPr="00D869A2">
        <w:rPr>
          <w:sz w:val="22"/>
          <w:szCs w:val="22"/>
        </w:rPr>
        <w:t>or to the CAP shortfall.  On April 9, 2010, the Commission suspended Section 69.265(9)(ii)–(iii) of the CAP Policy Statement by order entered at Docket No. M</w:t>
      </w:r>
      <w:r w:rsidRPr="00D869A2">
        <w:rPr>
          <w:sz w:val="22"/>
          <w:szCs w:val="22"/>
        </w:rPr>
        <w:noBreakHyphen/>
        <w:t>00920345.</w:t>
      </w:r>
    </w:p>
  </w:footnote>
  <w:footnote w:id="81">
    <w:p w14:paraId="2E71413B" w14:textId="4AF1E788"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 xml:space="preserve">See </w:t>
      </w:r>
      <w:r w:rsidRPr="00D869A2">
        <w:rPr>
          <w:sz w:val="22"/>
          <w:szCs w:val="22"/>
        </w:rPr>
        <w:t>66 Pa. C.S. § 1409.</w:t>
      </w:r>
    </w:p>
  </w:footnote>
  <w:footnote w:id="82">
    <w:p w14:paraId="25FAE225" w14:textId="0A93CCCA"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We note that PECO offers PPA forgiveness over a one-year period.</w:t>
      </w:r>
    </w:p>
  </w:footnote>
  <w:footnote w:id="83">
    <w:p w14:paraId="253376D6" w14:textId="777C77FB"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For example, </w:t>
      </w:r>
      <w:r w:rsidRPr="00D869A2">
        <w:rPr>
          <w:i/>
          <w:sz w:val="22"/>
          <w:szCs w:val="22"/>
        </w:rPr>
        <w:t>see PGW 2014-2016 USECP</w:t>
      </w:r>
      <w:r w:rsidRPr="00D869A2">
        <w:rPr>
          <w:sz w:val="22"/>
          <w:szCs w:val="22"/>
        </w:rPr>
        <w:t>, Docket No. M-2013-2366301 (order entered on August 22, 2014), at 20–26.</w:t>
      </w:r>
    </w:p>
  </w:footnote>
  <w:footnote w:id="84">
    <w:p w14:paraId="4262AE02"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This issue was not addressed in the </w:t>
      </w:r>
      <w:r w:rsidRPr="00D869A2">
        <w:rPr>
          <w:i/>
          <w:sz w:val="22"/>
          <w:szCs w:val="22"/>
        </w:rPr>
        <w:t>Energy Affordability</w:t>
      </w:r>
      <w:r w:rsidRPr="00D869A2">
        <w:rPr>
          <w:sz w:val="22"/>
          <w:szCs w:val="22"/>
        </w:rPr>
        <w:t xml:space="preserve"> proceeding.</w:t>
      </w:r>
    </w:p>
  </w:footnote>
  <w:footnote w:id="85">
    <w:p w14:paraId="4779E709" w14:textId="77777777" w:rsidR="00223E05" w:rsidRPr="00D869A2" w:rsidRDefault="00223E05" w:rsidP="005B60BB">
      <w:pPr>
        <w:pStyle w:val="FootnoteText"/>
        <w:rPr>
          <w:sz w:val="22"/>
          <w:szCs w:val="22"/>
        </w:rPr>
      </w:pPr>
      <w:r w:rsidRPr="00D869A2">
        <w:rPr>
          <w:rStyle w:val="FootnoteReference"/>
          <w:sz w:val="22"/>
          <w:szCs w:val="22"/>
        </w:rPr>
        <w:footnoteRef/>
      </w:r>
      <w:r w:rsidRPr="00D869A2">
        <w:rPr>
          <w:sz w:val="22"/>
          <w:szCs w:val="22"/>
        </w:rPr>
        <w:t xml:space="preserve">  “CAP balance” is sometimes referred to as “in-program arrears.”</w:t>
      </w:r>
    </w:p>
  </w:footnote>
  <w:footnote w:id="86">
    <w:p w14:paraId="2E2A9C19"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This issue was not addressed in the </w:t>
      </w:r>
      <w:r w:rsidRPr="00D869A2">
        <w:rPr>
          <w:i/>
          <w:sz w:val="22"/>
          <w:szCs w:val="22"/>
        </w:rPr>
        <w:t>Energy Affordability</w:t>
      </w:r>
      <w:r w:rsidRPr="00D869A2">
        <w:rPr>
          <w:sz w:val="22"/>
          <w:szCs w:val="22"/>
        </w:rPr>
        <w:t xml:space="preserve"> proceeding.</w:t>
      </w:r>
    </w:p>
  </w:footnote>
  <w:footnote w:id="87">
    <w:p w14:paraId="0D631165" w14:textId="44D9E24F" w:rsidR="00223E05" w:rsidRPr="00D869A2" w:rsidRDefault="00223E05">
      <w:pPr>
        <w:pStyle w:val="FootnoteText"/>
        <w:rPr>
          <w:color w:val="0D0D0D" w:themeColor="text1" w:themeTint="F2"/>
          <w:sz w:val="22"/>
          <w:szCs w:val="22"/>
        </w:rPr>
      </w:pPr>
      <w:r w:rsidRPr="00D869A2">
        <w:rPr>
          <w:rStyle w:val="FootnoteReference"/>
          <w:color w:val="0D0D0D" w:themeColor="text1" w:themeTint="F2"/>
          <w:sz w:val="22"/>
          <w:szCs w:val="22"/>
        </w:rPr>
        <w:footnoteRef/>
      </w:r>
      <w:r w:rsidRPr="00D869A2">
        <w:rPr>
          <w:color w:val="0D0D0D" w:themeColor="text1" w:themeTint="F2"/>
          <w:sz w:val="22"/>
          <w:szCs w:val="22"/>
        </w:rPr>
        <w:t xml:space="preserve">  </w:t>
      </w:r>
      <w:hyperlink r:id="rId9" w:history="1">
        <w:r w:rsidRPr="00D869A2">
          <w:rPr>
            <w:rStyle w:val="Hyperlink"/>
            <w:sz w:val="22"/>
            <w:szCs w:val="22"/>
          </w:rPr>
          <w:t>http://ssa-custhelp.ssa.gov/app/answers/detail/a_id/78/~/legal-requirements-to-provide-your-ssn</w:t>
        </w:r>
      </w:hyperlink>
      <w:r w:rsidRPr="00D869A2">
        <w:rPr>
          <w:rStyle w:val="Hyperlink"/>
          <w:color w:val="0D0D0D" w:themeColor="text1" w:themeTint="F2"/>
          <w:sz w:val="22"/>
          <w:szCs w:val="22"/>
        </w:rPr>
        <w:t>.</w:t>
      </w:r>
      <w:r w:rsidRPr="00D869A2">
        <w:rPr>
          <w:color w:val="0D0D0D" w:themeColor="text1" w:themeTint="F2"/>
          <w:sz w:val="22"/>
          <w:szCs w:val="22"/>
        </w:rPr>
        <w:t xml:space="preserve"> </w:t>
      </w:r>
    </w:p>
  </w:footnote>
  <w:footnote w:id="88">
    <w:p w14:paraId="7628AA66" w14:textId="64777956" w:rsidR="00223E05" w:rsidRPr="00D869A2" w:rsidRDefault="00223E05" w:rsidP="003A2754">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w:t>
      </w:r>
      <w:r w:rsidRPr="00D869A2">
        <w:rPr>
          <w:i/>
          <w:sz w:val="22"/>
          <w:szCs w:val="22"/>
        </w:rPr>
        <w:t>e.g</w:t>
      </w:r>
      <w:r w:rsidRPr="00D869A2">
        <w:rPr>
          <w:sz w:val="22"/>
          <w:szCs w:val="22"/>
        </w:rPr>
        <w:t>., NFG 2014-2016 USECP, Docket No. M-2013-2366232 (order entered on May 22, 2014), at 25–26;</w:t>
      </w:r>
      <w:r w:rsidRPr="00D869A2">
        <w:rPr>
          <w:i/>
          <w:sz w:val="22"/>
          <w:szCs w:val="22"/>
        </w:rPr>
        <w:t xml:space="preserve"> </w:t>
      </w:r>
      <w:r w:rsidRPr="00D869A2">
        <w:rPr>
          <w:sz w:val="22"/>
          <w:szCs w:val="22"/>
        </w:rPr>
        <w:t>and PGW 2014-2016 USECP at 14–20.</w:t>
      </w:r>
    </w:p>
  </w:footnote>
  <w:footnote w:id="89">
    <w:p w14:paraId="33B348E5" w14:textId="24C21550"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For example, </w:t>
      </w:r>
      <w:r w:rsidRPr="00D869A2">
        <w:rPr>
          <w:i/>
          <w:sz w:val="22"/>
          <w:szCs w:val="22"/>
        </w:rPr>
        <w:t>see</w:t>
      </w:r>
      <w:r w:rsidRPr="00D869A2">
        <w:rPr>
          <w:sz w:val="22"/>
          <w:szCs w:val="22"/>
        </w:rPr>
        <w:t xml:space="preserve"> </w:t>
      </w:r>
      <w:r w:rsidRPr="00D869A2">
        <w:rPr>
          <w:i/>
          <w:sz w:val="22"/>
          <w:szCs w:val="22"/>
        </w:rPr>
        <w:t>Duquesne’s 2014-2016 USECP</w:t>
      </w:r>
      <w:r w:rsidRPr="00D869A2">
        <w:rPr>
          <w:sz w:val="22"/>
          <w:szCs w:val="22"/>
        </w:rPr>
        <w:t xml:space="preserve">, Docket No. M-2013-2350946 (order entered on March 6, 2014), at 10.  </w:t>
      </w:r>
    </w:p>
  </w:footnote>
  <w:footnote w:id="90">
    <w:p w14:paraId="00003C8E" w14:textId="6E39AB82"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Instead, most</w:t>
      </w:r>
      <w:r w:rsidRPr="00D869A2" w:rsidDel="009C6ED5">
        <w:rPr>
          <w:sz w:val="22"/>
          <w:szCs w:val="22"/>
        </w:rPr>
        <w:t xml:space="preserve"> </w:t>
      </w:r>
      <w:r w:rsidRPr="00D869A2">
        <w:rPr>
          <w:sz w:val="22"/>
          <w:szCs w:val="22"/>
        </w:rPr>
        <w:t xml:space="preserve">NGDCs impose limits on CAP natural gas consumption.  If customers exceed these consumption limits, they can be provided with energy conservation education, referred to LIURP (if eligible), and ultimately removed from CAPs if usage reduction services and/or education are unsuccessful.  For example, </w:t>
      </w:r>
      <w:r w:rsidRPr="00D869A2">
        <w:rPr>
          <w:i/>
          <w:sz w:val="22"/>
          <w:szCs w:val="22"/>
        </w:rPr>
        <w:t>see</w:t>
      </w:r>
      <w:r w:rsidRPr="00D869A2">
        <w:rPr>
          <w:sz w:val="22"/>
          <w:szCs w:val="22"/>
        </w:rPr>
        <w:t xml:space="preserve"> UGI’s 2014-1017 USECP, Docket No. M</w:t>
      </w:r>
      <w:r w:rsidRPr="00D869A2">
        <w:rPr>
          <w:sz w:val="22"/>
          <w:szCs w:val="22"/>
        </w:rPr>
        <w:noBreakHyphen/>
        <w:t>2013</w:t>
      </w:r>
      <w:r w:rsidRPr="00D869A2">
        <w:rPr>
          <w:sz w:val="22"/>
          <w:szCs w:val="22"/>
        </w:rPr>
        <w:noBreakHyphen/>
        <w:t xml:space="preserve">2371824 (filed on February 17, 2015), at 17–18.   </w:t>
      </w:r>
    </w:p>
  </w:footnote>
  <w:footnote w:id="91">
    <w:p w14:paraId="241FD261" w14:textId="165B2CC8"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PECO 2016-2018 USECP, Docket No. M-2015-2507139 (filed on February 17, 2017), Addendum</w:t>
      </w:r>
      <w:r>
        <w:rPr>
          <w:sz w:val="22"/>
          <w:szCs w:val="22"/>
        </w:rPr>
        <w:t> </w:t>
      </w:r>
      <w:r w:rsidRPr="00D869A2">
        <w:rPr>
          <w:sz w:val="22"/>
          <w:szCs w:val="22"/>
        </w:rPr>
        <w:t>A at 32; and PPL 2017-2019 USECP, Docket No. M-2016-2554787 (filed on November 3, 2017), at 17.</w:t>
      </w:r>
    </w:p>
  </w:footnote>
  <w:footnote w:id="92">
    <w:p w14:paraId="73D68EF4"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This issue was not addressed in the </w:t>
      </w:r>
      <w:r w:rsidRPr="00D869A2">
        <w:rPr>
          <w:i/>
          <w:sz w:val="22"/>
          <w:szCs w:val="22"/>
        </w:rPr>
        <w:t>Energy Affordability</w:t>
      </w:r>
      <w:r w:rsidRPr="00D869A2">
        <w:rPr>
          <w:sz w:val="22"/>
          <w:szCs w:val="22"/>
        </w:rPr>
        <w:t xml:space="preserve"> proceeding.</w:t>
      </w:r>
    </w:p>
  </w:footnote>
  <w:footnote w:id="93">
    <w:p w14:paraId="7CCA5EAF" w14:textId="4CB2C806"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This provision is not intended to recommend CAP credit limits for utilities that do not currently impose such limits (</w:t>
      </w:r>
      <w:r w:rsidRPr="00D869A2">
        <w:rPr>
          <w:i/>
          <w:sz w:val="22"/>
          <w:szCs w:val="22"/>
        </w:rPr>
        <w:t>i.e</w:t>
      </w:r>
      <w:r w:rsidRPr="00D869A2">
        <w:rPr>
          <w:sz w:val="22"/>
          <w:szCs w:val="22"/>
        </w:rPr>
        <w:t>., NGDCs), but NGDCs are not prohibited from proposing CAP credit limits if they can justify a need for them.</w:t>
      </w:r>
    </w:p>
  </w:footnote>
  <w:footnote w:id="94">
    <w:p w14:paraId="09372BB8" w14:textId="22D85B7F"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PECO 2016-2018 USECP, Docket No. M-2015-2507139 (filed on February 17, 2017), at 7.</w:t>
      </w:r>
    </w:p>
  </w:footnote>
  <w:footnote w:id="95">
    <w:p w14:paraId="2494D5BD" w14:textId="49D7985F"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PGW 2017-2020 USECP, Docket No. M-2016-2542415 (filed on August 31, 2017), at 17.</w:t>
      </w:r>
    </w:p>
  </w:footnote>
  <w:footnote w:id="96">
    <w:p w14:paraId="7CD8675B" w14:textId="727BE59C"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PPL 2017-2019 USECP, Docket No. M-2016-2554787 (filed on June 30, 2016), at 15.</w:t>
      </w:r>
    </w:p>
  </w:footnote>
  <w:footnote w:id="97">
    <w:p w14:paraId="15021B00" w14:textId="7B33C565"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Customers can apply for these benefits online through the Commonwealth’s COMPASS website: </w:t>
      </w:r>
      <w:hyperlink r:id="rId10" w:history="1">
        <w:r w:rsidRPr="00D869A2">
          <w:rPr>
            <w:rStyle w:val="Hyperlink"/>
            <w:sz w:val="22"/>
            <w:szCs w:val="22"/>
          </w:rPr>
          <w:t>https://www.compass.state.pa.us</w:t>
        </w:r>
      </w:hyperlink>
      <w:r w:rsidRPr="00D869A2">
        <w:rPr>
          <w:sz w:val="22"/>
          <w:szCs w:val="22"/>
        </w:rPr>
        <w:t xml:space="preserve">.  </w:t>
      </w:r>
    </w:p>
  </w:footnote>
  <w:footnote w:id="98">
    <w:p w14:paraId="0CD29C1B"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hyperlink r:id="rId11" w:history="1">
        <w:r w:rsidRPr="00D869A2">
          <w:rPr>
            <w:rStyle w:val="Hyperlink"/>
            <w:sz w:val="22"/>
            <w:szCs w:val="22"/>
          </w:rPr>
          <w:t>http://www.dhs.pa.gov/cs/groups/webcontent/documents/document/c_279179.pdf</w:t>
        </w:r>
      </w:hyperlink>
      <w:r w:rsidRPr="00D869A2">
        <w:rPr>
          <w:sz w:val="22"/>
          <w:szCs w:val="22"/>
        </w:rPr>
        <w:t xml:space="preserve">  </w:t>
      </w:r>
    </w:p>
  </w:footnote>
  <w:footnote w:id="99">
    <w:p w14:paraId="06BB67C4" w14:textId="0411B389"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bookmarkStart w:id="28" w:name="_Hlk16167750"/>
      <w:r w:rsidRPr="00D869A2">
        <w:rPr>
          <w:i/>
          <w:iCs/>
          <w:sz w:val="22"/>
          <w:szCs w:val="22"/>
        </w:rPr>
        <w:t>See Staff Report Summarizing Public Comments, Feedback and Suggestions Regarding Universal Service and Energy Conservation Programs</w:t>
      </w:r>
      <w:r w:rsidRPr="00D869A2">
        <w:rPr>
          <w:sz w:val="22"/>
          <w:szCs w:val="22"/>
        </w:rPr>
        <w:t xml:space="preserve"> at 27.  </w:t>
      </w:r>
      <w:bookmarkEnd w:id="28"/>
    </w:p>
  </w:footnote>
  <w:footnote w:id="100">
    <w:p w14:paraId="5E888745" w14:textId="3FE6D329"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The USWG included representatives from the EDCs, NGDCs, Pennsylvania Utility Law Project (PULP), CLS, OCA, United Way, DEF, KEEA, and OSBA.  </w:t>
      </w:r>
    </w:p>
  </w:footnote>
  <w:footnote w:id="101">
    <w:p w14:paraId="51489A05" w14:textId="126E8142"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w:t>
      </w:r>
      <w:r w:rsidRPr="00D869A2">
        <w:rPr>
          <w:i/>
          <w:iCs/>
          <w:sz w:val="22"/>
          <w:szCs w:val="22"/>
        </w:rPr>
        <w:t>See</w:t>
      </w:r>
      <w:r w:rsidRPr="00D869A2">
        <w:rPr>
          <w:sz w:val="22"/>
          <w:szCs w:val="22"/>
        </w:rPr>
        <w:t xml:space="preserve"> Appendix C.</w:t>
      </w:r>
    </w:p>
  </w:footnote>
  <w:footnote w:id="102">
    <w:p w14:paraId="36BA3D54"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For example, if a household completes a zero-income form at CAP application and then again at recertification, a utility may request additional information about how living expenses are being paid.</w:t>
      </w:r>
    </w:p>
  </w:footnote>
  <w:footnote w:id="103">
    <w:p w14:paraId="21CFA280" w14:textId="435A5C94"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Duquesne 2017-2019 USECP at 9.</w:t>
      </w:r>
    </w:p>
  </w:footnote>
  <w:footnote w:id="104">
    <w:p w14:paraId="3599B9F4" w14:textId="07361473"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FirstEnergy’s 2019-2021 USECP at 16.</w:t>
      </w:r>
    </w:p>
  </w:footnote>
  <w:footnote w:id="105">
    <w:p w14:paraId="657F9AFB" w14:textId="2FA7D066"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PECO 2016-2018 USECP at 7–8.</w:t>
      </w:r>
    </w:p>
  </w:footnote>
  <w:footnote w:id="106">
    <w:p w14:paraId="6B698B1D"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PPL 2017-2019 USECP at 13, 16.</w:t>
      </w:r>
    </w:p>
  </w:footnote>
  <w:footnote w:id="107">
    <w:p w14:paraId="4B0AC202" w14:textId="217DC49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Columbia 2015-2018 USECP at 23–24.</w:t>
      </w:r>
    </w:p>
  </w:footnote>
  <w:footnote w:id="108">
    <w:p w14:paraId="76C1A4E9" w14:textId="60A797CC"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NFG 2017-2020 USECP at 16.</w:t>
      </w:r>
    </w:p>
  </w:footnote>
  <w:footnote w:id="109">
    <w:p w14:paraId="7DE064D8" w14:textId="5FA276A2"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Peoples Natural Gas 2015-2018 USECP at 12.</w:t>
      </w:r>
    </w:p>
  </w:footnote>
  <w:footnote w:id="110">
    <w:p w14:paraId="2489A962" w14:textId="1780AF0D"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PGW 2017-2020 USECP at 17–18.</w:t>
      </w:r>
    </w:p>
  </w:footnote>
  <w:footnote w:id="111">
    <w:p w14:paraId="5033D244" w14:textId="2CEC3DDF"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Includes </w:t>
      </w:r>
      <w:r w:rsidRPr="00D869A2" w:rsidDel="00C55DD1">
        <w:rPr>
          <w:sz w:val="22"/>
          <w:szCs w:val="22"/>
        </w:rPr>
        <w:t xml:space="preserve">UGI </w:t>
      </w:r>
      <w:r w:rsidRPr="00D869A2">
        <w:rPr>
          <w:sz w:val="22"/>
          <w:szCs w:val="22"/>
        </w:rPr>
        <w:t xml:space="preserve">North, UGI South, UGI Central, and UGI Electric.  </w:t>
      </w:r>
      <w:r w:rsidRPr="00D869A2">
        <w:rPr>
          <w:i/>
          <w:sz w:val="22"/>
          <w:szCs w:val="22"/>
        </w:rPr>
        <w:t>See</w:t>
      </w:r>
      <w:r w:rsidRPr="00D869A2">
        <w:rPr>
          <w:sz w:val="22"/>
          <w:szCs w:val="22"/>
        </w:rPr>
        <w:t xml:space="preserve"> UGI’s 2014-2017 USECP at 19.</w:t>
      </w:r>
    </w:p>
  </w:footnote>
  <w:footnote w:id="112">
    <w:p w14:paraId="6F166759"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This issue was not addressed in the </w:t>
      </w:r>
      <w:r w:rsidRPr="00D869A2">
        <w:rPr>
          <w:i/>
          <w:sz w:val="22"/>
          <w:szCs w:val="22"/>
        </w:rPr>
        <w:t>Energy Affordability</w:t>
      </w:r>
      <w:r w:rsidRPr="00D869A2">
        <w:rPr>
          <w:sz w:val="22"/>
          <w:szCs w:val="22"/>
        </w:rPr>
        <w:t xml:space="preserve"> proceeding. </w:t>
      </w:r>
    </w:p>
  </w:footnote>
  <w:footnote w:id="113">
    <w:p w14:paraId="5A15E73B" w14:textId="7333B896" w:rsidR="00223E05" w:rsidRPr="00D869A2" w:rsidRDefault="00223E05">
      <w:pPr>
        <w:pStyle w:val="FootnoteText"/>
        <w:rPr>
          <w:rStyle w:val="FootnoteReference"/>
          <w:sz w:val="22"/>
          <w:szCs w:val="22"/>
          <w:vertAlign w:val="baseline"/>
        </w:rPr>
      </w:pPr>
      <w:r w:rsidRPr="00D869A2">
        <w:rPr>
          <w:rStyle w:val="FootnoteReference"/>
          <w:sz w:val="22"/>
          <w:szCs w:val="22"/>
        </w:rPr>
        <w:footnoteRef/>
      </w:r>
      <w:r w:rsidRPr="00D869A2">
        <w:rPr>
          <w:sz w:val="22"/>
          <w:szCs w:val="22"/>
        </w:rPr>
        <w:t xml:space="preserve">  Lifeline is a federal program that lowers the monthly cost of phone and internet for low-income eligible customers.  </w:t>
      </w:r>
      <w:hyperlink r:id="rId12" w:history="1">
        <w:r w:rsidRPr="00D869A2">
          <w:rPr>
            <w:rStyle w:val="Hyperlink"/>
            <w:sz w:val="22"/>
            <w:szCs w:val="22"/>
          </w:rPr>
          <w:t>https://www.fcc.gov/general/lifeline-program-low-income-consumers</w:t>
        </w:r>
      </w:hyperlink>
      <w:r w:rsidRPr="00D869A2">
        <w:rPr>
          <w:rStyle w:val="Hyperlink"/>
          <w:sz w:val="22"/>
          <w:szCs w:val="22"/>
        </w:rPr>
        <w:t>.</w:t>
      </w:r>
    </w:p>
  </w:footnote>
  <w:footnote w:id="114">
    <w:p w14:paraId="4987A9B5" w14:textId="0E430929"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For example, </w:t>
      </w:r>
      <w:r w:rsidRPr="00D869A2">
        <w:rPr>
          <w:i/>
          <w:sz w:val="22"/>
          <w:szCs w:val="22"/>
        </w:rPr>
        <w:t>see</w:t>
      </w:r>
      <w:r w:rsidRPr="00D869A2">
        <w:rPr>
          <w:sz w:val="22"/>
          <w:szCs w:val="22"/>
        </w:rPr>
        <w:t xml:space="preserve"> FirstEnergy 2017 APPRISE Universal Service Impact Evaluation at 22.  </w:t>
      </w:r>
      <w:hyperlink r:id="rId13" w:history="1">
        <w:r w:rsidRPr="00D869A2">
          <w:rPr>
            <w:rStyle w:val="Hyperlink"/>
            <w:sz w:val="22"/>
            <w:szCs w:val="22"/>
          </w:rPr>
          <w:t>http://www.puc.pa.gov/general/pdf/USP_Evaluation-FirstEnergy.pdf</w:t>
        </w:r>
      </w:hyperlink>
      <w:r w:rsidRPr="00D869A2">
        <w:rPr>
          <w:sz w:val="22"/>
          <w:szCs w:val="22"/>
        </w:rPr>
        <w:t>.  Of customers removed from FirstEnergy CAPs in 2013-2015, 63% were removed for failing to recertify, and 8% were removed because their income was too high, on average.</w:t>
      </w:r>
    </w:p>
  </w:footnote>
  <w:footnote w:id="115">
    <w:p w14:paraId="74865FA4" w14:textId="67B0D733"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Duquesne reports it initiates collections when a CAP customer has a balance exceeding $50 and is overdue by at least seven days.  The FirstEnergy utilities initiate collections when a CAP customer has a balance exceeding $100 and the account is six or more days past due – or – when the balance exceeds $25 and the account is greater than 61 days past due.  The UGI utilities initiate collections when the CAP balance exceeds the collections threshold (at least $200, subject to seasonal changes) and the account is at least 40 days past due.  </w:t>
      </w:r>
    </w:p>
  </w:footnote>
  <w:footnote w:id="116">
    <w:p w14:paraId="620FFD14"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This issue was not addressed in the </w:t>
      </w:r>
      <w:r w:rsidRPr="00D869A2">
        <w:rPr>
          <w:i/>
          <w:sz w:val="22"/>
          <w:szCs w:val="22"/>
        </w:rPr>
        <w:t>Energy Affordability</w:t>
      </w:r>
      <w:r w:rsidRPr="00D869A2">
        <w:rPr>
          <w:sz w:val="22"/>
          <w:szCs w:val="22"/>
        </w:rPr>
        <w:t xml:space="preserve"> proceeding.</w:t>
      </w:r>
    </w:p>
  </w:footnote>
  <w:footnote w:id="117">
    <w:p w14:paraId="2499C331" w14:textId="3F50E267" w:rsidR="00223E05" w:rsidRPr="0037736B" w:rsidRDefault="00223E05">
      <w:pPr>
        <w:pStyle w:val="FootnoteText"/>
        <w:rPr>
          <w:sz w:val="22"/>
          <w:szCs w:val="22"/>
          <w:lang w:val="fr-FR"/>
        </w:rPr>
      </w:pPr>
      <w:r w:rsidRPr="00D869A2">
        <w:rPr>
          <w:rStyle w:val="FootnoteReference"/>
          <w:sz w:val="22"/>
          <w:szCs w:val="22"/>
        </w:rPr>
        <w:footnoteRef/>
      </w:r>
      <w:r w:rsidRPr="0037736B">
        <w:rPr>
          <w:sz w:val="22"/>
          <w:szCs w:val="22"/>
          <w:lang w:val="fr-FR"/>
        </w:rPr>
        <w:t xml:space="preserve">  52 Pa. Code § 56.113; 52 Pa. Code § 56.353.</w:t>
      </w:r>
    </w:p>
  </w:footnote>
  <w:footnote w:id="118">
    <w:p w14:paraId="5F8A12BB" w14:textId="1D0A4E0E" w:rsidR="00223E05" w:rsidRPr="00D869A2" w:rsidRDefault="00223E05" w:rsidP="003A1B55">
      <w:pPr>
        <w:pStyle w:val="FootnoteText"/>
        <w:rPr>
          <w:sz w:val="22"/>
          <w:szCs w:val="22"/>
        </w:rPr>
      </w:pPr>
      <w:r w:rsidRPr="00D869A2">
        <w:rPr>
          <w:rStyle w:val="FootnoteReference"/>
          <w:sz w:val="22"/>
          <w:szCs w:val="22"/>
        </w:rPr>
        <w:footnoteRef/>
      </w:r>
      <w:r w:rsidRPr="0037736B">
        <w:rPr>
          <w:sz w:val="22"/>
          <w:szCs w:val="22"/>
          <w:lang w:val="fr-FR"/>
        </w:rPr>
        <w:t xml:space="preserve">  66 Pa. C.S. § 1406(e); 52 Pa. </w:t>
      </w:r>
      <w:r w:rsidRPr="00E57FC5">
        <w:rPr>
          <w:sz w:val="22"/>
          <w:szCs w:val="22"/>
        </w:rPr>
        <w:t xml:space="preserve">Code § 56.100; 52 Pa. </w:t>
      </w:r>
      <w:r w:rsidRPr="00D869A2">
        <w:rPr>
          <w:sz w:val="22"/>
          <w:szCs w:val="22"/>
        </w:rPr>
        <w:t>Code § 56.340.</w:t>
      </w:r>
    </w:p>
  </w:footnote>
  <w:footnote w:id="119">
    <w:p w14:paraId="1A6CD4B1"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For example, charging customer a PIP or average bill, whichever is less.</w:t>
      </w:r>
    </w:p>
  </w:footnote>
  <w:footnote w:id="120">
    <w:p w14:paraId="5C283768"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Peoples 2015-2018 USECP at 10. </w:t>
      </w:r>
    </w:p>
  </w:footnote>
  <w:footnote w:id="121">
    <w:p w14:paraId="0DE277F6" w14:textId="56C10F0E" w:rsidR="00223E05" w:rsidRPr="00D869A2" w:rsidRDefault="00223E05" w:rsidP="00506216">
      <w:pPr>
        <w:pStyle w:val="FootnoteText"/>
        <w:rPr>
          <w:sz w:val="22"/>
          <w:szCs w:val="22"/>
        </w:rPr>
      </w:pPr>
      <w:r w:rsidRPr="00D869A2">
        <w:rPr>
          <w:rStyle w:val="FootnoteReference"/>
          <w:rFonts w:eastAsia="Calibri"/>
          <w:sz w:val="22"/>
          <w:szCs w:val="22"/>
        </w:rPr>
        <w:footnoteRef/>
      </w:r>
      <w:r w:rsidRPr="00D869A2">
        <w:rPr>
          <w:sz w:val="22"/>
          <w:szCs w:val="22"/>
        </w:rPr>
        <w:t xml:space="preserve">  PECO 2016-2018 USECP, Docket No. M-2015-2507139, at 33–34.</w:t>
      </w:r>
    </w:p>
  </w:footnote>
  <w:footnote w:id="122">
    <w:p w14:paraId="4420D06A" w14:textId="77777777" w:rsidR="00223E05" w:rsidRPr="00D869A2" w:rsidRDefault="00223E05" w:rsidP="00506216">
      <w:pPr>
        <w:pStyle w:val="FootnoteText"/>
        <w:rPr>
          <w:sz w:val="22"/>
          <w:szCs w:val="22"/>
        </w:rPr>
      </w:pPr>
      <w:r w:rsidRPr="00D869A2">
        <w:rPr>
          <w:rStyle w:val="FootnoteReference"/>
          <w:rFonts w:eastAsia="Calibri"/>
          <w:sz w:val="22"/>
          <w:szCs w:val="22"/>
        </w:rPr>
        <w:footnoteRef/>
      </w:r>
      <w:r w:rsidRPr="00D869A2">
        <w:rPr>
          <w:sz w:val="22"/>
          <w:szCs w:val="22"/>
        </w:rPr>
        <w:t xml:space="preserve">  FirstEnergy 2019-2021 USECP at 10.</w:t>
      </w:r>
    </w:p>
  </w:footnote>
  <w:footnote w:id="123">
    <w:p w14:paraId="68EB7C86" w14:textId="099C12D7" w:rsidR="00223E05" w:rsidRPr="00D869A2" w:rsidRDefault="00223E05" w:rsidP="00AC0DFE">
      <w:pPr>
        <w:pStyle w:val="FootnoteText"/>
        <w:tabs>
          <w:tab w:val="left" w:pos="4950"/>
        </w:tabs>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 xml:space="preserve">, </w:t>
      </w:r>
      <w:r w:rsidRPr="00D869A2">
        <w:rPr>
          <w:i/>
          <w:iCs/>
          <w:sz w:val="22"/>
          <w:szCs w:val="22"/>
        </w:rPr>
        <w:t>e.g.</w:t>
      </w:r>
      <w:r w:rsidRPr="00D869A2">
        <w:rPr>
          <w:sz w:val="22"/>
          <w:szCs w:val="22"/>
        </w:rPr>
        <w:t xml:space="preserve">, </w:t>
      </w:r>
      <w:r w:rsidRPr="00D869A2">
        <w:rPr>
          <w:i/>
          <w:sz w:val="22"/>
          <w:szCs w:val="22"/>
        </w:rPr>
        <w:t>2017 Report on Universal Service Programs &amp; Collections Performance</w:t>
      </w:r>
      <w:r w:rsidRPr="00D869A2">
        <w:rPr>
          <w:sz w:val="22"/>
          <w:szCs w:val="22"/>
        </w:rPr>
        <w:t xml:space="preserve"> at 51</w:t>
      </w:r>
      <w:r w:rsidRPr="00D869A2">
        <w:rPr>
          <w:i/>
          <w:sz w:val="22"/>
          <w:szCs w:val="22"/>
        </w:rPr>
        <w:t>.</w:t>
      </w:r>
    </w:p>
  </w:footnote>
  <w:footnote w:id="124">
    <w:p w14:paraId="1E1155FC" w14:textId="005377DD" w:rsidR="00223E05" w:rsidRPr="00D869A2" w:rsidRDefault="00223E05" w:rsidP="00AC0DFE">
      <w:pPr>
        <w:pStyle w:val="FootnoteText"/>
        <w:tabs>
          <w:tab w:val="left" w:pos="4950"/>
        </w:tabs>
        <w:rPr>
          <w:sz w:val="22"/>
          <w:szCs w:val="22"/>
        </w:rPr>
      </w:pPr>
      <w:r w:rsidRPr="00D869A2">
        <w:rPr>
          <w:rStyle w:val="FootnoteReference"/>
          <w:sz w:val="22"/>
          <w:szCs w:val="22"/>
        </w:rPr>
        <w:footnoteRef/>
      </w:r>
      <w:r w:rsidRPr="00D869A2">
        <w:rPr>
          <w:i/>
          <w:sz w:val="22"/>
          <w:szCs w:val="22"/>
        </w:rPr>
        <w:t xml:space="preserve">  Duquesne 2017-2019 USECP</w:t>
      </w:r>
      <w:r w:rsidRPr="00D869A2">
        <w:rPr>
          <w:sz w:val="22"/>
          <w:szCs w:val="22"/>
        </w:rPr>
        <w:t>, Docket No. M</w:t>
      </w:r>
      <w:r w:rsidRPr="00D869A2">
        <w:rPr>
          <w:sz w:val="22"/>
          <w:szCs w:val="22"/>
        </w:rPr>
        <w:noBreakHyphen/>
        <w:t xml:space="preserve">2016-2534323 (order entered on March 23, 2017); </w:t>
      </w:r>
      <w:r w:rsidRPr="00D869A2">
        <w:rPr>
          <w:i/>
          <w:sz w:val="22"/>
          <w:szCs w:val="22"/>
        </w:rPr>
        <w:t>see also</w:t>
      </w:r>
      <w:r w:rsidRPr="00D869A2">
        <w:rPr>
          <w:sz w:val="22"/>
          <w:szCs w:val="22"/>
        </w:rPr>
        <w:t xml:space="preserve"> Statement of Vice Chairman David W. Sweet, </w:t>
      </w:r>
      <w:r w:rsidRPr="00D869A2">
        <w:rPr>
          <w:i/>
          <w:sz w:val="22"/>
          <w:szCs w:val="22"/>
        </w:rPr>
        <w:t>Columbia 2019-2021 USECP</w:t>
      </w:r>
      <w:r w:rsidRPr="00D869A2">
        <w:rPr>
          <w:sz w:val="22"/>
          <w:szCs w:val="22"/>
        </w:rPr>
        <w:t>, Docket No. M</w:t>
      </w:r>
      <w:r w:rsidRPr="00D869A2">
        <w:rPr>
          <w:sz w:val="22"/>
          <w:szCs w:val="22"/>
        </w:rPr>
        <w:noBreakHyphen/>
        <w:t>2018</w:t>
      </w:r>
      <w:r w:rsidRPr="00D869A2">
        <w:rPr>
          <w:sz w:val="22"/>
          <w:szCs w:val="22"/>
        </w:rPr>
        <w:noBreakHyphen/>
        <w:t>2645401 (order entered on August 8, 2019); and Statement of Commissioner David W. Sweet</w:t>
      </w:r>
      <w:r w:rsidRPr="00D869A2">
        <w:rPr>
          <w:i/>
          <w:sz w:val="22"/>
          <w:szCs w:val="22"/>
        </w:rPr>
        <w:t>, PGW 2017-2019 USECP</w:t>
      </w:r>
      <w:r w:rsidRPr="00D869A2">
        <w:rPr>
          <w:sz w:val="22"/>
          <w:szCs w:val="22"/>
        </w:rPr>
        <w:t>, Docket No. M</w:t>
      </w:r>
      <w:r w:rsidRPr="00D869A2">
        <w:rPr>
          <w:sz w:val="22"/>
          <w:szCs w:val="22"/>
        </w:rPr>
        <w:noBreakHyphen/>
        <w:t>2016</w:t>
      </w:r>
      <w:r w:rsidRPr="00D869A2">
        <w:rPr>
          <w:sz w:val="22"/>
          <w:szCs w:val="22"/>
        </w:rPr>
        <w:noBreakHyphen/>
        <w:t>2542415 (tentative order entered on January 26, 2017).</w:t>
      </w:r>
    </w:p>
  </w:footnote>
  <w:footnote w:id="125">
    <w:p w14:paraId="3B99808F" w14:textId="1B566D6A" w:rsidR="00223E05" w:rsidRPr="00D869A2" w:rsidRDefault="00223E05" w:rsidP="006063B4">
      <w:pPr>
        <w:pStyle w:val="FootnoteText"/>
        <w:rPr>
          <w:sz w:val="22"/>
          <w:szCs w:val="22"/>
        </w:rPr>
      </w:pPr>
      <w:r w:rsidRPr="00D869A2">
        <w:rPr>
          <w:rStyle w:val="FootnoteReference"/>
          <w:sz w:val="22"/>
          <w:szCs w:val="22"/>
        </w:rPr>
        <w:footnoteRef/>
      </w:r>
      <w:r w:rsidRPr="00D869A2">
        <w:rPr>
          <w:sz w:val="22"/>
          <w:szCs w:val="22"/>
        </w:rPr>
        <w:t xml:space="preserve">  66 Pa. C.S. §1403 (relating to definitions).</w:t>
      </w:r>
    </w:p>
  </w:footnote>
  <w:footnote w:id="126">
    <w:p w14:paraId="24B4FA81" w14:textId="210E57D5" w:rsidR="00223E05" w:rsidRPr="00D869A2" w:rsidRDefault="00223E05" w:rsidP="007C3CB7">
      <w:pPr>
        <w:pStyle w:val="FootnoteText"/>
        <w:rPr>
          <w:sz w:val="22"/>
          <w:szCs w:val="22"/>
        </w:rPr>
      </w:pPr>
      <w:r w:rsidRPr="00D869A2">
        <w:rPr>
          <w:rStyle w:val="FootnoteReference"/>
          <w:sz w:val="22"/>
          <w:szCs w:val="22"/>
        </w:rPr>
        <w:footnoteRef/>
      </w:r>
      <w:r w:rsidRPr="00D869A2">
        <w:rPr>
          <w:sz w:val="22"/>
          <w:szCs w:val="22"/>
        </w:rPr>
        <w:t xml:space="preserve">  We are not making a final precedential decision regarding cost recovery in this docket.</w:t>
      </w:r>
    </w:p>
  </w:footnote>
  <w:footnote w:id="127">
    <w:p w14:paraId="5ACE88FD" w14:textId="77777777" w:rsidR="00223E05" w:rsidRPr="00D869A2" w:rsidRDefault="00223E05" w:rsidP="00E41D18">
      <w:pPr>
        <w:spacing w:after="0" w:line="240" w:lineRule="auto"/>
        <w:contextualSpacing/>
        <w:rPr>
          <w:rFonts w:ascii="Times New Roman" w:hAnsi="Times New Roman" w:cs="Times New Roman"/>
        </w:rPr>
      </w:pPr>
      <w:r w:rsidRPr="00D869A2">
        <w:rPr>
          <w:rStyle w:val="FootnoteReference"/>
          <w:rFonts w:ascii="Times New Roman" w:hAnsi="Times New Roman" w:cs="Times New Roman"/>
        </w:rPr>
        <w:footnoteRef/>
      </w:r>
      <w:r w:rsidRPr="00D869A2">
        <w:rPr>
          <w:rFonts w:ascii="Times New Roman" w:hAnsi="Times New Roman" w:cs="Times New Roman"/>
        </w:rPr>
        <w:t xml:space="preserve">  The Competition Acts require EDCs and NGDCs to establish “an appropriate nonbypassable, competitively neutral cost-recovery mechanism” which is designed to fully recover the costs of universal service programs.  Sections 2203(6) (natural gas) and 2804(9) (electric).</w:t>
      </w:r>
    </w:p>
  </w:footnote>
  <w:footnote w:id="128">
    <w:p w14:paraId="56C27D4B" w14:textId="77777777" w:rsidR="00223E05" w:rsidRPr="00D869A2" w:rsidRDefault="00223E05" w:rsidP="005E7292">
      <w:pPr>
        <w:pStyle w:val="FootnoteText"/>
        <w:contextualSpacing/>
        <w:rPr>
          <w:sz w:val="22"/>
          <w:szCs w:val="22"/>
        </w:rPr>
      </w:pPr>
      <w:r w:rsidRPr="00D869A2">
        <w:rPr>
          <w:rStyle w:val="FootnoteReference"/>
          <w:sz w:val="22"/>
          <w:szCs w:val="22"/>
        </w:rPr>
        <w:footnoteRef/>
      </w:r>
      <w:r w:rsidRPr="00D869A2">
        <w:rPr>
          <w:sz w:val="22"/>
          <w:szCs w:val="22"/>
        </w:rPr>
        <w:t xml:space="preserve">  The LIURP regulations state that program expenses “shall be allotted among ratepayers.”  Section 58.4(e)(1).</w:t>
      </w:r>
    </w:p>
  </w:footnote>
  <w:footnote w:id="129">
    <w:p w14:paraId="45848642" w14:textId="648698C4" w:rsidR="00223E05" w:rsidRPr="00D869A2" w:rsidRDefault="00223E05" w:rsidP="00E41D18">
      <w:pPr>
        <w:pStyle w:val="FootnoteText"/>
        <w:contextualSpacing/>
        <w:rPr>
          <w:sz w:val="22"/>
          <w:szCs w:val="22"/>
        </w:rPr>
      </w:pPr>
      <w:r w:rsidRPr="00D869A2">
        <w:rPr>
          <w:rStyle w:val="FootnoteReference"/>
          <w:sz w:val="22"/>
          <w:szCs w:val="22"/>
        </w:rPr>
        <w:footnoteRef/>
      </w:r>
      <w:r w:rsidRPr="00D869A2">
        <w:rPr>
          <w:sz w:val="22"/>
          <w:szCs w:val="22"/>
        </w:rPr>
        <w:t xml:space="preserve">  The CAP Policy Statement recommends program funding come from (1) payments from CAP participants; (2) LIHEAP grants; (3) operations and maintenance expense reductions; and (4) universal service funding mechanisms.  Section 69.265(1).</w:t>
      </w:r>
    </w:p>
  </w:footnote>
  <w:footnote w:id="130">
    <w:p w14:paraId="3F2DFE0C" w14:textId="4D39276F"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Customer Assistance Program, Docket No. M-991232 (order entered April 9, 1999).  29 </w:t>
      </w:r>
      <w:r w:rsidRPr="00D869A2">
        <w:rPr>
          <w:i/>
          <w:sz w:val="22"/>
          <w:szCs w:val="22"/>
        </w:rPr>
        <w:t>Pa.B.</w:t>
      </w:r>
      <w:r w:rsidRPr="00D869A2">
        <w:rPr>
          <w:sz w:val="22"/>
          <w:szCs w:val="22"/>
        </w:rPr>
        <w:t xml:space="preserve"> 2495 (May 8, 1999); </w:t>
      </w:r>
      <w:hyperlink r:id="rId14" w:history="1">
        <w:r w:rsidRPr="00D869A2">
          <w:rPr>
            <w:rStyle w:val="Hyperlink"/>
            <w:sz w:val="22"/>
            <w:szCs w:val="22"/>
          </w:rPr>
          <w:t>https://www.pabulletin.com/secure/data/vol29/29-19/753.html</w:t>
        </w:r>
      </w:hyperlink>
      <w:r w:rsidRPr="00D869A2">
        <w:rPr>
          <w:sz w:val="22"/>
          <w:szCs w:val="22"/>
        </w:rPr>
        <w:t>.  This docket number may also be cited as Docket No. M-00991232.</w:t>
      </w:r>
    </w:p>
  </w:footnote>
  <w:footnote w:id="131">
    <w:p w14:paraId="57A4208E" w14:textId="4616B82F" w:rsidR="00223E05" w:rsidRPr="00D869A2" w:rsidRDefault="00223E05" w:rsidP="0053306C">
      <w:pPr>
        <w:pStyle w:val="FootnoteText"/>
        <w:contextualSpacing/>
        <w:rPr>
          <w:sz w:val="22"/>
          <w:szCs w:val="22"/>
        </w:rPr>
      </w:pPr>
      <w:r w:rsidRPr="00D869A2">
        <w:rPr>
          <w:rStyle w:val="FootnoteReference"/>
          <w:sz w:val="22"/>
          <w:szCs w:val="22"/>
        </w:rPr>
        <w:footnoteRef/>
      </w:r>
      <w:r w:rsidRPr="00D869A2">
        <w:rPr>
          <w:sz w:val="22"/>
          <w:szCs w:val="22"/>
        </w:rPr>
        <w:t xml:space="preserve">  “PGW’s cost allocation was determined prior to the Commission’s oversight of the [utility].  Dominion Peoples and PG Energy agreed to a cost allocation among more than residential customers through settlement agreements, which did not constitute legal precedent.”  </w:t>
      </w:r>
      <w:r w:rsidRPr="00D869A2">
        <w:rPr>
          <w:i/>
          <w:sz w:val="22"/>
          <w:szCs w:val="22"/>
        </w:rPr>
        <w:t>Final CAP Investigatory Order</w:t>
      </w:r>
      <w:r w:rsidRPr="00D869A2">
        <w:rPr>
          <w:sz w:val="22"/>
          <w:szCs w:val="22"/>
        </w:rPr>
        <w:t xml:space="preserve"> at FN 25.</w:t>
      </w:r>
    </w:p>
  </w:footnote>
  <w:footnote w:id="132">
    <w:p w14:paraId="4E81BBE1" w14:textId="77777777" w:rsidR="00223E05" w:rsidRPr="00D869A2" w:rsidRDefault="00223E05" w:rsidP="0053306C">
      <w:pPr>
        <w:pStyle w:val="FootnoteText"/>
        <w:contextualSpacing/>
        <w:rPr>
          <w:sz w:val="22"/>
          <w:szCs w:val="22"/>
        </w:rPr>
      </w:pPr>
      <w:r w:rsidRPr="00D869A2">
        <w:rPr>
          <w:rStyle w:val="FootnoteReference"/>
          <w:sz w:val="22"/>
          <w:szCs w:val="22"/>
        </w:rPr>
        <w:footnoteRef/>
      </w:r>
      <w:r w:rsidRPr="00D869A2">
        <w:rPr>
          <w:sz w:val="22"/>
          <w:szCs w:val="22"/>
        </w:rPr>
        <w:t xml:space="preserve">  The Commission has previously allocated the costs of a universal service program to all customer classes.  Annual funding for LIURP was initially recovered from all ratepayers.  Most utilities now recover LIURP costs from residential ratepayers via a universal service rider. </w:t>
      </w:r>
    </w:p>
  </w:footnote>
  <w:footnote w:id="133">
    <w:p w14:paraId="323B3BAA" w14:textId="77777777" w:rsidR="00223E05" w:rsidRPr="00D869A2" w:rsidRDefault="00223E05" w:rsidP="00113460">
      <w:pPr>
        <w:pStyle w:val="FootnoteText"/>
        <w:rPr>
          <w:sz w:val="22"/>
          <w:szCs w:val="22"/>
        </w:rPr>
      </w:pPr>
      <w:r w:rsidRPr="00D869A2">
        <w:rPr>
          <w:rStyle w:val="FootnoteReference"/>
          <w:sz w:val="22"/>
          <w:szCs w:val="22"/>
        </w:rPr>
        <w:footnoteRef/>
      </w:r>
      <w:r w:rsidRPr="00443D8B">
        <w:rPr>
          <w:sz w:val="22"/>
          <w:szCs w:val="22"/>
          <w:lang w:val="fr-FR"/>
        </w:rPr>
        <w:t xml:space="preserve">  </w:t>
      </w:r>
      <w:r w:rsidRPr="00443D8B">
        <w:rPr>
          <w:i/>
          <w:sz w:val="22"/>
          <w:szCs w:val="22"/>
          <w:lang w:val="fr-FR"/>
        </w:rPr>
        <w:t>Pa. PUC, et al. v. PPL</w:t>
      </w:r>
      <w:r w:rsidRPr="00443D8B">
        <w:rPr>
          <w:sz w:val="22"/>
          <w:szCs w:val="22"/>
          <w:lang w:val="fr-FR"/>
        </w:rPr>
        <w:t xml:space="preserve">, Docket Nos. </w:t>
      </w:r>
      <w:r w:rsidRPr="00D869A2">
        <w:rPr>
          <w:sz w:val="22"/>
          <w:szCs w:val="22"/>
        </w:rPr>
        <w:t xml:space="preserve">R-00049255, </w:t>
      </w:r>
      <w:r w:rsidRPr="00D869A2">
        <w:rPr>
          <w:i/>
          <w:sz w:val="22"/>
          <w:szCs w:val="22"/>
        </w:rPr>
        <w:t>et al.</w:t>
      </w:r>
      <w:r w:rsidRPr="00D869A2">
        <w:rPr>
          <w:sz w:val="22"/>
          <w:szCs w:val="22"/>
        </w:rPr>
        <w:t xml:space="preserve"> (order entered on December 22, 2004).</w:t>
      </w:r>
    </w:p>
  </w:footnote>
  <w:footnote w:id="134">
    <w:p w14:paraId="35F13FB2" w14:textId="17F60D6D"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PJM is the regional transmission organization that coordinates the movement of wholesale electricity in all or parts of 13 states, including Pennsylvania, New Jersey, Maryland, and the District of Columbia.  </w:t>
      </w:r>
      <w:hyperlink r:id="rId15" w:history="1">
        <w:r w:rsidRPr="00D869A2">
          <w:rPr>
            <w:rStyle w:val="Hyperlink"/>
            <w:sz w:val="22"/>
            <w:szCs w:val="22"/>
          </w:rPr>
          <w:t>https://pjm.com</w:t>
        </w:r>
      </w:hyperlink>
      <w:r w:rsidRPr="00D869A2">
        <w:rPr>
          <w:sz w:val="22"/>
          <w:szCs w:val="22"/>
        </w:rPr>
        <w:t xml:space="preserve">.  </w:t>
      </w:r>
    </w:p>
  </w:footnote>
  <w:footnote w:id="135">
    <w:p w14:paraId="03256F94" w14:textId="0C6CC35C"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The Industrial Customers further argue that approving cost recovery based on the “public good” argument would require the Commission to redefine interclass cost allocation to include “indirect costs.”  Industrial Customer Comments at 4.  Staff notes that a precise definition of “indirect costs” was not provided.</w:t>
      </w:r>
    </w:p>
  </w:footnote>
  <w:footnote w:id="136">
    <w:p w14:paraId="4E36210F" w14:textId="77777777" w:rsidR="00223E05" w:rsidRPr="00D869A2" w:rsidRDefault="00223E05" w:rsidP="00506216">
      <w:pPr>
        <w:pStyle w:val="FootnoteText"/>
        <w:rPr>
          <w:sz w:val="22"/>
          <w:szCs w:val="22"/>
        </w:rPr>
      </w:pPr>
      <w:r w:rsidRPr="00D869A2">
        <w:rPr>
          <w:rStyle w:val="FootnoteReference"/>
          <w:sz w:val="22"/>
          <w:szCs w:val="22"/>
        </w:rPr>
        <w:footnoteRef/>
      </w:r>
      <w:r w:rsidRPr="00D869A2">
        <w:rPr>
          <w:sz w:val="22"/>
          <w:szCs w:val="22"/>
        </w:rPr>
        <w:t xml:space="preserve">  66 Pa. C.S. § 2806.1.  Act 129 requires EDCs with more than 100,000 customers to adopt energy efficiency and conservation (EE&amp;C) plans, subject to approval by the Commission, to reduce electric consumption. </w:t>
      </w:r>
    </w:p>
  </w:footnote>
  <w:footnote w:id="137">
    <w:p w14:paraId="25AF6DC1" w14:textId="7250FA59" w:rsidR="00223E05" w:rsidRPr="0037736B" w:rsidRDefault="00223E05">
      <w:pPr>
        <w:pStyle w:val="FootnoteText"/>
        <w:rPr>
          <w:sz w:val="22"/>
          <w:szCs w:val="22"/>
          <w:lang w:val="fr-FR"/>
        </w:rPr>
      </w:pPr>
      <w:r w:rsidRPr="00D869A2">
        <w:rPr>
          <w:rStyle w:val="FootnoteReference"/>
          <w:sz w:val="22"/>
          <w:szCs w:val="22"/>
        </w:rPr>
        <w:footnoteRef/>
      </w:r>
      <w:r w:rsidRPr="0037736B">
        <w:rPr>
          <w:sz w:val="22"/>
          <w:szCs w:val="22"/>
          <w:lang w:val="fr-FR"/>
        </w:rPr>
        <w:t xml:space="preserve">  </w:t>
      </w:r>
      <w:r w:rsidRPr="0037736B">
        <w:rPr>
          <w:i/>
          <w:sz w:val="22"/>
          <w:szCs w:val="22"/>
          <w:lang w:val="fr-FR"/>
        </w:rPr>
        <w:t>Pa. PUC, et al. v. PPL</w:t>
      </w:r>
      <w:r w:rsidRPr="0037736B">
        <w:rPr>
          <w:sz w:val="22"/>
          <w:szCs w:val="22"/>
          <w:lang w:val="fr-FR"/>
        </w:rPr>
        <w:t xml:space="preserve"> at 97–98.</w:t>
      </w:r>
    </w:p>
  </w:footnote>
  <w:footnote w:id="138">
    <w:p w14:paraId="774868B2" w14:textId="53B239C0"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Final CAP Investigatory Order</w:t>
      </w:r>
      <w:r w:rsidRPr="00D869A2">
        <w:rPr>
          <w:sz w:val="22"/>
          <w:szCs w:val="22"/>
        </w:rPr>
        <w:t xml:space="preserve"> at 31.</w:t>
      </w:r>
    </w:p>
  </w:footnote>
  <w:footnote w:id="139">
    <w:p w14:paraId="69628245" w14:textId="44315B2B" w:rsidR="00223E05" w:rsidRPr="00D1357D" w:rsidRDefault="00223E05" w:rsidP="00DF05BF">
      <w:pPr>
        <w:pStyle w:val="FootnoteText"/>
        <w:rPr>
          <w:sz w:val="22"/>
          <w:szCs w:val="22"/>
        </w:rPr>
      </w:pPr>
      <w:r w:rsidRPr="00D1357D">
        <w:rPr>
          <w:rStyle w:val="FootnoteReference"/>
          <w:sz w:val="22"/>
          <w:szCs w:val="22"/>
        </w:rPr>
        <w:footnoteRef/>
      </w:r>
      <w:r w:rsidRPr="00D1357D">
        <w:rPr>
          <w:sz w:val="22"/>
          <w:szCs w:val="22"/>
        </w:rPr>
        <w:t xml:space="preserve"> </w:t>
      </w:r>
      <w:r>
        <w:rPr>
          <w:sz w:val="22"/>
          <w:szCs w:val="22"/>
        </w:rPr>
        <w:t xml:space="preserve"> </w:t>
      </w:r>
      <w:r w:rsidRPr="00D1357D">
        <w:rPr>
          <w:i/>
          <w:iCs/>
          <w:sz w:val="22"/>
          <w:szCs w:val="22"/>
        </w:rPr>
        <w:t xml:space="preserve">See </w:t>
      </w:r>
      <w:r w:rsidRPr="00D1357D">
        <w:rPr>
          <w:i/>
          <w:sz w:val="22"/>
          <w:szCs w:val="22"/>
        </w:rPr>
        <w:t xml:space="preserve">2017 Report on Universal Service Programs &amp; Collections Performance </w:t>
      </w:r>
      <w:r w:rsidRPr="00D1357D">
        <w:rPr>
          <w:iCs/>
          <w:sz w:val="22"/>
          <w:szCs w:val="22"/>
        </w:rPr>
        <w:t>at 6, 60, and 73, as adjusted.</w:t>
      </w:r>
    </w:p>
  </w:footnote>
  <w:footnote w:id="140">
    <w:p w14:paraId="66E381D9" w14:textId="34835298" w:rsidR="00223E05" w:rsidRPr="0037736B" w:rsidRDefault="00223E05">
      <w:pPr>
        <w:pStyle w:val="FootnoteText"/>
        <w:rPr>
          <w:sz w:val="22"/>
          <w:szCs w:val="22"/>
        </w:rPr>
      </w:pPr>
      <w:r>
        <w:rPr>
          <w:rStyle w:val="FootnoteReference"/>
        </w:rPr>
        <w:footnoteRef/>
      </w:r>
      <w:r>
        <w:t xml:space="preserve">  </w:t>
      </w:r>
      <w:r w:rsidRPr="0037736B">
        <w:rPr>
          <w:i/>
          <w:iCs/>
          <w:sz w:val="22"/>
          <w:szCs w:val="22"/>
        </w:rPr>
        <w:t xml:space="preserve">See </w:t>
      </w:r>
      <w:r w:rsidRPr="0037736B">
        <w:rPr>
          <w:i/>
          <w:sz w:val="22"/>
          <w:szCs w:val="22"/>
        </w:rPr>
        <w:t xml:space="preserve">2017 Report on Universal Service Programs &amp; Collections Performance </w:t>
      </w:r>
      <w:r w:rsidRPr="0037736B">
        <w:rPr>
          <w:iCs/>
          <w:sz w:val="22"/>
          <w:szCs w:val="22"/>
        </w:rPr>
        <w:t>at 6, 60, and 73, as adjusted.</w:t>
      </w:r>
    </w:p>
  </w:footnote>
  <w:footnote w:id="141">
    <w:p w14:paraId="1A9B18F6" w14:textId="2B4B6B5E" w:rsidR="00223E05" w:rsidRPr="00D869A2" w:rsidRDefault="00223E05" w:rsidP="00A37493">
      <w:pPr>
        <w:pStyle w:val="FootnoteText"/>
        <w:rPr>
          <w:sz w:val="22"/>
          <w:szCs w:val="22"/>
        </w:rPr>
      </w:pPr>
      <w:r w:rsidRPr="00D869A2">
        <w:rPr>
          <w:rStyle w:val="FootnoteReference"/>
          <w:sz w:val="22"/>
          <w:szCs w:val="22"/>
        </w:rPr>
        <w:footnoteRef/>
      </w:r>
      <w:r w:rsidRPr="00D869A2">
        <w:rPr>
          <w:sz w:val="22"/>
          <w:szCs w:val="22"/>
        </w:rPr>
        <w:t xml:space="preserve">  Service territories with larger percentages of low-income populations will tend to have higher </w:t>
      </w:r>
      <w:r w:rsidRPr="00D869A2">
        <w:rPr>
          <w:i/>
          <w:sz w:val="22"/>
          <w:szCs w:val="22"/>
        </w:rPr>
        <w:t>per capita</w:t>
      </w:r>
      <w:r w:rsidRPr="00D869A2">
        <w:rPr>
          <w:sz w:val="22"/>
          <w:szCs w:val="22"/>
        </w:rPr>
        <w:t xml:space="preserve"> universal service costs.  Philadelphia’s higher universal service costs can be attributed in part to the greater number of low-income households in that service territory.  However, residential ratepayers across the Commonwealth are charged significant universal service costs annually.  For example, in 2017, average combined universal service costs for PPL residential customers that heat with natural gas from UGI South (formerly UGI Gas) were approximately $87 ($7.25 monthly); WPP residential customers that heat with natural gas from Columbia paid approximately $117 ($9.75 monthly); and Duquesne non-CAP residential customers that heat with natural gas from Peoples paid approximately $79 ($6.58 monthly).  </w:t>
      </w:r>
    </w:p>
  </w:footnote>
  <w:footnote w:id="142">
    <w:p w14:paraId="3D3327EA" w14:textId="77777777" w:rsidR="00223E05" w:rsidRPr="00D869A2" w:rsidRDefault="00223E05" w:rsidP="003B1D77">
      <w:pPr>
        <w:pStyle w:val="FootnoteText"/>
        <w:rPr>
          <w:sz w:val="22"/>
          <w:szCs w:val="22"/>
        </w:rPr>
      </w:pPr>
      <w:r w:rsidRPr="00D869A2">
        <w:rPr>
          <w:rStyle w:val="FootnoteReference"/>
          <w:sz w:val="22"/>
          <w:szCs w:val="22"/>
        </w:rPr>
        <w:footnoteRef/>
      </w:r>
      <w:r w:rsidRPr="00D869A2">
        <w:rPr>
          <w:sz w:val="22"/>
          <w:szCs w:val="22"/>
        </w:rPr>
        <w:t xml:space="preserve">  NGDC universal service spending was $182.4 million in 2006 and $109.6 million in 2017.</w:t>
      </w:r>
    </w:p>
  </w:footnote>
  <w:footnote w:id="143">
    <w:p w14:paraId="77DAF86F" w14:textId="77777777" w:rsidR="00223E05" w:rsidRPr="00D869A2" w:rsidRDefault="00223E05" w:rsidP="003B1D77">
      <w:pPr>
        <w:pStyle w:val="FootnoteText"/>
        <w:rPr>
          <w:sz w:val="22"/>
          <w:szCs w:val="22"/>
        </w:rPr>
      </w:pPr>
      <w:r w:rsidRPr="00D869A2">
        <w:rPr>
          <w:rStyle w:val="FootnoteReference"/>
          <w:sz w:val="22"/>
          <w:szCs w:val="22"/>
        </w:rPr>
        <w:footnoteRef/>
      </w:r>
      <w:r w:rsidRPr="00D869A2">
        <w:rPr>
          <w:sz w:val="22"/>
          <w:szCs w:val="22"/>
        </w:rPr>
        <w:t xml:space="preserve">  EDC universal service spending was $138.9 million in 2006 and $275.9 million in 2017.</w:t>
      </w:r>
    </w:p>
  </w:footnote>
  <w:footnote w:id="144">
    <w:p w14:paraId="4FB25210" w14:textId="09C33D73" w:rsidR="00223E05" w:rsidRPr="00D869A2" w:rsidRDefault="00223E05" w:rsidP="00036F45">
      <w:pPr>
        <w:pStyle w:val="FootnoteText"/>
        <w:rPr>
          <w:sz w:val="22"/>
          <w:szCs w:val="22"/>
        </w:rPr>
      </w:pPr>
      <w:r w:rsidRPr="00D869A2">
        <w:rPr>
          <w:rStyle w:val="FootnoteReference"/>
          <w:sz w:val="22"/>
          <w:szCs w:val="22"/>
        </w:rPr>
        <w:footnoteRef/>
      </w:r>
      <w:r w:rsidRPr="00D869A2">
        <w:rPr>
          <w:sz w:val="22"/>
          <w:szCs w:val="22"/>
        </w:rPr>
        <w:t xml:space="preserve">  </w:t>
      </w:r>
      <w:hyperlink r:id="rId16" w:history="1">
        <w:r w:rsidRPr="00D869A2">
          <w:rPr>
            <w:rStyle w:val="Hyperlink"/>
            <w:sz w:val="22"/>
            <w:szCs w:val="22"/>
          </w:rPr>
          <w:t>http://www.puc.pa.gov/pcdocs/1524987.pdf</w:t>
        </w:r>
      </w:hyperlink>
      <w:r w:rsidRPr="00D869A2">
        <w:rPr>
          <w:sz w:val="22"/>
          <w:szCs w:val="22"/>
        </w:rPr>
        <w:t>.  This docket number is sometimes cited as Docket No. I</w:t>
      </w:r>
      <w:r w:rsidRPr="00D869A2">
        <w:rPr>
          <w:sz w:val="22"/>
          <w:szCs w:val="22"/>
        </w:rPr>
        <w:noBreakHyphen/>
        <w:t xml:space="preserve">900002.  </w:t>
      </w:r>
    </w:p>
  </w:footnote>
  <w:footnote w:id="145">
    <w:p w14:paraId="0E208606" w14:textId="15E6BF7F" w:rsidR="00223E05" w:rsidRPr="00D869A2" w:rsidRDefault="00223E05" w:rsidP="002D382F">
      <w:pPr>
        <w:pStyle w:val="FootnoteText"/>
        <w:rPr>
          <w:sz w:val="22"/>
          <w:szCs w:val="22"/>
        </w:rPr>
      </w:pPr>
      <w:r w:rsidRPr="00D869A2">
        <w:rPr>
          <w:rStyle w:val="FootnoteReference"/>
          <w:sz w:val="22"/>
          <w:szCs w:val="22"/>
        </w:rPr>
        <w:footnoteRef/>
      </w:r>
      <w:r w:rsidRPr="00D869A2">
        <w:rPr>
          <w:sz w:val="22"/>
          <w:szCs w:val="22"/>
        </w:rPr>
        <w:t xml:space="preserve">  In that 2017 rate case proceeding, PGW argued that all non-residential customers indirectly benefit from universal service programs by keeping low income customers in their homes and allowing them to contribute to Philadelphia’s economic activity.  PGW contended “the portion of universal service costs paid by non-residential customers is offset by the substantial positive economic impact in Philadelphia on those non-residential customers created by PGW’s universal service programs.”  </w:t>
      </w:r>
      <w:r w:rsidRPr="00D869A2">
        <w:rPr>
          <w:i/>
          <w:sz w:val="22"/>
          <w:szCs w:val="22"/>
        </w:rPr>
        <w:t>Pa. PUC, et al. v. PGW</w:t>
      </w:r>
      <w:r w:rsidRPr="00D869A2">
        <w:rPr>
          <w:sz w:val="22"/>
          <w:szCs w:val="22"/>
        </w:rPr>
        <w:t xml:space="preserve"> at 63.</w:t>
      </w:r>
    </w:p>
  </w:footnote>
  <w:footnote w:id="146">
    <w:p w14:paraId="11EDE273" w14:textId="036B9B00" w:rsidR="00223E05" w:rsidRPr="00D869A2" w:rsidRDefault="00223E05" w:rsidP="00040AFB">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w:t>
      </w:r>
      <w:r w:rsidRPr="00D869A2">
        <w:rPr>
          <w:i/>
          <w:sz w:val="22"/>
          <w:szCs w:val="22"/>
        </w:rPr>
        <w:t xml:space="preserve"> e.g.</w:t>
      </w:r>
      <w:r w:rsidRPr="00D869A2">
        <w:rPr>
          <w:sz w:val="22"/>
          <w:szCs w:val="22"/>
        </w:rPr>
        <w:t>,</w:t>
      </w:r>
      <w:r w:rsidRPr="00D869A2">
        <w:rPr>
          <w:rStyle w:val="Hyperlink"/>
          <w:color w:val="auto"/>
          <w:sz w:val="22"/>
          <w:szCs w:val="22"/>
          <w:u w:val="none"/>
        </w:rPr>
        <w:t xml:space="preserve"> </w:t>
      </w:r>
      <w:r w:rsidRPr="00D869A2">
        <w:rPr>
          <w:rStyle w:val="Hyperlink"/>
          <w:i/>
          <w:color w:val="auto"/>
          <w:sz w:val="22"/>
          <w:szCs w:val="22"/>
          <w:u w:val="none"/>
        </w:rPr>
        <w:t>Act 129 Phase III Implementation Order</w:t>
      </w:r>
      <w:r w:rsidRPr="00D869A2">
        <w:rPr>
          <w:rStyle w:val="Hyperlink"/>
          <w:color w:val="auto"/>
          <w:sz w:val="22"/>
          <w:szCs w:val="22"/>
          <w:u w:val="none"/>
        </w:rPr>
        <w:t xml:space="preserve">, </w:t>
      </w:r>
      <w:r w:rsidRPr="00D869A2">
        <w:rPr>
          <w:sz w:val="22"/>
          <w:szCs w:val="22"/>
        </w:rPr>
        <w:t>Docket No. M</w:t>
      </w:r>
      <w:r w:rsidRPr="00D869A2">
        <w:rPr>
          <w:sz w:val="22"/>
          <w:szCs w:val="22"/>
        </w:rPr>
        <w:noBreakHyphen/>
        <w:t>2014-2424864</w:t>
      </w:r>
      <w:r w:rsidRPr="00D869A2">
        <w:rPr>
          <w:rStyle w:val="Hyperlink"/>
          <w:color w:val="auto"/>
          <w:sz w:val="22"/>
          <w:szCs w:val="22"/>
          <w:u w:val="none"/>
        </w:rPr>
        <w:t xml:space="preserve"> (June 19, 2015).  </w:t>
      </w:r>
      <w:hyperlink r:id="rId17" w:history="1">
        <w:r w:rsidRPr="00D869A2">
          <w:rPr>
            <w:rStyle w:val="Hyperlink"/>
            <w:sz w:val="22"/>
            <w:szCs w:val="22"/>
          </w:rPr>
          <w:t>http://www.puc.state.pa.us/pcdocs/1367313.doc</w:t>
        </w:r>
      </w:hyperlink>
      <w:r w:rsidRPr="00D869A2">
        <w:rPr>
          <w:rStyle w:val="Hyperlink"/>
          <w:sz w:val="22"/>
          <w:szCs w:val="22"/>
        </w:rPr>
        <w:t>.</w:t>
      </w:r>
      <w:r w:rsidRPr="00D869A2">
        <w:rPr>
          <w:sz w:val="22"/>
          <w:szCs w:val="22"/>
        </w:rPr>
        <w:t xml:space="preserve"> </w:t>
      </w:r>
    </w:p>
  </w:footnote>
  <w:footnote w:id="147">
    <w:p w14:paraId="0F296089" w14:textId="29C6E0F6" w:rsidR="00223E05" w:rsidRPr="00D869A2" w:rsidRDefault="00223E05" w:rsidP="001201D4">
      <w:pPr>
        <w:pStyle w:val="FootnoteText"/>
        <w:rPr>
          <w:sz w:val="22"/>
          <w:szCs w:val="22"/>
        </w:rPr>
      </w:pPr>
      <w:r w:rsidRPr="00D869A2">
        <w:rPr>
          <w:rStyle w:val="FootnoteReference"/>
          <w:sz w:val="22"/>
          <w:szCs w:val="22"/>
        </w:rPr>
        <w:footnoteRef/>
      </w:r>
      <w:r w:rsidRPr="00D869A2">
        <w:rPr>
          <w:sz w:val="22"/>
          <w:szCs w:val="22"/>
        </w:rPr>
        <w:t xml:space="preserve">  </w:t>
      </w:r>
      <w:r w:rsidRPr="00D869A2">
        <w:rPr>
          <w:i/>
          <w:sz w:val="22"/>
          <w:szCs w:val="22"/>
        </w:rPr>
        <w:t>See</w:t>
      </w:r>
      <w:r w:rsidRPr="00D869A2">
        <w:rPr>
          <w:sz w:val="22"/>
          <w:szCs w:val="22"/>
        </w:rPr>
        <w:t>,</w:t>
      </w:r>
      <w:r w:rsidRPr="00D869A2">
        <w:rPr>
          <w:i/>
          <w:sz w:val="22"/>
          <w:szCs w:val="22"/>
        </w:rPr>
        <w:t xml:space="preserve"> e.g.</w:t>
      </w:r>
      <w:r w:rsidRPr="00D869A2">
        <w:rPr>
          <w:sz w:val="22"/>
          <w:szCs w:val="22"/>
        </w:rPr>
        <w:t>,</w:t>
      </w:r>
      <w:r w:rsidRPr="00D869A2">
        <w:rPr>
          <w:rStyle w:val="Hyperlink"/>
          <w:sz w:val="22"/>
          <w:szCs w:val="22"/>
        </w:rPr>
        <w:t xml:space="preserve"> </w:t>
      </w:r>
      <w:r w:rsidRPr="00D869A2">
        <w:rPr>
          <w:i/>
          <w:sz w:val="22"/>
          <w:szCs w:val="22"/>
        </w:rPr>
        <w:t>2016 TRC Test Order</w:t>
      </w:r>
      <w:r w:rsidRPr="00D869A2">
        <w:rPr>
          <w:sz w:val="22"/>
          <w:szCs w:val="22"/>
        </w:rPr>
        <w:t>, Docket No. M</w:t>
      </w:r>
      <w:r w:rsidRPr="00D869A2">
        <w:rPr>
          <w:sz w:val="22"/>
          <w:szCs w:val="22"/>
        </w:rPr>
        <w:noBreakHyphen/>
        <w:t xml:space="preserve">2015-2468992 (order adopted on June 22, 2015).  </w:t>
      </w:r>
      <w:hyperlink r:id="rId18" w:history="1">
        <w:r w:rsidRPr="00D869A2">
          <w:rPr>
            <w:rStyle w:val="Hyperlink"/>
            <w:sz w:val="22"/>
            <w:szCs w:val="22"/>
          </w:rPr>
          <w:t>http://www.puc.pa.gov/pcdocs/1367195.docx</w:t>
        </w:r>
      </w:hyperlink>
      <w:r w:rsidRPr="00D869A2">
        <w:rPr>
          <w:sz w:val="22"/>
          <w:szCs w:val="22"/>
        </w:rPr>
        <w:t xml:space="preserve">. </w:t>
      </w:r>
    </w:p>
  </w:footnote>
  <w:footnote w:id="148">
    <w:p w14:paraId="735CC765" w14:textId="4E837086" w:rsidR="00223E05" w:rsidRPr="00D869A2" w:rsidRDefault="00223E05" w:rsidP="00EA67C0">
      <w:pPr>
        <w:pStyle w:val="Default"/>
        <w:rPr>
          <w:rFonts w:ascii="Times New Roman" w:hAnsi="Times New Roman" w:cs="Times New Roman"/>
          <w:sz w:val="22"/>
          <w:szCs w:val="22"/>
        </w:rPr>
      </w:pPr>
      <w:r w:rsidRPr="00D869A2">
        <w:rPr>
          <w:rStyle w:val="FootnoteReference"/>
          <w:rFonts w:ascii="Times New Roman" w:hAnsi="Times New Roman" w:cs="Times New Roman"/>
          <w:sz w:val="22"/>
          <w:szCs w:val="22"/>
        </w:rPr>
        <w:footnoteRef/>
      </w:r>
      <w:r w:rsidRPr="00D869A2">
        <w:rPr>
          <w:rFonts w:ascii="Times New Roman" w:hAnsi="Times New Roman" w:cs="Times New Roman"/>
          <w:sz w:val="22"/>
          <w:szCs w:val="22"/>
        </w:rPr>
        <w:t xml:space="preserve">  New York, for example, determines the specific distribution of this cost recovery in rate cases, where the total impacts of all revenue requirement changes can be considered.  </w:t>
      </w:r>
      <w:r w:rsidRPr="00D869A2">
        <w:rPr>
          <w:rFonts w:ascii="Times New Roman" w:hAnsi="Times New Roman" w:cs="Times New Roman"/>
          <w:i/>
          <w:sz w:val="22"/>
          <w:szCs w:val="22"/>
        </w:rPr>
        <w:t>See</w:t>
      </w:r>
      <w:r w:rsidRPr="00D869A2">
        <w:rPr>
          <w:rFonts w:ascii="Times New Roman" w:hAnsi="Times New Roman" w:cs="Times New Roman"/>
          <w:sz w:val="22"/>
          <w:szCs w:val="22"/>
        </w:rPr>
        <w:t xml:space="preserve"> </w:t>
      </w:r>
      <w:r w:rsidRPr="00D869A2">
        <w:rPr>
          <w:rFonts w:ascii="Times New Roman" w:hAnsi="Times New Roman" w:cs="Times New Roman"/>
          <w:i/>
          <w:sz w:val="22"/>
          <w:szCs w:val="22"/>
        </w:rPr>
        <w:t>Order Adopting Low Income Program Modifications and Directing Utility Filings</w:t>
      </w:r>
      <w:r w:rsidRPr="00D869A2">
        <w:rPr>
          <w:rFonts w:ascii="Times New Roman" w:hAnsi="Times New Roman" w:cs="Times New Roman"/>
          <w:sz w:val="22"/>
          <w:szCs w:val="22"/>
        </w:rPr>
        <w:t>, New York Public Service Commission, Case 14</w:t>
      </w:r>
      <w:r w:rsidRPr="00D869A2">
        <w:rPr>
          <w:rFonts w:ascii="Times New Roman" w:hAnsi="Times New Roman" w:cs="Times New Roman"/>
          <w:sz w:val="22"/>
          <w:szCs w:val="22"/>
        </w:rPr>
        <w:noBreakHyphen/>
        <w:t>M</w:t>
      </w:r>
      <w:r w:rsidRPr="00D869A2">
        <w:rPr>
          <w:rFonts w:ascii="Times New Roman" w:hAnsi="Times New Roman" w:cs="Times New Roman"/>
          <w:sz w:val="22"/>
          <w:szCs w:val="22"/>
        </w:rPr>
        <w:noBreakHyphen/>
        <w:t>0565 (Issued and Effective May 20, 2016), at 4.</w:t>
      </w:r>
    </w:p>
  </w:footnote>
  <w:footnote w:id="149">
    <w:p w14:paraId="7A0D551F" w14:textId="3AAD526C"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In PGW’s 2017 rate case, the Commission noted that recovering universal service costs from all ratepayers does not appear to be a violation of Title 66 or Commission regulations.  </w:t>
      </w:r>
      <w:r w:rsidRPr="00D869A2">
        <w:rPr>
          <w:i/>
          <w:sz w:val="22"/>
          <w:szCs w:val="22"/>
        </w:rPr>
        <w:t>Pa. PUC, et al. v. PGW</w:t>
      </w:r>
      <w:r w:rsidRPr="00D869A2">
        <w:rPr>
          <w:sz w:val="22"/>
          <w:szCs w:val="22"/>
        </w:rPr>
        <w:t xml:space="preserve"> at 74.</w:t>
      </w:r>
    </w:p>
  </w:footnote>
  <w:footnote w:id="150">
    <w:p w14:paraId="2366967E" w14:textId="6AA744DF"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Some documents use the term “non-bypassable.”</w:t>
      </w:r>
    </w:p>
  </w:footnote>
  <w:footnote w:id="151">
    <w:p w14:paraId="190316AE" w14:textId="386DA1A6" w:rsidR="00223E05" w:rsidRPr="00D869A2" w:rsidRDefault="00223E05" w:rsidP="00953224">
      <w:pPr>
        <w:pStyle w:val="FootnoteText"/>
        <w:rPr>
          <w:sz w:val="22"/>
          <w:szCs w:val="22"/>
        </w:rPr>
      </w:pPr>
      <w:r w:rsidRPr="00D869A2">
        <w:rPr>
          <w:rStyle w:val="FootnoteReference"/>
          <w:sz w:val="22"/>
          <w:szCs w:val="22"/>
        </w:rPr>
        <w:footnoteRef/>
      </w:r>
      <w:r w:rsidRPr="00D869A2">
        <w:rPr>
          <w:sz w:val="22"/>
          <w:szCs w:val="22"/>
        </w:rPr>
        <w:t xml:space="preserve">  We are not making a final precedential decision regarding cost recovery in this docket.  We are merely providing that the recovery of CAP costs in particular can be fully explored in utility rate cases henceforth.  Decisions regarding cost recovery will remain the province of utility-specific proceedings.</w:t>
      </w:r>
    </w:p>
  </w:footnote>
  <w:footnote w:id="152">
    <w:p w14:paraId="6C3693F0" w14:textId="6278974B" w:rsidR="00223E05" w:rsidRPr="00D869A2" w:rsidRDefault="00223E05">
      <w:pPr>
        <w:pStyle w:val="FootnoteText"/>
        <w:rPr>
          <w:sz w:val="22"/>
          <w:szCs w:val="22"/>
        </w:rPr>
      </w:pPr>
      <w:r w:rsidRPr="00D869A2">
        <w:rPr>
          <w:rStyle w:val="FootnoteReference"/>
          <w:sz w:val="22"/>
          <w:szCs w:val="22"/>
        </w:rPr>
        <w:footnoteRef/>
      </w:r>
      <w:r w:rsidRPr="00D869A2">
        <w:rPr>
          <w:sz w:val="22"/>
          <w:szCs w:val="22"/>
        </w:rPr>
        <w:t xml:space="preserve">  A rate case is the appropriate forum to determine the cost allocation for each ratepayer class.  In its 1992 Report, BCS recommended the cost allocations for CAP across ratepayers should depend on a number of factors, including the amount of CAP funding needed, the relative ability of each class (residential, commercial, and industrial) to bear additional costs, the size (number of customers or volume of sales) of the rate classes, and the price sensitivity of industrial customers to minimize anti-competitive impacts.  </w:t>
      </w:r>
      <w:r w:rsidRPr="00D869A2">
        <w:rPr>
          <w:i/>
          <w:sz w:val="22"/>
          <w:szCs w:val="22"/>
        </w:rPr>
        <w:t>Final Report on The Investigation of Uncollectible Balances</w:t>
      </w:r>
      <w:r w:rsidRPr="00D869A2">
        <w:rPr>
          <w:sz w:val="22"/>
          <w:szCs w:val="22"/>
        </w:rPr>
        <w:t xml:space="preserve"> at 158.</w:t>
      </w:r>
    </w:p>
  </w:footnote>
  <w:footnote w:id="153">
    <w:p w14:paraId="6E3600AE" w14:textId="79C95291" w:rsidR="00223E05" w:rsidRPr="00D869A2" w:rsidRDefault="00223E05" w:rsidP="009C40A7">
      <w:pPr>
        <w:pStyle w:val="FootnoteText"/>
        <w:rPr>
          <w:sz w:val="22"/>
          <w:szCs w:val="22"/>
        </w:rPr>
      </w:pPr>
      <w:r w:rsidRPr="00D869A2">
        <w:rPr>
          <w:rStyle w:val="FootnoteReference"/>
          <w:sz w:val="22"/>
          <w:szCs w:val="22"/>
        </w:rPr>
        <w:footnoteRef/>
      </w:r>
      <w:r w:rsidRPr="00D869A2">
        <w:rPr>
          <w:sz w:val="22"/>
          <w:szCs w:val="22"/>
        </w:rPr>
        <w:t xml:space="preserve">  As noted above and in Appendix B, there were numerous stakeholders in </w:t>
      </w:r>
      <w:r w:rsidRPr="00D869A2">
        <w:rPr>
          <w:i/>
          <w:sz w:val="22"/>
          <w:szCs w:val="22"/>
        </w:rPr>
        <w:t>Review</w:t>
      </w:r>
      <w:r w:rsidRPr="00D869A2">
        <w:rPr>
          <w:sz w:val="22"/>
          <w:szCs w:val="22"/>
        </w:rPr>
        <w:t xml:space="preserve"> and </w:t>
      </w:r>
      <w:r w:rsidRPr="00D869A2">
        <w:rPr>
          <w:i/>
          <w:sz w:val="22"/>
          <w:szCs w:val="22"/>
        </w:rPr>
        <w:t>Energy Affordability</w:t>
      </w:r>
      <w:r w:rsidRPr="00D869A2">
        <w:rPr>
          <w:sz w:val="22"/>
          <w:szCs w:val="22"/>
        </w:rPr>
        <w:t xml:space="preserve"> proceedings.  In addition to the participating EDCs, NGDCs, EAP, other active participants included statutory advocates, low-income advocates, industrial user groups, CBOs, other agencies, energy marketers, educational institutions, and others.  Our appreciation extends to all who participated actively or by observation in those proceedings as well as in the many utility-specific USECPs proceedings over the years.</w:t>
      </w:r>
    </w:p>
  </w:footnote>
  <w:footnote w:id="154">
    <w:p w14:paraId="26DD9668" w14:textId="67481669" w:rsidR="00223E05" w:rsidRPr="00D869A2" w:rsidRDefault="00223E05" w:rsidP="00425FF6">
      <w:pPr>
        <w:pStyle w:val="FootnoteText"/>
        <w:rPr>
          <w:sz w:val="22"/>
          <w:szCs w:val="22"/>
        </w:rPr>
      </w:pPr>
      <w:r w:rsidRPr="00D869A2">
        <w:rPr>
          <w:rStyle w:val="FootnoteReference"/>
          <w:sz w:val="22"/>
          <w:szCs w:val="22"/>
        </w:rPr>
        <w:footnoteRef/>
      </w:r>
      <w:r w:rsidRPr="00D869A2">
        <w:rPr>
          <w:sz w:val="22"/>
          <w:szCs w:val="22"/>
        </w:rPr>
        <w:t xml:space="preserve">  We are not making a final precedential decision regarding cost recovery in this docket.  Decisions regarding cost recovery will remain the province of utility-specific proceedings.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415E" w14:textId="6EC43011" w:rsidR="00223E05" w:rsidRDefault="00223E05">
    <w:pPr>
      <w:pStyle w:val="Header"/>
    </w:pPr>
  </w:p>
  <w:p w14:paraId="5B29FE5A" w14:textId="77777777" w:rsidR="00223E05" w:rsidRDefault="00223E05"/>
  <w:p w14:paraId="2E9A9BF1" w14:textId="77777777" w:rsidR="00223E05" w:rsidRDefault="00223E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7532" w14:textId="77777777" w:rsidR="00223E05" w:rsidRDefault="00223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7ADCC" w14:textId="440FF664" w:rsidR="00223E05" w:rsidRDefault="00223E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CA1A" w14:textId="578A238C" w:rsidR="00223E05" w:rsidRDefault="00223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492"/>
    <w:multiLevelType w:val="hybridMultilevel"/>
    <w:tmpl w:val="94B0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07C"/>
    <w:multiLevelType w:val="hybridMultilevel"/>
    <w:tmpl w:val="56521D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C0B5D"/>
    <w:multiLevelType w:val="hybridMultilevel"/>
    <w:tmpl w:val="5C30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20BCF"/>
    <w:multiLevelType w:val="hybridMultilevel"/>
    <w:tmpl w:val="72B8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F1439"/>
    <w:multiLevelType w:val="hybridMultilevel"/>
    <w:tmpl w:val="7F4E7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C48F3"/>
    <w:multiLevelType w:val="hybridMultilevel"/>
    <w:tmpl w:val="95C08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920AD7"/>
    <w:multiLevelType w:val="hybridMultilevel"/>
    <w:tmpl w:val="FBBA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C6A0D"/>
    <w:multiLevelType w:val="hybridMultilevel"/>
    <w:tmpl w:val="A1F8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12D32"/>
    <w:multiLevelType w:val="hybridMultilevel"/>
    <w:tmpl w:val="DF2C1B08"/>
    <w:lvl w:ilvl="0" w:tplc="489CD742">
      <w:start w:val="1"/>
      <w:numFmt w:val="decimal"/>
      <w:lvlText w:val="%1."/>
      <w:lvlJc w:val="left"/>
      <w:pPr>
        <w:ind w:left="1170" w:hanging="360"/>
      </w:pPr>
      <w:rPr>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10B175C"/>
    <w:multiLevelType w:val="hybridMultilevel"/>
    <w:tmpl w:val="A81C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215FD"/>
    <w:multiLevelType w:val="hybridMultilevel"/>
    <w:tmpl w:val="9A2C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63113"/>
    <w:multiLevelType w:val="hybridMultilevel"/>
    <w:tmpl w:val="8370E726"/>
    <w:lvl w:ilvl="0" w:tplc="809663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36368"/>
    <w:multiLevelType w:val="hybridMultilevel"/>
    <w:tmpl w:val="DF2C1B08"/>
    <w:lvl w:ilvl="0" w:tplc="489CD742">
      <w:start w:val="1"/>
      <w:numFmt w:val="decimal"/>
      <w:lvlText w:val="%1."/>
      <w:lvlJc w:val="left"/>
      <w:pPr>
        <w:ind w:left="792" w:hanging="360"/>
      </w:pPr>
      <w:rPr>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7DE2BB8"/>
    <w:multiLevelType w:val="hybridMultilevel"/>
    <w:tmpl w:val="CCCC6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A20FE2"/>
    <w:multiLevelType w:val="hybridMultilevel"/>
    <w:tmpl w:val="F97E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878BB"/>
    <w:multiLevelType w:val="hybridMultilevel"/>
    <w:tmpl w:val="EEAE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918D7"/>
    <w:multiLevelType w:val="hybridMultilevel"/>
    <w:tmpl w:val="5CCC7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8160A"/>
    <w:multiLevelType w:val="hybridMultilevel"/>
    <w:tmpl w:val="55B46032"/>
    <w:lvl w:ilvl="0" w:tplc="04090001">
      <w:start w:val="1"/>
      <w:numFmt w:val="bullet"/>
      <w:lvlText w:val=""/>
      <w:lvlJc w:val="left"/>
      <w:pPr>
        <w:ind w:left="792" w:hanging="360"/>
      </w:pPr>
      <w:rPr>
        <w:rFonts w:ascii="Symbol" w:hAnsi="Symbol" w:hint="default"/>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E1F0510"/>
    <w:multiLevelType w:val="hybridMultilevel"/>
    <w:tmpl w:val="BC9E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565AC"/>
    <w:multiLevelType w:val="hybridMultilevel"/>
    <w:tmpl w:val="A73C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A3828"/>
    <w:multiLevelType w:val="hybridMultilevel"/>
    <w:tmpl w:val="ECD2F2C2"/>
    <w:lvl w:ilvl="0" w:tplc="29D640B8">
      <w:start w:val="1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27F9A"/>
    <w:multiLevelType w:val="hybridMultilevel"/>
    <w:tmpl w:val="4216DBDE"/>
    <w:lvl w:ilvl="0" w:tplc="08BC74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D50E6D"/>
    <w:multiLevelType w:val="hybridMultilevel"/>
    <w:tmpl w:val="47E6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634897"/>
    <w:multiLevelType w:val="hybridMultilevel"/>
    <w:tmpl w:val="324E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4" w15:restartNumberingAfterBreak="0">
    <w:nsid w:val="3C5661C1"/>
    <w:multiLevelType w:val="multilevel"/>
    <w:tmpl w:val="82102338"/>
    <w:styleLink w:val="Style1"/>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44215B0E"/>
    <w:multiLevelType w:val="hybridMultilevel"/>
    <w:tmpl w:val="D4E8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B3515"/>
    <w:multiLevelType w:val="hybridMultilevel"/>
    <w:tmpl w:val="3E084B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D5517"/>
    <w:multiLevelType w:val="hybridMultilevel"/>
    <w:tmpl w:val="43907D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0B86792"/>
    <w:multiLevelType w:val="hybridMultilevel"/>
    <w:tmpl w:val="55726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3483751"/>
    <w:multiLevelType w:val="hybridMultilevel"/>
    <w:tmpl w:val="CBA2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6359A"/>
    <w:multiLevelType w:val="hybridMultilevel"/>
    <w:tmpl w:val="2764A086"/>
    <w:lvl w:ilvl="0" w:tplc="D2C2E4D2">
      <w:start w:val="1"/>
      <w:numFmt w:val="decimal"/>
      <w:lvlText w:val="%1."/>
      <w:lvlJc w:val="left"/>
      <w:pPr>
        <w:ind w:left="15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147C8"/>
    <w:multiLevelType w:val="hybridMultilevel"/>
    <w:tmpl w:val="F79A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210F0"/>
    <w:multiLevelType w:val="hybridMultilevel"/>
    <w:tmpl w:val="6286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E5038"/>
    <w:multiLevelType w:val="hybridMultilevel"/>
    <w:tmpl w:val="5FAE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43BE1"/>
    <w:multiLevelType w:val="hybridMultilevel"/>
    <w:tmpl w:val="7F86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D4ACA"/>
    <w:multiLevelType w:val="hybridMultilevel"/>
    <w:tmpl w:val="B4CC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04EFC"/>
    <w:multiLevelType w:val="hybridMultilevel"/>
    <w:tmpl w:val="D7A0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B9A"/>
    <w:multiLevelType w:val="hybridMultilevel"/>
    <w:tmpl w:val="21D4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4A3EA8"/>
    <w:multiLevelType w:val="hybridMultilevel"/>
    <w:tmpl w:val="26B676A2"/>
    <w:lvl w:ilvl="0" w:tplc="3D043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5F672D"/>
    <w:multiLevelType w:val="hybridMultilevel"/>
    <w:tmpl w:val="FFB0CBB0"/>
    <w:lvl w:ilvl="0" w:tplc="5018F9EE">
      <w:start w:val="15"/>
      <w:numFmt w:val="decimal"/>
      <w:lvlText w:val="%1."/>
      <w:lvlJc w:val="left"/>
      <w:pPr>
        <w:ind w:left="11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7E0059"/>
    <w:multiLevelType w:val="hybridMultilevel"/>
    <w:tmpl w:val="5E7893D2"/>
    <w:lvl w:ilvl="0" w:tplc="A7167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A22E0E"/>
    <w:multiLevelType w:val="hybridMultilevel"/>
    <w:tmpl w:val="1B60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B500A"/>
    <w:multiLevelType w:val="hybridMultilevel"/>
    <w:tmpl w:val="A6F45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4"/>
  </w:num>
  <w:num w:numId="2">
    <w:abstractNumId w:val="30"/>
  </w:num>
  <w:num w:numId="3">
    <w:abstractNumId w:val="10"/>
  </w:num>
  <w:num w:numId="4">
    <w:abstractNumId w:val="41"/>
  </w:num>
  <w:num w:numId="5">
    <w:abstractNumId w:val="34"/>
  </w:num>
  <w:num w:numId="6">
    <w:abstractNumId w:val="1"/>
  </w:num>
  <w:num w:numId="7">
    <w:abstractNumId w:val="4"/>
  </w:num>
  <w:num w:numId="8">
    <w:abstractNumId w:val="15"/>
  </w:num>
  <w:num w:numId="9">
    <w:abstractNumId w:val="25"/>
  </w:num>
  <w:num w:numId="10">
    <w:abstractNumId w:val="3"/>
  </w:num>
  <w:num w:numId="11">
    <w:abstractNumId w:val="36"/>
  </w:num>
  <w:num w:numId="12">
    <w:abstractNumId w:val="8"/>
  </w:num>
  <w:num w:numId="13">
    <w:abstractNumId w:val="6"/>
  </w:num>
  <w:num w:numId="14">
    <w:abstractNumId w:val="31"/>
  </w:num>
  <w:num w:numId="15">
    <w:abstractNumId w:val="22"/>
  </w:num>
  <w:num w:numId="16">
    <w:abstractNumId w:val="2"/>
  </w:num>
  <w:num w:numId="17">
    <w:abstractNumId w:val="23"/>
  </w:num>
  <w:num w:numId="18">
    <w:abstractNumId w:val="33"/>
  </w:num>
  <w:num w:numId="19">
    <w:abstractNumId w:val="0"/>
  </w:num>
  <w:num w:numId="20">
    <w:abstractNumId w:val="19"/>
  </w:num>
  <w:num w:numId="21">
    <w:abstractNumId w:val="26"/>
  </w:num>
  <w:num w:numId="22">
    <w:abstractNumId w:val="37"/>
  </w:num>
  <w:num w:numId="23">
    <w:abstractNumId w:val="29"/>
  </w:num>
  <w:num w:numId="24">
    <w:abstractNumId w:val="7"/>
  </w:num>
  <w:num w:numId="25">
    <w:abstractNumId w:val="16"/>
  </w:num>
  <w:num w:numId="26">
    <w:abstractNumId w:val="17"/>
  </w:num>
  <w:num w:numId="27">
    <w:abstractNumId w:val="40"/>
  </w:num>
  <w:num w:numId="28">
    <w:abstractNumId w:val="32"/>
  </w:num>
  <w:num w:numId="29">
    <w:abstractNumId w:val="38"/>
  </w:num>
  <w:num w:numId="30">
    <w:abstractNumId w:val="21"/>
  </w:num>
  <w:num w:numId="31">
    <w:abstractNumId w:val="14"/>
  </w:num>
  <w:num w:numId="32">
    <w:abstractNumId w:val="35"/>
  </w:num>
  <w:num w:numId="33">
    <w:abstractNumId w:val="11"/>
  </w:num>
  <w:num w:numId="34">
    <w:abstractNumId w:val="13"/>
  </w:num>
  <w:num w:numId="35">
    <w:abstractNumId w:val="18"/>
  </w:num>
  <w:num w:numId="36">
    <w:abstractNumId w:val="12"/>
  </w:num>
  <w:num w:numId="37">
    <w:abstractNumId w:val="9"/>
  </w:num>
  <w:num w:numId="38">
    <w:abstractNumId w:val="39"/>
  </w:num>
  <w:num w:numId="39">
    <w:abstractNumId w:val="5"/>
  </w:num>
  <w:num w:numId="40">
    <w:abstractNumId w:val="20"/>
  </w:num>
  <w:num w:numId="41">
    <w:abstractNumId w:val="28"/>
  </w:num>
  <w:num w:numId="42">
    <w:abstractNumId w:val="42"/>
  </w:num>
  <w:num w:numId="4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A259F8BE-42EC-4676-AF00-C99E29FE2A23}"/>
  </w:docVars>
  <w:rsids>
    <w:rsidRoot w:val="000B2531"/>
    <w:rsid w:val="000000AB"/>
    <w:rsid w:val="00000178"/>
    <w:rsid w:val="00000286"/>
    <w:rsid w:val="0000039D"/>
    <w:rsid w:val="000003AD"/>
    <w:rsid w:val="000004C3"/>
    <w:rsid w:val="000004C4"/>
    <w:rsid w:val="00000555"/>
    <w:rsid w:val="0000062D"/>
    <w:rsid w:val="00000862"/>
    <w:rsid w:val="00000896"/>
    <w:rsid w:val="00000898"/>
    <w:rsid w:val="000008FA"/>
    <w:rsid w:val="00000C85"/>
    <w:rsid w:val="00000CDC"/>
    <w:rsid w:val="00000E96"/>
    <w:rsid w:val="0000114A"/>
    <w:rsid w:val="00001238"/>
    <w:rsid w:val="00001298"/>
    <w:rsid w:val="00001458"/>
    <w:rsid w:val="00001594"/>
    <w:rsid w:val="000019C8"/>
    <w:rsid w:val="00001B83"/>
    <w:rsid w:val="00001BDD"/>
    <w:rsid w:val="00001D0D"/>
    <w:rsid w:val="00001FBF"/>
    <w:rsid w:val="000021EF"/>
    <w:rsid w:val="00002299"/>
    <w:rsid w:val="000024DC"/>
    <w:rsid w:val="000025D7"/>
    <w:rsid w:val="000025F6"/>
    <w:rsid w:val="0000277B"/>
    <w:rsid w:val="000029D4"/>
    <w:rsid w:val="00002AD9"/>
    <w:rsid w:val="00002DE9"/>
    <w:rsid w:val="00002F5D"/>
    <w:rsid w:val="000032FA"/>
    <w:rsid w:val="000033B4"/>
    <w:rsid w:val="00003476"/>
    <w:rsid w:val="00003547"/>
    <w:rsid w:val="000037BA"/>
    <w:rsid w:val="000038C6"/>
    <w:rsid w:val="000038EE"/>
    <w:rsid w:val="0000397F"/>
    <w:rsid w:val="00003D74"/>
    <w:rsid w:val="00003F9C"/>
    <w:rsid w:val="00003FB9"/>
    <w:rsid w:val="0000416C"/>
    <w:rsid w:val="0000425C"/>
    <w:rsid w:val="000045B2"/>
    <w:rsid w:val="000045E4"/>
    <w:rsid w:val="00004808"/>
    <w:rsid w:val="0000490F"/>
    <w:rsid w:val="00004955"/>
    <w:rsid w:val="00004A21"/>
    <w:rsid w:val="00004B07"/>
    <w:rsid w:val="00004BA4"/>
    <w:rsid w:val="00004D28"/>
    <w:rsid w:val="0000514C"/>
    <w:rsid w:val="00005160"/>
    <w:rsid w:val="00005384"/>
    <w:rsid w:val="00005744"/>
    <w:rsid w:val="0000580A"/>
    <w:rsid w:val="00005909"/>
    <w:rsid w:val="00005A61"/>
    <w:rsid w:val="00005B6A"/>
    <w:rsid w:val="00005C58"/>
    <w:rsid w:val="00005D82"/>
    <w:rsid w:val="00005E48"/>
    <w:rsid w:val="000065E7"/>
    <w:rsid w:val="00006684"/>
    <w:rsid w:val="00006908"/>
    <w:rsid w:val="00006944"/>
    <w:rsid w:val="00006948"/>
    <w:rsid w:val="00006C25"/>
    <w:rsid w:val="00006FB6"/>
    <w:rsid w:val="000070B1"/>
    <w:rsid w:val="000070CE"/>
    <w:rsid w:val="000071E2"/>
    <w:rsid w:val="000077FF"/>
    <w:rsid w:val="000079FE"/>
    <w:rsid w:val="00007A3E"/>
    <w:rsid w:val="00007B7E"/>
    <w:rsid w:val="00007CA3"/>
    <w:rsid w:val="00007DEB"/>
    <w:rsid w:val="00007E0E"/>
    <w:rsid w:val="00007EB0"/>
    <w:rsid w:val="00010076"/>
    <w:rsid w:val="00010230"/>
    <w:rsid w:val="00010255"/>
    <w:rsid w:val="000103EE"/>
    <w:rsid w:val="00010429"/>
    <w:rsid w:val="000104EB"/>
    <w:rsid w:val="00010509"/>
    <w:rsid w:val="000108D9"/>
    <w:rsid w:val="00010928"/>
    <w:rsid w:val="0001096F"/>
    <w:rsid w:val="0001098A"/>
    <w:rsid w:val="00010998"/>
    <w:rsid w:val="00010A1A"/>
    <w:rsid w:val="00010BB5"/>
    <w:rsid w:val="00010C60"/>
    <w:rsid w:val="00010F92"/>
    <w:rsid w:val="00010FA2"/>
    <w:rsid w:val="00010FB7"/>
    <w:rsid w:val="000113D1"/>
    <w:rsid w:val="00011717"/>
    <w:rsid w:val="00011A06"/>
    <w:rsid w:val="00011C2B"/>
    <w:rsid w:val="00011C95"/>
    <w:rsid w:val="00011D91"/>
    <w:rsid w:val="00011F61"/>
    <w:rsid w:val="00012030"/>
    <w:rsid w:val="000120E2"/>
    <w:rsid w:val="000121A5"/>
    <w:rsid w:val="0001228E"/>
    <w:rsid w:val="0001230B"/>
    <w:rsid w:val="00012383"/>
    <w:rsid w:val="0001290E"/>
    <w:rsid w:val="00012B1B"/>
    <w:rsid w:val="00012CC5"/>
    <w:rsid w:val="00012E3E"/>
    <w:rsid w:val="00012F99"/>
    <w:rsid w:val="00013010"/>
    <w:rsid w:val="0001313F"/>
    <w:rsid w:val="000131F0"/>
    <w:rsid w:val="000132C5"/>
    <w:rsid w:val="000133FB"/>
    <w:rsid w:val="0001345B"/>
    <w:rsid w:val="000134A4"/>
    <w:rsid w:val="000134BD"/>
    <w:rsid w:val="00013809"/>
    <w:rsid w:val="00013AED"/>
    <w:rsid w:val="0001400D"/>
    <w:rsid w:val="0001408D"/>
    <w:rsid w:val="00014166"/>
    <w:rsid w:val="0001498B"/>
    <w:rsid w:val="00014997"/>
    <w:rsid w:val="00014AD5"/>
    <w:rsid w:val="00014D84"/>
    <w:rsid w:val="00014E7B"/>
    <w:rsid w:val="00014FC5"/>
    <w:rsid w:val="000150C8"/>
    <w:rsid w:val="00015204"/>
    <w:rsid w:val="0001523E"/>
    <w:rsid w:val="0001532E"/>
    <w:rsid w:val="000153A2"/>
    <w:rsid w:val="000154DE"/>
    <w:rsid w:val="0001550D"/>
    <w:rsid w:val="0001589A"/>
    <w:rsid w:val="0001593F"/>
    <w:rsid w:val="0001597B"/>
    <w:rsid w:val="00015AF0"/>
    <w:rsid w:val="00015C5B"/>
    <w:rsid w:val="00015CB5"/>
    <w:rsid w:val="00015D53"/>
    <w:rsid w:val="00015E83"/>
    <w:rsid w:val="00016048"/>
    <w:rsid w:val="00016057"/>
    <w:rsid w:val="000163DA"/>
    <w:rsid w:val="00016482"/>
    <w:rsid w:val="00016688"/>
    <w:rsid w:val="00016773"/>
    <w:rsid w:val="00016896"/>
    <w:rsid w:val="000169FE"/>
    <w:rsid w:val="00016B6D"/>
    <w:rsid w:val="00016C8F"/>
    <w:rsid w:val="00016D4F"/>
    <w:rsid w:val="00016DCA"/>
    <w:rsid w:val="00016E17"/>
    <w:rsid w:val="00016F5B"/>
    <w:rsid w:val="00016F79"/>
    <w:rsid w:val="00017019"/>
    <w:rsid w:val="0001705B"/>
    <w:rsid w:val="00017619"/>
    <w:rsid w:val="000176B7"/>
    <w:rsid w:val="000178B8"/>
    <w:rsid w:val="000179EA"/>
    <w:rsid w:val="00017A04"/>
    <w:rsid w:val="00017A14"/>
    <w:rsid w:val="00017ABD"/>
    <w:rsid w:val="00017C74"/>
    <w:rsid w:val="00017DCF"/>
    <w:rsid w:val="00017DE7"/>
    <w:rsid w:val="00017F37"/>
    <w:rsid w:val="00020176"/>
    <w:rsid w:val="00020263"/>
    <w:rsid w:val="00020347"/>
    <w:rsid w:val="00020557"/>
    <w:rsid w:val="000205B6"/>
    <w:rsid w:val="000206E9"/>
    <w:rsid w:val="00020722"/>
    <w:rsid w:val="000208A4"/>
    <w:rsid w:val="0002106C"/>
    <w:rsid w:val="0002111E"/>
    <w:rsid w:val="00021181"/>
    <w:rsid w:val="00021186"/>
    <w:rsid w:val="000211B8"/>
    <w:rsid w:val="00021224"/>
    <w:rsid w:val="00021306"/>
    <w:rsid w:val="00021373"/>
    <w:rsid w:val="00021590"/>
    <w:rsid w:val="0002170C"/>
    <w:rsid w:val="0002192A"/>
    <w:rsid w:val="00021A0A"/>
    <w:rsid w:val="00021B88"/>
    <w:rsid w:val="00021D61"/>
    <w:rsid w:val="00021E3D"/>
    <w:rsid w:val="00021F10"/>
    <w:rsid w:val="000221BD"/>
    <w:rsid w:val="000223F8"/>
    <w:rsid w:val="000224B9"/>
    <w:rsid w:val="00022580"/>
    <w:rsid w:val="00022626"/>
    <w:rsid w:val="000226FB"/>
    <w:rsid w:val="00022971"/>
    <w:rsid w:val="00022BFE"/>
    <w:rsid w:val="00022E07"/>
    <w:rsid w:val="00022E0B"/>
    <w:rsid w:val="000231E2"/>
    <w:rsid w:val="0002337D"/>
    <w:rsid w:val="00023494"/>
    <w:rsid w:val="000235FD"/>
    <w:rsid w:val="000239B4"/>
    <w:rsid w:val="000239BD"/>
    <w:rsid w:val="00023BD3"/>
    <w:rsid w:val="00023C4D"/>
    <w:rsid w:val="00023DD6"/>
    <w:rsid w:val="000241B5"/>
    <w:rsid w:val="00024368"/>
    <w:rsid w:val="00024BF0"/>
    <w:rsid w:val="00024C30"/>
    <w:rsid w:val="00024CB6"/>
    <w:rsid w:val="00024DCD"/>
    <w:rsid w:val="00024E45"/>
    <w:rsid w:val="00024EB1"/>
    <w:rsid w:val="00024EBC"/>
    <w:rsid w:val="0002508A"/>
    <w:rsid w:val="00025190"/>
    <w:rsid w:val="000252D9"/>
    <w:rsid w:val="000252E3"/>
    <w:rsid w:val="0002536B"/>
    <w:rsid w:val="00025554"/>
    <w:rsid w:val="000258BA"/>
    <w:rsid w:val="00025917"/>
    <w:rsid w:val="00025A47"/>
    <w:rsid w:val="00025B93"/>
    <w:rsid w:val="00025D8C"/>
    <w:rsid w:val="00025DCB"/>
    <w:rsid w:val="000261FD"/>
    <w:rsid w:val="00026254"/>
    <w:rsid w:val="00026401"/>
    <w:rsid w:val="000268CF"/>
    <w:rsid w:val="00026F80"/>
    <w:rsid w:val="000271EE"/>
    <w:rsid w:val="000271FB"/>
    <w:rsid w:val="000277EE"/>
    <w:rsid w:val="00027857"/>
    <w:rsid w:val="000278A2"/>
    <w:rsid w:val="00027A40"/>
    <w:rsid w:val="00027BA8"/>
    <w:rsid w:val="00027CB2"/>
    <w:rsid w:val="00027D06"/>
    <w:rsid w:val="00027DE9"/>
    <w:rsid w:val="00027E28"/>
    <w:rsid w:val="00027EA8"/>
    <w:rsid w:val="00027F88"/>
    <w:rsid w:val="00027FEA"/>
    <w:rsid w:val="0003004D"/>
    <w:rsid w:val="0003007B"/>
    <w:rsid w:val="000302D9"/>
    <w:rsid w:val="00030355"/>
    <w:rsid w:val="00030425"/>
    <w:rsid w:val="00030718"/>
    <w:rsid w:val="000308EA"/>
    <w:rsid w:val="00030DB7"/>
    <w:rsid w:val="00030FB2"/>
    <w:rsid w:val="00031427"/>
    <w:rsid w:val="00031621"/>
    <w:rsid w:val="00031722"/>
    <w:rsid w:val="0003183A"/>
    <w:rsid w:val="00031BA4"/>
    <w:rsid w:val="00031EE0"/>
    <w:rsid w:val="0003211C"/>
    <w:rsid w:val="000321A4"/>
    <w:rsid w:val="000321DE"/>
    <w:rsid w:val="000321E4"/>
    <w:rsid w:val="000323BC"/>
    <w:rsid w:val="000324FF"/>
    <w:rsid w:val="0003254D"/>
    <w:rsid w:val="000325B9"/>
    <w:rsid w:val="0003267C"/>
    <w:rsid w:val="00032918"/>
    <w:rsid w:val="0003291E"/>
    <w:rsid w:val="00032EAF"/>
    <w:rsid w:val="00032F05"/>
    <w:rsid w:val="00032F66"/>
    <w:rsid w:val="00033069"/>
    <w:rsid w:val="00033094"/>
    <w:rsid w:val="000330E0"/>
    <w:rsid w:val="00033123"/>
    <w:rsid w:val="00033141"/>
    <w:rsid w:val="00033473"/>
    <w:rsid w:val="00033583"/>
    <w:rsid w:val="00033958"/>
    <w:rsid w:val="00033B5D"/>
    <w:rsid w:val="00033CD2"/>
    <w:rsid w:val="00034573"/>
    <w:rsid w:val="000347AE"/>
    <w:rsid w:val="000347B4"/>
    <w:rsid w:val="0003494A"/>
    <w:rsid w:val="00034A38"/>
    <w:rsid w:val="00034A82"/>
    <w:rsid w:val="00034ACB"/>
    <w:rsid w:val="00034E64"/>
    <w:rsid w:val="00034EF7"/>
    <w:rsid w:val="00034F3E"/>
    <w:rsid w:val="000351D5"/>
    <w:rsid w:val="000351D8"/>
    <w:rsid w:val="00035509"/>
    <w:rsid w:val="000355B4"/>
    <w:rsid w:val="0003575B"/>
    <w:rsid w:val="0003576B"/>
    <w:rsid w:val="000358C2"/>
    <w:rsid w:val="00035990"/>
    <w:rsid w:val="000359B2"/>
    <w:rsid w:val="000359C1"/>
    <w:rsid w:val="00035AE8"/>
    <w:rsid w:val="00035E04"/>
    <w:rsid w:val="00035F45"/>
    <w:rsid w:val="00035FA4"/>
    <w:rsid w:val="00036107"/>
    <w:rsid w:val="00036210"/>
    <w:rsid w:val="000364FF"/>
    <w:rsid w:val="00036500"/>
    <w:rsid w:val="0003662A"/>
    <w:rsid w:val="00036666"/>
    <w:rsid w:val="000366ED"/>
    <w:rsid w:val="00036775"/>
    <w:rsid w:val="000368F3"/>
    <w:rsid w:val="00036C72"/>
    <w:rsid w:val="00036D28"/>
    <w:rsid w:val="00036D7E"/>
    <w:rsid w:val="00036F28"/>
    <w:rsid w:val="00036F45"/>
    <w:rsid w:val="00037077"/>
    <w:rsid w:val="00037236"/>
    <w:rsid w:val="000372E7"/>
    <w:rsid w:val="00037442"/>
    <w:rsid w:val="00037DD5"/>
    <w:rsid w:val="0004009B"/>
    <w:rsid w:val="000401F6"/>
    <w:rsid w:val="0004026A"/>
    <w:rsid w:val="000402D9"/>
    <w:rsid w:val="000404D1"/>
    <w:rsid w:val="0004055D"/>
    <w:rsid w:val="000405BF"/>
    <w:rsid w:val="00040723"/>
    <w:rsid w:val="00040741"/>
    <w:rsid w:val="0004075C"/>
    <w:rsid w:val="000407CE"/>
    <w:rsid w:val="00040AFB"/>
    <w:rsid w:val="00040B32"/>
    <w:rsid w:val="00040C1D"/>
    <w:rsid w:val="00040C31"/>
    <w:rsid w:val="00040CBA"/>
    <w:rsid w:val="00040D0F"/>
    <w:rsid w:val="00040D2E"/>
    <w:rsid w:val="00040E0B"/>
    <w:rsid w:val="00040E88"/>
    <w:rsid w:val="00040FAD"/>
    <w:rsid w:val="00041076"/>
    <w:rsid w:val="0004118C"/>
    <w:rsid w:val="000411A3"/>
    <w:rsid w:val="000412B6"/>
    <w:rsid w:val="00041339"/>
    <w:rsid w:val="000413D0"/>
    <w:rsid w:val="000413E8"/>
    <w:rsid w:val="00041402"/>
    <w:rsid w:val="000415A2"/>
    <w:rsid w:val="000418F7"/>
    <w:rsid w:val="000419C9"/>
    <w:rsid w:val="00041C51"/>
    <w:rsid w:val="00041CE7"/>
    <w:rsid w:val="00041DA0"/>
    <w:rsid w:val="00041F96"/>
    <w:rsid w:val="00042009"/>
    <w:rsid w:val="00042149"/>
    <w:rsid w:val="0004225F"/>
    <w:rsid w:val="00042382"/>
    <w:rsid w:val="000423CD"/>
    <w:rsid w:val="0004247A"/>
    <w:rsid w:val="0004281E"/>
    <w:rsid w:val="00042840"/>
    <w:rsid w:val="00042CEC"/>
    <w:rsid w:val="00042E48"/>
    <w:rsid w:val="00042F0F"/>
    <w:rsid w:val="00043188"/>
    <w:rsid w:val="00043290"/>
    <w:rsid w:val="0004330C"/>
    <w:rsid w:val="0004345F"/>
    <w:rsid w:val="00043587"/>
    <w:rsid w:val="000436EE"/>
    <w:rsid w:val="00043716"/>
    <w:rsid w:val="000437C8"/>
    <w:rsid w:val="00043800"/>
    <w:rsid w:val="000438DD"/>
    <w:rsid w:val="00043A75"/>
    <w:rsid w:val="00043B50"/>
    <w:rsid w:val="00043CC4"/>
    <w:rsid w:val="00043CEB"/>
    <w:rsid w:val="00043D99"/>
    <w:rsid w:val="00043FFD"/>
    <w:rsid w:val="00044256"/>
    <w:rsid w:val="0004427C"/>
    <w:rsid w:val="0004444E"/>
    <w:rsid w:val="00044622"/>
    <w:rsid w:val="00044756"/>
    <w:rsid w:val="0004484D"/>
    <w:rsid w:val="00044C93"/>
    <w:rsid w:val="00044E9E"/>
    <w:rsid w:val="00044F1A"/>
    <w:rsid w:val="00045008"/>
    <w:rsid w:val="00045210"/>
    <w:rsid w:val="00045615"/>
    <w:rsid w:val="00045671"/>
    <w:rsid w:val="000458F9"/>
    <w:rsid w:val="00045A3D"/>
    <w:rsid w:val="00045A94"/>
    <w:rsid w:val="00045D53"/>
    <w:rsid w:val="0004603A"/>
    <w:rsid w:val="000460F8"/>
    <w:rsid w:val="000461C8"/>
    <w:rsid w:val="00046268"/>
    <w:rsid w:val="000462B8"/>
    <w:rsid w:val="00046474"/>
    <w:rsid w:val="00046843"/>
    <w:rsid w:val="000468C7"/>
    <w:rsid w:val="00046983"/>
    <w:rsid w:val="000469F9"/>
    <w:rsid w:val="00046A7A"/>
    <w:rsid w:val="00046ACF"/>
    <w:rsid w:val="00046C02"/>
    <w:rsid w:val="00046CAD"/>
    <w:rsid w:val="00046E6E"/>
    <w:rsid w:val="00046FB0"/>
    <w:rsid w:val="00047042"/>
    <w:rsid w:val="0004713C"/>
    <w:rsid w:val="000473B4"/>
    <w:rsid w:val="00047436"/>
    <w:rsid w:val="00047443"/>
    <w:rsid w:val="00047476"/>
    <w:rsid w:val="0004754C"/>
    <w:rsid w:val="000475B9"/>
    <w:rsid w:val="000476D4"/>
    <w:rsid w:val="0004771D"/>
    <w:rsid w:val="0004792B"/>
    <w:rsid w:val="00047A74"/>
    <w:rsid w:val="00047D87"/>
    <w:rsid w:val="00047EBD"/>
    <w:rsid w:val="0005002E"/>
    <w:rsid w:val="000500C7"/>
    <w:rsid w:val="000501D9"/>
    <w:rsid w:val="000502F0"/>
    <w:rsid w:val="000504CF"/>
    <w:rsid w:val="0005072E"/>
    <w:rsid w:val="000509DD"/>
    <w:rsid w:val="00050A94"/>
    <w:rsid w:val="00050B80"/>
    <w:rsid w:val="00050BE1"/>
    <w:rsid w:val="00051039"/>
    <w:rsid w:val="0005108C"/>
    <w:rsid w:val="000510DC"/>
    <w:rsid w:val="00051291"/>
    <w:rsid w:val="000512FA"/>
    <w:rsid w:val="000514B0"/>
    <w:rsid w:val="00051ED0"/>
    <w:rsid w:val="00051FBF"/>
    <w:rsid w:val="0005216C"/>
    <w:rsid w:val="000522DD"/>
    <w:rsid w:val="00052406"/>
    <w:rsid w:val="00052407"/>
    <w:rsid w:val="0005248C"/>
    <w:rsid w:val="00052866"/>
    <w:rsid w:val="00052881"/>
    <w:rsid w:val="000529D2"/>
    <w:rsid w:val="00052A9C"/>
    <w:rsid w:val="00052B42"/>
    <w:rsid w:val="00052B6B"/>
    <w:rsid w:val="00052C27"/>
    <w:rsid w:val="00052CC3"/>
    <w:rsid w:val="00052DAE"/>
    <w:rsid w:val="00052EF7"/>
    <w:rsid w:val="00053065"/>
    <w:rsid w:val="000534FF"/>
    <w:rsid w:val="00053513"/>
    <w:rsid w:val="000535A1"/>
    <w:rsid w:val="000536B0"/>
    <w:rsid w:val="00053A36"/>
    <w:rsid w:val="00053AA1"/>
    <w:rsid w:val="00053DD8"/>
    <w:rsid w:val="00054269"/>
    <w:rsid w:val="00054319"/>
    <w:rsid w:val="00054505"/>
    <w:rsid w:val="00054526"/>
    <w:rsid w:val="000547BC"/>
    <w:rsid w:val="00054A02"/>
    <w:rsid w:val="00054AF7"/>
    <w:rsid w:val="00054BD9"/>
    <w:rsid w:val="00054C85"/>
    <w:rsid w:val="00054F0F"/>
    <w:rsid w:val="0005524C"/>
    <w:rsid w:val="00055747"/>
    <w:rsid w:val="0005588A"/>
    <w:rsid w:val="00055976"/>
    <w:rsid w:val="00055BFA"/>
    <w:rsid w:val="000560DD"/>
    <w:rsid w:val="000560FE"/>
    <w:rsid w:val="00056181"/>
    <w:rsid w:val="0005672F"/>
    <w:rsid w:val="00056775"/>
    <w:rsid w:val="00056A7A"/>
    <w:rsid w:val="00056AD5"/>
    <w:rsid w:val="00056C5A"/>
    <w:rsid w:val="00056D89"/>
    <w:rsid w:val="000571AE"/>
    <w:rsid w:val="0005720B"/>
    <w:rsid w:val="00057441"/>
    <w:rsid w:val="00057498"/>
    <w:rsid w:val="0005756F"/>
    <w:rsid w:val="000575F5"/>
    <w:rsid w:val="00057636"/>
    <w:rsid w:val="00057668"/>
    <w:rsid w:val="0005787E"/>
    <w:rsid w:val="00057993"/>
    <w:rsid w:val="00057BA6"/>
    <w:rsid w:val="00057BE8"/>
    <w:rsid w:val="00057C48"/>
    <w:rsid w:val="00057D18"/>
    <w:rsid w:val="00057DD4"/>
    <w:rsid w:val="00057E0A"/>
    <w:rsid w:val="000604A3"/>
    <w:rsid w:val="00060520"/>
    <w:rsid w:val="00060535"/>
    <w:rsid w:val="000605B9"/>
    <w:rsid w:val="000606E6"/>
    <w:rsid w:val="0006071C"/>
    <w:rsid w:val="00060B5D"/>
    <w:rsid w:val="00060F12"/>
    <w:rsid w:val="00060F48"/>
    <w:rsid w:val="000610B0"/>
    <w:rsid w:val="000611B2"/>
    <w:rsid w:val="000612AA"/>
    <w:rsid w:val="0006137D"/>
    <w:rsid w:val="000613F2"/>
    <w:rsid w:val="0006143C"/>
    <w:rsid w:val="00061441"/>
    <w:rsid w:val="00061563"/>
    <w:rsid w:val="0006188D"/>
    <w:rsid w:val="000618CB"/>
    <w:rsid w:val="00062052"/>
    <w:rsid w:val="000621CD"/>
    <w:rsid w:val="000621D5"/>
    <w:rsid w:val="0006269E"/>
    <w:rsid w:val="00062792"/>
    <w:rsid w:val="000628B6"/>
    <w:rsid w:val="00062980"/>
    <w:rsid w:val="000629A2"/>
    <w:rsid w:val="00062B5A"/>
    <w:rsid w:val="00062C62"/>
    <w:rsid w:val="00062EFB"/>
    <w:rsid w:val="00062FF7"/>
    <w:rsid w:val="0006328A"/>
    <w:rsid w:val="0006330C"/>
    <w:rsid w:val="0006331E"/>
    <w:rsid w:val="0006337A"/>
    <w:rsid w:val="0006355F"/>
    <w:rsid w:val="00063618"/>
    <w:rsid w:val="000637DF"/>
    <w:rsid w:val="00063A7A"/>
    <w:rsid w:val="00063A7D"/>
    <w:rsid w:val="00063B35"/>
    <w:rsid w:val="00063D6D"/>
    <w:rsid w:val="00063E68"/>
    <w:rsid w:val="00063F32"/>
    <w:rsid w:val="00064038"/>
    <w:rsid w:val="000643E6"/>
    <w:rsid w:val="00064428"/>
    <w:rsid w:val="000645A6"/>
    <w:rsid w:val="000646D0"/>
    <w:rsid w:val="00064894"/>
    <w:rsid w:val="00064AFF"/>
    <w:rsid w:val="00064C86"/>
    <w:rsid w:val="00064E81"/>
    <w:rsid w:val="00064EF7"/>
    <w:rsid w:val="00064F7A"/>
    <w:rsid w:val="00064FC7"/>
    <w:rsid w:val="00064FEA"/>
    <w:rsid w:val="0006502F"/>
    <w:rsid w:val="0006503F"/>
    <w:rsid w:val="0006557B"/>
    <w:rsid w:val="0006566C"/>
    <w:rsid w:val="00065826"/>
    <w:rsid w:val="000659D7"/>
    <w:rsid w:val="000659F6"/>
    <w:rsid w:val="000659F8"/>
    <w:rsid w:val="00065B12"/>
    <w:rsid w:val="00065B54"/>
    <w:rsid w:val="00065CE0"/>
    <w:rsid w:val="00065D32"/>
    <w:rsid w:val="000660F2"/>
    <w:rsid w:val="000664A2"/>
    <w:rsid w:val="0006681E"/>
    <w:rsid w:val="00066886"/>
    <w:rsid w:val="00066C31"/>
    <w:rsid w:val="00066F0E"/>
    <w:rsid w:val="00066F68"/>
    <w:rsid w:val="000670D1"/>
    <w:rsid w:val="00067140"/>
    <w:rsid w:val="0006722F"/>
    <w:rsid w:val="0006725B"/>
    <w:rsid w:val="000672B0"/>
    <w:rsid w:val="000672F4"/>
    <w:rsid w:val="00067416"/>
    <w:rsid w:val="000675E7"/>
    <w:rsid w:val="000677BE"/>
    <w:rsid w:val="00067805"/>
    <w:rsid w:val="00067E21"/>
    <w:rsid w:val="00070176"/>
    <w:rsid w:val="00070178"/>
    <w:rsid w:val="00070352"/>
    <w:rsid w:val="000703D6"/>
    <w:rsid w:val="00070437"/>
    <w:rsid w:val="0007044C"/>
    <w:rsid w:val="000706C2"/>
    <w:rsid w:val="00070721"/>
    <w:rsid w:val="000708DD"/>
    <w:rsid w:val="00070B43"/>
    <w:rsid w:val="00071027"/>
    <w:rsid w:val="00071230"/>
    <w:rsid w:val="000712BB"/>
    <w:rsid w:val="00071521"/>
    <w:rsid w:val="00071DEF"/>
    <w:rsid w:val="0007216E"/>
    <w:rsid w:val="00072213"/>
    <w:rsid w:val="000723EB"/>
    <w:rsid w:val="0007254A"/>
    <w:rsid w:val="00072619"/>
    <w:rsid w:val="00072650"/>
    <w:rsid w:val="000728FE"/>
    <w:rsid w:val="00072B19"/>
    <w:rsid w:val="00072B42"/>
    <w:rsid w:val="00072D6F"/>
    <w:rsid w:val="00072DED"/>
    <w:rsid w:val="00072F85"/>
    <w:rsid w:val="00073464"/>
    <w:rsid w:val="00073749"/>
    <w:rsid w:val="000737BA"/>
    <w:rsid w:val="0007396D"/>
    <w:rsid w:val="00073ACB"/>
    <w:rsid w:val="00073BB0"/>
    <w:rsid w:val="00074172"/>
    <w:rsid w:val="0007444A"/>
    <w:rsid w:val="00074590"/>
    <w:rsid w:val="0007499B"/>
    <w:rsid w:val="00074A1B"/>
    <w:rsid w:val="00074A86"/>
    <w:rsid w:val="00074BCC"/>
    <w:rsid w:val="00074C81"/>
    <w:rsid w:val="00074DAC"/>
    <w:rsid w:val="00074EE5"/>
    <w:rsid w:val="00075068"/>
    <w:rsid w:val="0007511C"/>
    <w:rsid w:val="00075223"/>
    <w:rsid w:val="00075333"/>
    <w:rsid w:val="000754C6"/>
    <w:rsid w:val="000754E4"/>
    <w:rsid w:val="000754F0"/>
    <w:rsid w:val="000759B4"/>
    <w:rsid w:val="000759C4"/>
    <w:rsid w:val="00075A3C"/>
    <w:rsid w:val="00075ACC"/>
    <w:rsid w:val="00075AFC"/>
    <w:rsid w:val="00075B57"/>
    <w:rsid w:val="00075BC8"/>
    <w:rsid w:val="00075CF4"/>
    <w:rsid w:val="00075DA5"/>
    <w:rsid w:val="00075E71"/>
    <w:rsid w:val="00075ED6"/>
    <w:rsid w:val="000760C8"/>
    <w:rsid w:val="00076154"/>
    <w:rsid w:val="00076256"/>
    <w:rsid w:val="000763DE"/>
    <w:rsid w:val="00076541"/>
    <w:rsid w:val="0007665F"/>
    <w:rsid w:val="000766A9"/>
    <w:rsid w:val="0007697F"/>
    <w:rsid w:val="00076E63"/>
    <w:rsid w:val="00077000"/>
    <w:rsid w:val="000771BC"/>
    <w:rsid w:val="0007725A"/>
    <w:rsid w:val="00077340"/>
    <w:rsid w:val="000773C6"/>
    <w:rsid w:val="000773EF"/>
    <w:rsid w:val="00077411"/>
    <w:rsid w:val="00077463"/>
    <w:rsid w:val="00077614"/>
    <w:rsid w:val="0007764C"/>
    <w:rsid w:val="000777D7"/>
    <w:rsid w:val="0007797D"/>
    <w:rsid w:val="00077D8F"/>
    <w:rsid w:val="00077D92"/>
    <w:rsid w:val="00077E75"/>
    <w:rsid w:val="00077E94"/>
    <w:rsid w:val="000801AB"/>
    <w:rsid w:val="000806ED"/>
    <w:rsid w:val="000807C2"/>
    <w:rsid w:val="00080A0A"/>
    <w:rsid w:val="00080B8B"/>
    <w:rsid w:val="00080C5B"/>
    <w:rsid w:val="00080D20"/>
    <w:rsid w:val="00080D2A"/>
    <w:rsid w:val="00081200"/>
    <w:rsid w:val="000812EC"/>
    <w:rsid w:val="00081761"/>
    <w:rsid w:val="00081786"/>
    <w:rsid w:val="0008188F"/>
    <w:rsid w:val="00081924"/>
    <w:rsid w:val="0008196E"/>
    <w:rsid w:val="00081A3D"/>
    <w:rsid w:val="00081AA5"/>
    <w:rsid w:val="00081DEE"/>
    <w:rsid w:val="00081DF6"/>
    <w:rsid w:val="00081F9D"/>
    <w:rsid w:val="00082221"/>
    <w:rsid w:val="000824EA"/>
    <w:rsid w:val="000824F5"/>
    <w:rsid w:val="00082528"/>
    <w:rsid w:val="00082663"/>
    <w:rsid w:val="0008266A"/>
    <w:rsid w:val="00082674"/>
    <w:rsid w:val="000826F9"/>
    <w:rsid w:val="000829BB"/>
    <w:rsid w:val="00082DD0"/>
    <w:rsid w:val="00082E78"/>
    <w:rsid w:val="000834BD"/>
    <w:rsid w:val="00083507"/>
    <w:rsid w:val="000835D6"/>
    <w:rsid w:val="0008372A"/>
    <w:rsid w:val="000837BF"/>
    <w:rsid w:val="000837EA"/>
    <w:rsid w:val="000839CD"/>
    <w:rsid w:val="00083B40"/>
    <w:rsid w:val="00083C1A"/>
    <w:rsid w:val="00083F70"/>
    <w:rsid w:val="00083F72"/>
    <w:rsid w:val="000840FF"/>
    <w:rsid w:val="0008439C"/>
    <w:rsid w:val="00084498"/>
    <w:rsid w:val="0008450F"/>
    <w:rsid w:val="0008451B"/>
    <w:rsid w:val="00084547"/>
    <w:rsid w:val="00084625"/>
    <w:rsid w:val="000848CD"/>
    <w:rsid w:val="00084AB1"/>
    <w:rsid w:val="00084DD7"/>
    <w:rsid w:val="00085184"/>
    <w:rsid w:val="00085424"/>
    <w:rsid w:val="00085473"/>
    <w:rsid w:val="000854BA"/>
    <w:rsid w:val="00085579"/>
    <w:rsid w:val="00085768"/>
    <w:rsid w:val="000858AB"/>
    <w:rsid w:val="000858AC"/>
    <w:rsid w:val="000858E7"/>
    <w:rsid w:val="00085B52"/>
    <w:rsid w:val="00085BBA"/>
    <w:rsid w:val="00085CFB"/>
    <w:rsid w:val="00085D4A"/>
    <w:rsid w:val="00085E28"/>
    <w:rsid w:val="00085F23"/>
    <w:rsid w:val="00085F40"/>
    <w:rsid w:val="00085FDC"/>
    <w:rsid w:val="0008605F"/>
    <w:rsid w:val="00086126"/>
    <w:rsid w:val="00086584"/>
    <w:rsid w:val="0008663F"/>
    <w:rsid w:val="000867CE"/>
    <w:rsid w:val="0008686F"/>
    <w:rsid w:val="000868A4"/>
    <w:rsid w:val="00086A96"/>
    <w:rsid w:val="00086ECF"/>
    <w:rsid w:val="000876D4"/>
    <w:rsid w:val="00087863"/>
    <w:rsid w:val="0008793A"/>
    <w:rsid w:val="00087A1D"/>
    <w:rsid w:val="00087D16"/>
    <w:rsid w:val="00087EE7"/>
    <w:rsid w:val="00090172"/>
    <w:rsid w:val="000901C8"/>
    <w:rsid w:val="000902B3"/>
    <w:rsid w:val="000902F9"/>
    <w:rsid w:val="00090AAC"/>
    <w:rsid w:val="00090C67"/>
    <w:rsid w:val="00090C70"/>
    <w:rsid w:val="00090DF6"/>
    <w:rsid w:val="00090FBF"/>
    <w:rsid w:val="00090FCF"/>
    <w:rsid w:val="00090FE5"/>
    <w:rsid w:val="00091067"/>
    <w:rsid w:val="000915EE"/>
    <w:rsid w:val="00091662"/>
    <w:rsid w:val="000916AF"/>
    <w:rsid w:val="000918C4"/>
    <w:rsid w:val="00091A66"/>
    <w:rsid w:val="00091C15"/>
    <w:rsid w:val="00091D60"/>
    <w:rsid w:val="00091D84"/>
    <w:rsid w:val="00091F36"/>
    <w:rsid w:val="00091F6A"/>
    <w:rsid w:val="00091FB4"/>
    <w:rsid w:val="0009236A"/>
    <w:rsid w:val="00092388"/>
    <w:rsid w:val="000925C2"/>
    <w:rsid w:val="000925DE"/>
    <w:rsid w:val="00092621"/>
    <w:rsid w:val="00092633"/>
    <w:rsid w:val="00092841"/>
    <w:rsid w:val="00092873"/>
    <w:rsid w:val="000929BE"/>
    <w:rsid w:val="00093009"/>
    <w:rsid w:val="00093028"/>
    <w:rsid w:val="000930A6"/>
    <w:rsid w:val="000933E1"/>
    <w:rsid w:val="00093555"/>
    <w:rsid w:val="000936A9"/>
    <w:rsid w:val="00093A9D"/>
    <w:rsid w:val="00093BFF"/>
    <w:rsid w:val="00093D3A"/>
    <w:rsid w:val="00093E82"/>
    <w:rsid w:val="00093EF9"/>
    <w:rsid w:val="00093F78"/>
    <w:rsid w:val="00093F87"/>
    <w:rsid w:val="00094027"/>
    <w:rsid w:val="0009404B"/>
    <w:rsid w:val="000941F7"/>
    <w:rsid w:val="00094387"/>
    <w:rsid w:val="00094628"/>
    <w:rsid w:val="00094640"/>
    <w:rsid w:val="00094648"/>
    <w:rsid w:val="000946CF"/>
    <w:rsid w:val="00094857"/>
    <w:rsid w:val="000949DD"/>
    <w:rsid w:val="00094CFB"/>
    <w:rsid w:val="00094E41"/>
    <w:rsid w:val="000950AA"/>
    <w:rsid w:val="000951C8"/>
    <w:rsid w:val="000951D5"/>
    <w:rsid w:val="00095212"/>
    <w:rsid w:val="000956E5"/>
    <w:rsid w:val="000958E3"/>
    <w:rsid w:val="00095957"/>
    <w:rsid w:val="00095F41"/>
    <w:rsid w:val="000960A7"/>
    <w:rsid w:val="000960C6"/>
    <w:rsid w:val="000961A6"/>
    <w:rsid w:val="000961EC"/>
    <w:rsid w:val="000962F6"/>
    <w:rsid w:val="000968A0"/>
    <w:rsid w:val="00096920"/>
    <w:rsid w:val="00096930"/>
    <w:rsid w:val="0009696F"/>
    <w:rsid w:val="00096AA6"/>
    <w:rsid w:val="00096C1A"/>
    <w:rsid w:val="00096D12"/>
    <w:rsid w:val="00096DD5"/>
    <w:rsid w:val="00096E80"/>
    <w:rsid w:val="00096EEC"/>
    <w:rsid w:val="000971A0"/>
    <w:rsid w:val="000971A7"/>
    <w:rsid w:val="00097782"/>
    <w:rsid w:val="00097A02"/>
    <w:rsid w:val="00097CA6"/>
    <w:rsid w:val="00097CAE"/>
    <w:rsid w:val="00097E6B"/>
    <w:rsid w:val="00097F20"/>
    <w:rsid w:val="00097F4D"/>
    <w:rsid w:val="000A00E8"/>
    <w:rsid w:val="000A0290"/>
    <w:rsid w:val="000A0450"/>
    <w:rsid w:val="000A05D3"/>
    <w:rsid w:val="000A063B"/>
    <w:rsid w:val="000A0C30"/>
    <w:rsid w:val="000A10B2"/>
    <w:rsid w:val="000A10B8"/>
    <w:rsid w:val="000A114A"/>
    <w:rsid w:val="000A1369"/>
    <w:rsid w:val="000A13D0"/>
    <w:rsid w:val="000A17C0"/>
    <w:rsid w:val="000A18EF"/>
    <w:rsid w:val="000A198A"/>
    <w:rsid w:val="000A1BC6"/>
    <w:rsid w:val="000A1C46"/>
    <w:rsid w:val="000A1E42"/>
    <w:rsid w:val="000A2008"/>
    <w:rsid w:val="000A2068"/>
    <w:rsid w:val="000A2176"/>
    <w:rsid w:val="000A2357"/>
    <w:rsid w:val="000A24D9"/>
    <w:rsid w:val="000A262D"/>
    <w:rsid w:val="000A28F3"/>
    <w:rsid w:val="000A2CF8"/>
    <w:rsid w:val="000A2D79"/>
    <w:rsid w:val="000A2EB8"/>
    <w:rsid w:val="000A2F92"/>
    <w:rsid w:val="000A3097"/>
    <w:rsid w:val="000A32C1"/>
    <w:rsid w:val="000A34B6"/>
    <w:rsid w:val="000A3541"/>
    <w:rsid w:val="000A355A"/>
    <w:rsid w:val="000A3576"/>
    <w:rsid w:val="000A35DF"/>
    <w:rsid w:val="000A3859"/>
    <w:rsid w:val="000A3923"/>
    <w:rsid w:val="000A3BD1"/>
    <w:rsid w:val="000A3C06"/>
    <w:rsid w:val="000A42A9"/>
    <w:rsid w:val="000A4401"/>
    <w:rsid w:val="000A449A"/>
    <w:rsid w:val="000A4669"/>
    <w:rsid w:val="000A46AC"/>
    <w:rsid w:val="000A478B"/>
    <w:rsid w:val="000A480E"/>
    <w:rsid w:val="000A4AAB"/>
    <w:rsid w:val="000A4E03"/>
    <w:rsid w:val="000A4E82"/>
    <w:rsid w:val="000A4ECA"/>
    <w:rsid w:val="000A4FF1"/>
    <w:rsid w:val="000A5334"/>
    <w:rsid w:val="000A539C"/>
    <w:rsid w:val="000A54F6"/>
    <w:rsid w:val="000A5550"/>
    <w:rsid w:val="000A5566"/>
    <w:rsid w:val="000A5A20"/>
    <w:rsid w:val="000A5E38"/>
    <w:rsid w:val="000A5E4A"/>
    <w:rsid w:val="000A6094"/>
    <w:rsid w:val="000A6249"/>
    <w:rsid w:val="000A63F2"/>
    <w:rsid w:val="000A6706"/>
    <w:rsid w:val="000A671A"/>
    <w:rsid w:val="000A6752"/>
    <w:rsid w:val="000A6A63"/>
    <w:rsid w:val="000A6DC3"/>
    <w:rsid w:val="000A6E33"/>
    <w:rsid w:val="000A7332"/>
    <w:rsid w:val="000A7367"/>
    <w:rsid w:val="000A77A4"/>
    <w:rsid w:val="000A77C7"/>
    <w:rsid w:val="000A7925"/>
    <w:rsid w:val="000A79B9"/>
    <w:rsid w:val="000A7A1F"/>
    <w:rsid w:val="000A7A8B"/>
    <w:rsid w:val="000A7BD9"/>
    <w:rsid w:val="000A7BFE"/>
    <w:rsid w:val="000B0446"/>
    <w:rsid w:val="000B084B"/>
    <w:rsid w:val="000B0921"/>
    <w:rsid w:val="000B0945"/>
    <w:rsid w:val="000B095A"/>
    <w:rsid w:val="000B0AF9"/>
    <w:rsid w:val="000B0B57"/>
    <w:rsid w:val="000B0B7D"/>
    <w:rsid w:val="000B0BF2"/>
    <w:rsid w:val="000B0D44"/>
    <w:rsid w:val="000B0D73"/>
    <w:rsid w:val="000B0FC2"/>
    <w:rsid w:val="000B119F"/>
    <w:rsid w:val="000B11AD"/>
    <w:rsid w:val="000B11D3"/>
    <w:rsid w:val="000B1210"/>
    <w:rsid w:val="000B1267"/>
    <w:rsid w:val="000B12E5"/>
    <w:rsid w:val="000B14BF"/>
    <w:rsid w:val="000B162C"/>
    <w:rsid w:val="000B1697"/>
    <w:rsid w:val="000B176D"/>
    <w:rsid w:val="000B17EE"/>
    <w:rsid w:val="000B17F6"/>
    <w:rsid w:val="000B1D63"/>
    <w:rsid w:val="000B1DF5"/>
    <w:rsid w:val="000B1EF5"/>
    <w:rsid w:val="000B201E"/>
    <w:rsid w:val="000B23E5"/>
    <w:rsid w:val="000B2427"/>
    <w:rsid w:val="000B2531"/>
    <w:rsid w:val="000B25EB"/>
    <w:rsid w:val="000B268F"/>
    <w:rsid w:val="000B2734"/>
    <w:rsid w:val="000B2BCE"/>
    <w:rsid w:val="000B2C8C"/>
    <w:rsid w:val="000B30E5"/>
    <w:rsid w:val="000B3322"/>
    <w:rsid w:val="000B3598"/>
    <w:rsid w:val="000B35B1"/>
    <w:rsid w:val="000B3685"/>
    <w:rsid w:val="000B370D"/>
    <w:rsid w:val="000B392A"/>
    <w:rsid w:val="000B39B1"/>
    <w:rsid w:val="000B39DA"/>
    <w:rsid w:val="000B3D37"/>
    <w:rsid w:val="000B4068"/>
    <w:rsid w:val="000B4287"/>
    <w:rsid w:val="000B44D5"/>
    <w:rsid w:val="000B4824"/>
    <w:rsid w:val="000B4964"/>
    <w:rsid w:val="000B4991"/>
    <w:rsid w:val="000B4A55"/>
    <w:rsid w:val="000B4A57"/>
    <w:rsid w:val="000B4AB0"/>
    <w:rsid w:val="000B4D38"/>
    <w:rsid w:val="000B4D73"/>
    <w:rsid w:val="000B4E8A"/>
    <w:rsid w:val="000B4F97"/>
    <w:rsid w:val="000B5337"/>
    <w:rsid w:val="000B55A9"/>
    <w:rsid w:val="000B56C6"/>
    <w:rsid w:val="000B58CC"/>
    <w:rsid w:val="000B5B86"/>
    <w:rsid w:val="000B5D51"/>
    <w:rsid w:val="000B60C9"/>
    <w:rsid w:val="000B61B9"/>
    <w:rsid w:val="000B623B"/>
    <w:rsid w:val="000B62AE"/>
    <w:rsid w:val="000B64C5"/>
    <w:rsid w:val="000B669D"/>
    <w:rsid w:val="000B69A6"/>
    <w:rsid w:val="000B6AAB"/>
    <w:rsid w:val="000B6C56"/>
    <w:rsid w:val="000B6CCB"/>
    <w:rsid w:val="000B6E2F"/>
    <w:rsid w:val="000B7182"/>
    <w:rsid w:val="000B720A"/>
    <w:rsid w:val="000B726C"/>
    <w:rsid w:val="000B733D"/>
    <w:rsid w:val="000B743B"/>
    <w:rsid w:val="000B75A5"/>
    <w:rsid w:val="000B75CC"/>
    <w:rsid w:val="000B7929"/>
    <w:rsid w:val="000B794C"/>
    <w:rsid w:val="000B7A6C"/>
    <w:rsid w:val="000B7BA3"/>
    <w:rsid w:val="000B7E5A"/>
    <w:rsid w:val="000C006E"/>
    <w:rsid w:val="000C0270"/>
    <w:rsid w:val="000C03D1"/>
    <w:rsid w:val="000C04F7"/>
    <w:rsid w:val="000C07E7"/>
    <w:rsid w:val="000C0A0C"/>
    <w:rsid w:val="000C0A12"/>
    <w:rsid w:val="000C0A7A"/>
    <w:rsid w:val="000C0F4C"/>
    <w:rsid w:val="000C1118"/>
    <w:rsid w:val="000C14C1"/>
    <w:rsid w:val="000C1717"/>
    <w:rsid w:val="000C1922"/>
    <w:rsid w:val="000C19AF"/>
    <w:rsid w:val="000C1A03"/>
    <w:rsid w:val="000C1BB3"/>
    <w:rsid w:val="000C1DB6"/>
    <w:rsid w:val="000C1EBB"/>
    <w:rsid w:val="000C21F6"/>
    <w:rsid w:val="000C23BF"/>
    <w:rsid w:val="000C2464"/>
    <w:rsid w:val="000C2506"/>
    <w:rsid w:val="000C253F"/>
    <w:rsid w:val="000C2709"/>
    <w:rsid w:val="000C2871"/>
    <w:rsid w:val="000C299A"/>
    <w:rsid w:val="000C2BB9"/>
    <w:rsid w:val="000C2DFB"/>
    <w:rsid w:val="000C2E1B"/>
    <w:rsid w:val="000C2E7D"/>
    <w:rsid w:val="000C2EC2"/>
    <w:rsid w:val="000C304B"/>
    <w:rsid w:val="000C3367"/>
    <w:rsid w:val="000C340E"/>
    <w:rsid w:val="000C3429"/>
    <w:rsid w:val="000C3589"/>
    <w:rsid w:val="000C3607"/>
    <w:rsid w:val="000C3895"/>
    <w:rsid w:val="000C3954"/>
    <w:rsid w:val="000C3A75"/>
    <w:rsid w:val="000C3B48"/>
    <w:rsid w:val="000C3BA8"/>
    <w:rsid w:val="000C3C4D"/>
    <w:rsid w:val="000C3EFD"/>
    <w:rsid w:val="000C4129"/>
    <w:rsid w:val="000C4354"/>
    <w:rsid w:val="000C44A8"/>
    <w:rsid w:val="000C4511"/>
    <w:rsid w:val="000C459B"/>
    <w:rsid w:val="000C46FC"/>
    <w:rsid w:val="000C47B1"/>
    <w:rsid w:val="000C4869"/>
    <w:rsid w:val="000C48B9"/>
    <w:rsid w:val="000C4E4D"/>
    <w:rsid w:val="000C4EB3"/>
    <w:rsid w:val="000C4EEA"/>
    <w:rsid w:val="000C5159"/>
    <w:rsid w:val="000C5443"/>
    <w:rsid w:val="000C54C7"/>
    <w:rsid w:val="000C5AB2"/>
    <w:rsid w:val="000C5B17"/>
    <w:rsid w:val="000C5B20"/>
    <w:rsid w:val="000C5B59"/>
    <w:rsid w:val="000C5BD0"/>
    <w:rsid w:val="000C5C49"/>
    <w:rsid w:val="000C5D98"/>
    <w:rsid w:val="000C5E3E"/>
    <w:rsid w:val="000C5FF1"/>
    <w:rsid w:val="000C62BB"/>
    <w:rsid w:val="000C64B9"/>
    <w:rsid w:val="000C667F"/>
    <w:rsid w:val="000C66F5"/>
    <w:rsid w:val="000C67E6"/>
    <w:rsid w:val="000C68C7"/>
    <w:rsid w:val="000C68FA"/>
    <w:rsid w:val="000C6939"/>
    <w:rsid w:val="000C6AE7"/>
    <w:rsid w:val="000C7111"/>
    <w:rsid w:val="000C718B"/>
    <w:rsid w:val="000C7253"/>
    <w:rsid w:val="000C72D2"/>
    <w:rsid w:val="000C73EE"/>
    <w:rsid w:val="000C7800"/>
    <w:rsid w:val="000C7BCB"/>
    <w:rsid w:val="000C7EE0"/>
    <w:rsid w:val="000D03E5"/>
    <w:rsid w:val="000D03EC"/>
    <w:rsid w:val="000D0884"/>
    <w:rsid w:val="000D0918"/>
    <w:rsid w:val="000D0A86"/>
    <w:rsid w:val="000D0CCC"/>
    <w:rsid w:val="000D0CCD"/>
    <w:rsid w:val="000D0CD9"/>
    <w:rsid w:val="000D0D05"/>
    <w:rsid w:val="000D11AD"/>
    <w:rsid w:val="000D12F0"/>
    <w:rsid w:val="000D13E1"/>
    <w:rsid w:val="000D14BF"/>
    <w:rsid w:val="000D1798"/>
    <w:rsid w:val="000D1877"/>
    <w:rsid w:val="000D18E9"/>
    <w:rsid w:val="000D1AB6"/>
    <w:rsid w:val="000D1AC1"/>
    <w:rsid w:val="000D1C3D"/>
    <w:rsid w:val="000D1F12"/>
    <w:rsid w:val="000D2164"/>
    <w:rsid w:val="000D22D1"/>
    <w:rsid w:val="000D232D"/>
    <w:rsid w:val="000D2681"/>
    <w:rsid w:val="000D2849"/>
    <w:rsid w:val="000D28B1"/>
    <w:rsid w:val="000D2E01"/>
    <w:rsid w:val="000D2E94"/>
    <w:rsid w:val="000D2EAA"/>
    <w:rsid w:val="000D2F14"/>
    <w:rsid w:val="000D2F16"/>
    <w:rsid w:val="000D31FD"/>
    <w:rsid w:val="000D322A"/>
    <w:rsid w:val="000D3277"/>
    <w:rsid w:val="000D32A1"/>
    <w:rsid w:val="000D34B8"/>
    <w:rsid w:val="000D3624"/>
    <w:rsid w:val="000D3652"/>
    <w:rsid w:val="000D377B"/>
    <w:rsid w:val="000D379C"/>
    <w:rsid w:val="000D3882"/>
    <w:rsid w:val="000D3A5D"/>
    <w:rsid w:val="000D3A86"/>
    <w:rsid w:val="000D3CE1"/>
    <w:rsid w:val="000D3DE1"/>
    <w:rsid w:val="000D3F1B"/>
    <w:rsid w:val="000D3FD4"/>
    <w:rsid w:val="000D4010"/>
    <w:rsid w:val="000D44C0"/>
    <w:rsid w:val="000D45BB"/>
    <w:rsid w:val="000D4609"/>
    <w:rsid w:val="000D47B0"/>
    <w:rsid w:val="000D4824"/>
    <w:rsid w:val="000D4914"/>
    <w:rsid w:val="000D4BC3"/>
    <w:rsid w:val="000D4CA9"/>
    <w:rsid w:val="000D4D2E"/>
    <w:rsid w:val="000D50E3"/>
    <w:rsid w:val="000D523D"/>
    <w:rsid w:val="000D5258"/>
    <w:rsid w:val="000D5716"/>
    <w:rsid w:val="000D579E"/>
    <w:rsid w:val="000D5865"/>
    <w:rsid w:val="000D58A8"/>
    <w:rsid w:val="000D58CC"/>
    <w:rsid w:val="000D597E"/>
    <w:rsid w:val="000D59D6"/>
    <w:rsid w:val="000D5D28"/>
    <w:rsid w:val="000D5E1E"/>
    <w:rsid w:val="000D6116"/>
    <w:rsid w:val="000D6144"/>
    <w:rsid w:val="000D63F0"/>
    <w:rsid w:val="000D6541"/>
    <w:rsid w:val="000D67C0"/>
    <w:rsid w:val="000D67E7"/>
    <w:rsid w:val="000D689D"/>
    <w:rsid w:val="000D694A"/>
    <w:rsid w:val="000D6ABE"/>
    <w:rsid w:val="000D6BD0"/>
    <w:rsid w:val="000D6E30"/>
    <w:rsid w:val="000D7245"/>
    <w:rsid w:val="000D7363"/>
    <w:rsid w:val="000D740E"/>
    <w:rsid w:val="000D74C4"/>
    <w:rsid w:val="000D74D3"/>
    <w:rsid w:val="000D754E"/>
    <w:rsid w:val="000D75EB"/>
    <w:rsid w:val="000D7722"/>
    <w:rsid w:val="000D7805"/>
    <w:rsid w:val="000D79AC"/>
    <w:rsid w:val="000D7AD3"/>
    <w:rsid w:val="000D7C89"/>
    <w:rsid w:val="000D7EF7"/>
    <w:rsid w:val="000D7FF1"/>
    <w:rsid w:val="000E011A"/>
    <w:rsid w:val="000E0192"/>
    <w:rsid w:val="000E01B8"/>
    <w:rsid w:val="000E05EA"/>
    <w:rsid w:val="000E08FF"/>
    <w:rsid w:val="000E0A3E"/>
    <w:rsid w:val="000E0EDA"/>
    <w:rsid w:val="000E0FF3"/>
    <w:rsid w:val="000E10CB"/>
    <w:rsid w:val="000E11A1"/>
    <w:rsid w:val="000E14B3"/>
    <w:rsid w:val="000E160E"/>
    <w:rsid w:val="000E174E"/>
    <w:rsid w:val="000E1AE6"/>
    <w:rsid w:val="000E1AE7"/>
    <w:rsid w:val="000E1BCF"/>
    <w:rsid w:val="000E1DEC"/>
    <w:rsid w:val="000E1DFD"/>
    <w:rsid w:val="000E1E20"/>
    <w:rsid w:val="000E1FC8"/>
    <w:rsid w:val="000E20EA"/>
    <w:rsid w:val="000E250E"/>
    <w:rsid w:val="000E2560"/>
    <w:rsid w:val="000E25C1"/>
    <w:rsid w:val="000E26B6"/>
    <w:rsid w:val="000E2A14"/>
    <w:rsid w:val="000E2AAA"/>
    <w:rsid w:val="000E2DBE"/>
    <w:rsid w:val="000E2E70"/>
    <w:rsid w:val="000E319B"/>
    <w:rsid w:val="000E3282"/>
    <w:rsid w:val="000E3713"/>
    <w:rsid w:val="000E372E"/>
    <w:rsid w:val="000E3810"/>
    <w:rsid w:val="000E3B20"/>
    <w:rsid w:val="000E3C29"/>
    <w:rsid w:val="000E3CD3"/>
    <w:rsid w:val="000E3E78"/>
    <w:rsid w:val="000E3E85"/>
    <w:rsid w:val="000E3F6A"/>
    <w:rsid w:val="000E4332"/>
    <w:rsid w:val="000E4362"/>
    <w:rsid w:val="000E438A"/>
    <w:rsid w:val="000E4506"/>
    <w:rsid w:val="000E455A"/>
    <w:rsid w:val="000E4571"/>
    <w:rsid w:val="000E4683"/>
    <w:rsid w:val="000E4734"/>
    <w:rsid w:val="000E47B5"/>
    <w:rsid w:val="000E48E1"/>
    <w:rsid w:val="000E4927"/>
    <w:rsid w:val="000E4A51"/>
    <w:rsid w:val="000E4AD3"/>
    <w:rsid w:val="000E4CF4"/>
    <w:rsid w:val="000E4D94"/>
    <w:rsid w:val="000E5216"/>
    <w:rsid w:val="000E5261"/>
    <w:rsid w:val="000E52A3"/>
    <w:rsid w:val="000E539A"/>
    <w:rsid w:val="000E54DB"/>
    <w:rsid w:val="000E5714"/>
    <w:rsid w:val="000E59DA"/>
    <w:rsid w:val="000E5BFB"/>
    <w:rsid w:val="000E5C9B"/>
    <w:rsid w:val="000E5FCD"/>
    <w:rsid w:val="000E6058"/>
    <w:rsid w:val="000E63E7"/>
    <w:rsid w:val="000E68B1"/>
    <w:rsid w:val="000E68C3"/>
    <w:rsid w:val="000E6C6B"/>
    <w:rsid w:val="000E6CDA"/>
    <w:rsid w:val="000E6F34"/>
    <w:rsid w:val="000E72F3"/>
    <w:rsid w:val="000E7595"/>
    <w:rsid w:val="000E764A"/>
    <w:rsid w:val="000E76E2"/>
    <w:rsid w:val="000E7870"/>
    <w:rsid w:val="000E78A3"/>
    <w:rsid w:val="000E78D6"/>
    <w:rsid w:val="000E7A23"/>
    <w:rsid w:val="000E7B87"/>
    <w:rsid w:val="000E7BEA"/>
    <w:rsid w:val="000F0481"/>
    <w:rsid w:val="000F0546"/>
    <w:rsid w:val="000F08FE"/>
    <w:rsid w:val="000F0E6A"/>
    <w:rsid w:val="000F0F82"/>
    <w:rsid w:val="000F1048"/>
    <w:rsid w:val="000F10CE"/>
    <w:rsid w:val="000F11CF"/>
    <w:rsid w:val="000F11D7"/>
    <w:rsid w:val="000F13B3"/>
    <w:rsid w:val="000F161B"/>
    <w:rsid w:val="000F167A"/>
    <w:rsid w:val="000F16A8"/>
    <w:rsid w:val="000F1732"/>
    <w:rsid w:val="000F17A7"/>
    <w:rsid w:val="000F1801"/>
    <w:rsid w:val="000F1DBE"/>
    <w:rsid w:val="000F210C"/>
    <w:rsid w:val="000F2217"/>
    <w:rsid w:val="000F22D8"/>
    <w:rsid w:val="000F248D"/>
    <w:rsid w:val="000F2559"/>
    <w:rsid w:val="000F2770"/>
    <w:rsid w:val="000F29AB"/>
    <w:rsid w:val="000F2B4A"/>
    <w:rsid w:val="000F2B65"/>
    <w:rsid w:val="000F2BA6"/>
    <w:rsid w:val="000F2BC9"/>
    <w:rsid w:val="000F2C0B"/>
    <w:rsid w:val="000F2D01"/>
    <w:rsid w:val="000F2DCF"/>
    <w:rsid w:val="000F2EAD"/>
    <w:rsid w:val="000F3065"/>
    <w:rsid w:val="000F3171"/>
    <w:rsid w:val="000F31A8"/>
    <w:rsid w:val="000F31C4"/>
    <w:rsid w:val="000F3771"/>
    <w:rsid w:val="000F3909"/>
    <w:rsid w:val="000F3912"/>
    <w:rsid w:val="000F3DA7"/>
    <w:rsid w:val="000F3F3A"/>
    <w:rsid w:val="000F41AE"/>
    <w:rsid w:val="000F48E8"/>
    <w:rsid w:val="000F493D"/>
    <w:rsid w:val="000F4D25"/>
    <w:rsid w:val="000F545D"/>
    <w:rsid w:val="000F54E3"/>
    <w:rsid w:val="000F54FA"/>
    <w:rsid w:val="000F5504"/>
    <w:rsid w:val="000F552B"/>
    <w:rsid w:val="000F5563"/>
    <w:rsid w:val="000F55A0"/>
    <w:rsid w:val="000F58F1"/>
    <w:rsid w:val="000F5B0F"/>
    <w:rsid w:val="000F5DB7"/>
    <w:rsid w:val="000F5DBF"/>
    <w:rsid w:val="000F5E30"/>
    <w:rsid w:val="000F5E9B"/>
    <w:rsid w:val="000F6E63"/>
    <w:rsid w:val="000F6FBC"/>
    <w:rsid w:val="000F6FF7"/>
    <w:rsid w:val="000F7257"/>
    <w:rsid w:val="000F72E5"/>
    <w:rsid w:val="000F7402"/>
    <w:rsid w:val="000F764B"/>
    <w:rsid w:val="000F7A48"/>
    <w:rsid w:val="000F7D05"/>
    <w:rsid w:val="000F7F05"/>
    <w:rsid w:val="001003FE"/>
    <w:rsid w:val="001004D6"/>
    <w:rsid w:val="00100530"/>
    <w:rsid w:val="001005E1"/>
    <w:rsid w:val="00100873"/>
    <w:rsid w:val="00100E2F"/>
    <w:rsid w:val="00100EE8"/>
    <w:rsid w:val="00100FFF"/>
    <w:rsid w:val="001016D1"/>
    <w:rsid w:val="001016DA"/>
    <w:rsid w:val="0010179B"/>
    <w:rsid w:val="001019A3"/>
    <w:rsid w:val="00101A7D"/>
    <w:rsid w:val="00101A9A"/>
    <w:rsid w:val="00101C2B"/>
    <w:rsid w:val="00101EA1"/>
    <w:rsid w:val="00101EA8"/>
    <w:rsid w:val="00101EB9"/>
    <w:rsid w:val="001020CE"/>
    <w:rsid w:val="001023A1"/>
    <w:rsid w:val="001025C5"/>
    <w:rsid w:val="001027DB"/>
    <w:rsid w:val="001028A6"/>
    <w:rsid w:val="00102AAD"/>
    <w:rsid w:val="00102B73"/>
    <w:rsid w:val="00102BB0"/>
    <w:rsid w:val="00102DB5"/>
    <w:rsid w:val="00102E56"/>
    <w:rsid w:val="00102EDA"/>
    <w:rsid w:val="00103089"/>
    <w:rsid w:val="001032EF"/>
    <w:rsid w:val="0010337F"/>
    <w:rsid w:val="001033CB"/>
    <w:rsid w:val="0010349E"/>
    <w:rsid w:val="001034CB"/>
    <w:rsid w:val="00103510"/>
    <w:rsid w:val="00103585"/>
    <w:rsid w:val="001035E0"/>
    <w:rsid w:val="001038B0"/>
    <w:rsid w:val="00103A13"/>
    <w:rsid w:val="00103C29"/>
    <w:rsid w:val="00103CA5"/>
    <w:rsid w:val="00103CCE"/>
    <w:rsid w:val="00104060"/>
    <w:rsid w:val="001041F4"/>
    <w:rsid w:val="0010436A"/>
    <w:rsid w:val="001044DA"/>
    <w:rsid w:val="001044E8"/>
    <w:rsid w:val="0010465F"/>
    <w:rsid w:val="00104675"/>
    <w:rsid w:val="00104AC5"/>
    <w:rsid w:val="00104AF4"/>
    <w:rsid w:val="00104B32"/>
    <w:rsid w:val="00104C5D"/>
    <w:rsid w:val="00104FF1"/>
    <w:rsid w:val="00105122"/>
    <w:rsid w:val="00105181"/>
    <w:rsid w:val="001052F0"/>
    <w:rsid w:val="00105571"/>
    <w:rsid w:val="001057BC"/>
    <w:rsid w:val="00105925"/>
    <w:rsid w:val="00105A57"/>
    <w:rsid w:val="00105BD0"/>
    <w:rsid w:val="00105CC7"/>
    <w:rsid w:val="00105DB5"/>
    <w:rsid w:val="00105E07"/>
    <w:rsid w:val="0010634C"/>
    <w:rsid w:val="00106369"/>
    <w:rsid w:val="00106438"/>
    <w:rsid w:val="00106679"/>
    <w:rsid w:val="001067C4"/>
    <w:rsid w:val="001067E5"/>
    <w:rsid w:val="001067EE"/>
    <w:rsid w:val="001067F7"/>
    <w:rsid w:val="00106874"/>
    <w:rsid w:val="00106B7F"/>
    <w:rsid w:val="00106BE3"/>
    <w:rsid w:val="00106E81"/>
    <w:rsid w:val="00106F79"/>
    <w:rsid w:val="00107049"/>
    <w:rsid w:val="001070AA"/>
    <w:rsid w:val="0010750A"/>
    <w:rsid w:val="00107724"/>
    <w:rsid w:val="00107756"/>
    <w:rsid w:val="00107A71"/>
    <w:rsid w:val="00107C3C"/>
    <w:rsid w:val="00107E9F"/>
    <w:rsid w:val="00107ED7"/>
    <w:rsid w:val="00110125"/>
    <w:rsid w:val="00110781"/>
    <w:rsid w:val="0011083A"/>
    <w:rsid w:val="00110A26"/>
    <w:rsid w:val="00110CCA"/>
    <w:rsid w:val="00110DCF"/>
    <w:rsid w:val="00110DE2"/>
    <w:rsid w:val="00110FDE"/>
    <w:rsid w:val="00111128"/>
    <w:rsid w:val="0011131B"/>
    <w:rsid w:val="00111380"/>
    <w:rsid w:val="00111387"/>
    <w:rsid w:val="001113F4"/>
    <w:rsid w:val="0011141F"/>
    <w:rsid w:val="00111744"/>
    <w:rsid w:val="001117AC"/>
    <w:rsid w:val="0011198B"/>
    <w:rsid w:val="00111C98"/>
    <w:rsid w:val="00112090"/>
    <w:rsid w:val="001121F8"/>
    <w:rsid w:val="00112355"/>
    <w:rsid w:val="001124E2"/>
    <w:rsid w:val="00112559"/>
    <w:rsid w:val="001125E8"/>
    <w:rsid w:val="001128B6"/>
    <w:rsid w:val="00112982"/>
    <w:rsid w:val="00112A04"/>
    <w:rsid w:val="00112ADE"/>
    <w:rsid w:val="00112C6E"/>
    <w:rsid w:val="00112F7C"/>
    <w:rsid w:val="00112F98"/>
    <w:rsid w:val="00113460"/>
    <w:rsid w:val="00113531"/>
    <w:rsid w:val="0011370D"/>
    <w:rsid w:val="00113742"/>
    <w:rsid w:val="00113832"/>
    <w:rsid w:val="00113884"/>
    <w:rsid w:val="00113A64"/>
    <w:rsid w:val="00113ADD"/>
    <w:rsid w:val="00113B03"/>
    <w:rsid w:val="00113CB4"/>
    <w:rsid w:val="00113D1B"/>
    <w:rsid w:val="00113F15"/>
    <w:rsid w:val="0011414D"/>
    <w:rsid w:val="00114150"/>
    <w:rsid w:val="00114158"/>
    <w:rsid w:val="001146AD"/>
    <w:rsid w:val="001147F1"/>
    <w:rsid w:val="001149FA"/>
    <w:rsid w:val="00114E40"/>
    <w:rsid w:val="00114ED7"/>
    <w:rsid w:val="00114EF0"/>
    <w:rsid w:val="0011530F"/>
    <w:rsid w:val="00115347"/>
    <w:rsid w:val="001153EF"/>
    <w:rsid w:val="0011576E"/>
    <w:rsid w:val="0011578E"/>
    <w:rsid w:val="001157B6"/>
    <w:rsid w:val="0011593D"/>
    <w:rsid w:val="001159C2"/>
    <w:rsid w:val="00115A90"/>
    <w:rsid w:val="00115B35"/>
    <w:rsid w:val="00115B54"/>
    <w:rsid w:val="00115CFF"/>
    <w:rsid w:val="00115DF7"/>
    <w:rsid w:val="00115EAB"/>
    <w:rsid w:val="00116166"/>
    <w:rsid w:val="00116302"/>
    <w:rsid w:val="001163B1"/>
    <w:rsid w:val="00116439"/>
    <w:rsid w:val="0011675F"/>
    <w:rsid w:val="001167AD"/>
    <w:rsid w:val="001167C0"/>
    <w:rsid w:val="001167D3"/>
    <w:rsid w:val="001167E9"/>
    <w:rsid w:val="00116826"/>
    <w:rsid w:val="00116868"/>
    <w:rsid w:val="0011688F"/>
    <w:rsid w:val="001168F6"/>
    <w:rsid w:val="00116968"/>
    <w:rsid w:val="00116B1D"/>
    <w:rsid w:val="00116E15"/>
    <w:rsid w:val="00117089"/>
    <w:rsid w:val="001170D0"/>
    <w:rsid w:val="0011712F"/>
    <w:rsid w:val="001173A7"/>
    <w:rsid w:val="0011744E"/>
    <w:rsid w:val="001174E4"/>
    <w:rsid w:val="00117719"/>
    <w:rsid w:val="00117807"/>
    <w:rsid w:val="00117842"/>
    <w:rsid w:val="001179B1"/>
    <w:rsid w:val="00117AF4"/>
    <w:rsid w:val="00117B14"/>
    <w:rsid w:val="00117B28"/>
    <w:rsid w:val="00117D1A"/>
    <w:rsid w:val="00117E7D"/>
    <w:rsid w:val="00117F1A"/>
    <w:rsid w:val="00117F33"/>
    <w:rsid w:val="001200B9"/>
    <w:rsid w:val="001200FB"/>
    <w:rsid w:val="001201D4"/>
    <w:rsid w:val="001202BD"/>
    <w:rsid w:val="0012079B"/>
    <w:rsid w:val="001208DB"/>
    <w:rsid w:val="00120CD6"/>
    <w:rsid w:val="00121008"/>
    <w:rsid w:val="0012109F"/>
    <w:rsid w:val="001210C6"/>
    <w:rsid w:val="001210D9"/>
    <w:rsid w:val="0012110C"/>
    <w:rsid w:val="00121173"/>
    <w:rsid w:val="00121254"/>
    <w:rsid w:val="00121349"/>
    <w:rsid w:val="00121391"/>
    <w:rsid w:val="0012143A"/>
    <w:rsid w:val="00121496"/>
    <w:rsid w:val="00121AE5"/>
    <w:rsid w:val="00121FBF"/>
    <w:rsid w:val="001220E1"/>
    <w:rsid w:val="001223CD"/>
    <w:rsid w:val="00122625"/>
    <w:rsid w:val="00122667"/>
    <w:rsid w:val="0012287B"/>
    <w:rsid w:val="001229E2"/>
    <w:rsid w:val="00122A59"/>
    <w:rsid w:val="00122EE7"/>
    <w:rsid w:val="001230BD"/>
    <w:rsid w:val="00123478"/>
    <w:rsid w:val="00123611"/>
    <w:rsid w:val="001236BD"/>
    <w:rsid w:val="001237C5"/>
    <w:rsid w:val="001237ED"/>
    <w:rsid w:val="0012389D"/>
    <w:rsid w:val="001238DE"/>
    <w:rsid w:val="00123905"/>
    <w:rsid w:val="00123956"/>
    <w:rsid w:val="00123B21"/>
    <w:rsid w:val="00123B8A"/>
    <w:rsid w:val="00123D4E"/>
    <w:rsid w:val="00123DEA"/>
    <w:rsid w:val="001242F5"/>
    <w:rsid w:val="001243F1"/>
    <w:rsid w:val="00124443"/>
    <w:rsid w:val="0012451E"/>
    <w:rsid w:val="0012455F"/>
    <w:rsid w:val="001245C5"/>
    <w:rsid w:val="001245F6"/>
    <w:rsid w:val="0012468B"/>
    <w:rsid w:val="0012468C"/>
    <w:rsid w:val="001246FE"/>
    <w:rsid w:val="001247D1"/>
    <w:rsid w:val="00124A7D"/>
    <w:rsid w:val="00124A8E"/>
    <w:rsid w:val="00124BE6"/>
    <w:rsid w:val="00124E49"/>
    <w:rsid w:val="00124FE5"/>
    <w:rsid w:val="001251AE"/>
    <w:rsid w:val="00125233"/>
    <w:rsid w:val="001252D7"/>
    <w:rsid w:val="001253BA"/>
    <w:rsid w:val="001255E1"/>
    <w:rsid w:val="00125603"/>
    <w:rsid w:val="0012562A"/>
    <w:rsid w:val="00125A43"/>
    <w:rsid w:val="00125B81"/>
    <w:rsid w:val="00125D04"/>
    <w:rsid w:val="00126069"/>
    <w:rsid w:val="0012607B"/>
    <w:rsid w:val="001261F8"/>
    <w:rsid w:val="00126495"/>
    <w:rsid w:val="001264EE"/>
    <w:rsid w:val="001266F4"/>
    <w:rsid w:val="001267E2"/>
    <w:rsid w:val="00126C53"/>
    <w:rsid w:val="00126CC9"/>
    <w:rsid w:val="00126D73"/>
    <w:rsid w:val="00126DCE"/>
    <w:rsid w:val="001271AE"/>
    <w:rsid w:val="00127832"/>
    <w:rsid w:val="0012788E"/>
    <w:rsid w:val="00127985"/>
    <w:rsid w:val="00127B2F"/>
    <w:rsid w:val="00127DB7"/>
    <w:rsid w:val="00127F19"/>
    <w:rsid w:val="00127FBA"/>
    <w:rsid w:val="0013000A"/>
    <w:rsid w:val="00130049"/>
    <w:rsid w:val="00130083"/>
    <w:rsid w:val="001300D3"/>
    <w:rsid w:val="001301BE"/>
    <w:rsid w:val="0013063D"/>
    <w:rsid w:val="001306F5"/>
    <w:rsid w:val="00130873"/>
    <w:rsid w:val="00130AAA"/>
    <w:rsid w:val="00130D26"/>
    <w:rsid w:val="00130EFE"/>
    <w:rsid w:val="001310B2"/>
    <w:rsid w:val="00131344"/>
    <w:rsid w:val="001318B5"/>
    <w:rsid w:val="00131941"/>
    <w:rsid w:val="0013194A"/>
    <w:rsid w:val="00131A83"/>
    <w:rsid w:val="00131B17"/>
    <w:rsid w:val="00131BA6"/>
    <w:rsid w:val="00131CA1"/>
    <w:rsid w:val="00131E27"/>
    <w:rsid w:val="0013226E"/>
    <w:rsid w:val="00132724"/>
    <w:rsid w:val="001329A7"/>
    <w:rsid w:val="00132B00"/>
    <w:rsid w:val="00132C48"/>
    <w:rsid w:val="00133136"/>
    <w:rsid w:val="0013320C"/>
    <w:rsid w:val="0013329B"/>
    <w:rsid w:val="001334E3"/>
    <w:rsid w:val="00133536"/>
    <w:rsid w:val="00133597"/>
    <w:rsid w:val="001336A8"/>
    <w:rsid w:val="001336FE"/>
    <w:rsid w:val="00133865"/>
    <w:rsid w:val="00133908"/>
    <w:rsid w:val="00133934"/>
    <w:rsid w:val="001339D9"/>
    <w:rsid w:val="00133A85"/>
    <w:rsid w:val="00133A87"/>
    <w:rsid w:val="00133AC1"/>
    <w:rsid w:val="00133B59"/>
    <w:rsid w:val="00133B69"/>
    <w:rsid w:val="00133D53"/>
    <w:rsid w:val="00133E4B"/>
    <w:rsid w:val="00133F77"/>
    <w:rsid w:val="00133FCD"/>
    <w:rsid w:val="00133FE1"/>
    <w:rsid w:val="001343A7"/>
    <w:rsid w:val="00134408"/>
    <w:rsid w:val="00134785"/>
    <w:rsid w:val="00134AAE"/>
    <w:rsid w:val="00134CE4"/>
    <w:rsid w:val="00134ED1"/>
    <w:rsid w:val="00135026"/>
    <w:rsid w:val="001352CC"/>
    <w:rsid w:val="00135716"/>
    <w:rsid w:val="0013579A"/>
    <w:rsid w:val="00135894"/>
    <w:rsid w:val="001359F7"/>
    <w:rsid w:val="00135CA6"/>
    <w:rsid w:val="00135D63"/>
    <w:rsid w:val="00135E3D"/>
    <w:rsid w:val="00135FEB"/>
    <w:rsid w:val="0013609A"/>
    <w:rsid w:val="0013622A"/>
    <w:rsid w:val="0013626F"/>
    <w:rsid w:val="001362D2"/>
    <w:rsid w:val="0013634A"/>
    <w:rsid w:val="001369DE"/>
    <w:rsid w:val="00136D3B"/>
    <w:rsid w:val="00136E6B"/>
    <w:rsid w:val="00136EF8"/>
    <w:rsid w:val="0013708C"/>
    <w:rsid w:val="001372D9"/>
    <w:rsid w:val="001373B6"/>
    <w:rsid w:val="0013745A"/>
    <w:rsid w:val="0013769F"/>
    <w:rsid w:val="00137A8B"/>
    <w:rsid w:val="00137B63"/>
    <w:rsid w:val="00140139"/>
    <w:rsid w:val="001402B8"/>
    <w:rsid w:val="0014049F"/>
    <w:rsid w:val="001404A7"/>
    <w:rsid w:val="001404BE"/>
    <w:rsid w:val="00140604"/>
    <w:rsid w:val="001409D1"/>
    <w:rsid w:val="00140A74"/>
    <w:rsid w:val="00141168"/>
    <w:rsid w:val="00141193"/>
    <w:rsid w:val="0014170A"/>
    <w:rsid w:val="00141CCB"/>
    <w:rsid w:val="00141D1D"/>
    <w:rsid w:val="00141D7F"/>
    <w:rsid w:val="00141DED"/>
    <w:rsid w:val="00141EFA"/>
    <w:rsid w:val="00141FC3"/>
    <w:rsid w:val="00141FEA"/>
    <w:rsid w:val="00142188"/>
    <w:rsid w:val="00142201"/>
    <w:rsid w:val="001422DF"/>
    <w:rsid w:val="00142300"/>
    <w:rsid w:val="0014238A"/>
    <w:rsid w:val="001425BC"/>
    <w:rsid w:val="00142835"/>
    <w:rsid w:val="00142923"/>
    <w:rsid w:val="001429EC"/>
    <w:rsid w:val="00142B78"/>
    <w:rsid w:val="00142BAB"/>
    <w:rsid w:val="00142FC3"/>
    <w:rsid w:val="001431BC"/>
    <w:rsid w:val="001431E1"/>
    <w:rsid w:val="001432AC"/>
    <w:rsid w:val="0014341A"/>
    <w:rsid w:val="00143583"/>
    <w:rsid w:val="0014361D"/>
    <w:rsid w:val="0014369F"/>
    <w:rsid w:val="001439DC"/>
    <w:rsid w:val="00143A1C"/>
    <w:rsid w:val="00143B85"/>
    <w:rsid w:val="00143E0A"/>
    <w:rsid w:val="00143EAB"/>
    <w:rsid w:val="00143FBB"/>
    <w:rsid w:val="001440B4"/>
    <w:rsid w:val="001441C8"/>
    <w:rsid w:val="0014457E"/>
    <w:rsid w:val="001445C6"/>
    <w:rsid w:val="001446C3"/>
    <w:rsid w:val="00144702"/>
    <w:rsid w:val="00144802"/>
    <w:rsid w:val="00144A4B"/>
    <w:rsid w:val="00144A64"/>
    <w:rsid w:val="00144AE6"/>
    <w:rsid w:val="00144B4F"/>
    <w:rsid w:val="00144D7B"/>
    <w:rsid w:val="00144D8E"/>
    <w:rsid w:val="00144E3F"/>
    <w:rsid w:val="00144ED4"/>
    <w:rsid w:val="00144F35"/>
    <w:rsid w:val="00145076"/>
    <w:rsid w:val="00145090"/>
    <w:rsid w:val="00145253"/>
    <w:rsid w:val="001455BE"/>
    <w:rsid w:val="001456B2"/>
    <w:rsid w:val="001457D7"/>
    <w:rsid w:val="00145A65"/>
    <w:rsid w:val="00145B29"/>
    <w:rsid w:val="00146049"/>
    <w:rsid w:val="0014631E"/>
    <w:rsid w:val="00146391"/>
    <w:rsid w:val="001463E9"/>
    <w:rsid w:val="001464A2"/>
    <w:rsid w:val="00146584"/>
    <w:rsid w:val="001466A4"/>
    <w:rsid w:val="001466DB"/>
    <w:rsid w:val="00146995"/>
    <w:rsid w:val="00146AF6"/>
    <w:rsid w:val="00146C7D"/>
    <w:rsid w:val="00147094"/>
    <w:rsid w:val="001470D7"/>
    <w:rsid w:val="0014715E"/>
    <w:rsid w:val="00147172"/>
    <w:rsid w:val="00147206"/>
    <w:rsid w:val="00147281"/>
    <w:rsid w:val="00147577"/>
    <w:rsid w:val="00147594"/>
    <w:rsid w:val="00147732"/>
    <w:rsid w:val="001477E0"/>
    <w:rsid w:val="00147B3F"/>
    <w:rsid w:val="00147B5E"/>
    <w:rsid w:val="00147BEC"/>
    <w:rsid w:val="00147D1B"/>
    <w:rsid w:val="00147E22"/>
    <w:rsid w:val="001502DF"/>
    <w:rsid w:val="001504E9"/>
    <w:rsid w:val="00150517"/>
    <w:rsid w:val="00150566"/>
    <w:rsid w:val="00150666"/>
    <w:rsid w:val="00150977"/>
    <w:rsid w:val="001509E4"/>
    <w:rsid w:val="00150B37"/>
    <w:rsid w:val="00150B64"/>
    <w:rsid w:val="00150BD0"/>
    <w:rsid w:val="00150CE1"/>
    <w:rsid w:val="00150CFA"/>
    <w:rsid w:val="00150DD0"/>
    <w:rsid w:val="00150DF8"/>
    <w:rsid w:val="00150EA6"/>
    <w:rsid w:val="00150FA7"/>
    <w:rsid w:val="00151035"/>
    <w:rsid w:val="00151390"/>
    <w:rsid w:val="001513D4"/>
    <w:rsid w:val="00151402"/>
    <w:rsid w:val="001515B7"/>
    <w:rsid w:val="00151647"/>
    <w:rsid w:val="0015174E"/>
    <w:rsid w:val="0015187B"/>
    <w:rsid w:val="00151A06"/>
    <w:rsid w:val="00151C75"/>
    <w:rsid w:val="00151D86"/>
    <w:rsid w:val="00151E77"/>
    <w:rsid w:val="0015206C"/>
    <w:rsid w:val="001521D5"/>
    <w:rsid w:val="00152530"/>
    <w:rsid w:val="00152781"/>
    <w:rsid w:val="001529C6"/>
    <w:rsid w:val="00152A05"/>
    <w:rsid w:val="00152B98"/>
    <w:rsid w:val="00152BBF"/>
    <w:rsid w:val="00152E16"/>
    <w:rsid w:val="00152E32"/>
    <w:rsid w:val="00152ED3"/>
    <w:rsid w:val="001530F8"/>
    <w:rsid w:val="00153344"/>
    <w:rsid w:val="00153394"/>
    <w:rsid w:val="00153403"/>
    <w:rsid w:val="0015348D"/>
    <w:rsid w:val="00153496"/>
    <w:rsid w:val="001535FE"/>
    <w:rsid w:val="00153923"/>
    <w:rsid w:val="00153AA8"/>
    <w:rsid w:val="00153C02"/>
    <w:rsid w:val="00153D00"/>
    <w:rsid w:val="00154180"/>
    <w:rsid w:val="001542A6"/>
    <w:rsid w:val="001544A2"/>
    <w:rsid w:val="00154636"/>
    <w:rsid w:val="00154869"/>
    <w:rsid w:val="00154B3A"/>
    <w:rsid w:val="00154EB3"/>
    <w:rsid w:val="0015510B"/>
    <w:rsid w:val="0015578A"/>
    <w:rsid w:val="00155839"/>
    <w:rsid w:val="001558CD"/>
    <w:rsid w:val="00155910"/>
    <w:rsid w:val="00155AAC"/>
    <w:rsid w:val="00155B31"/>
    <w:rsid w:val="00155DC0"/>
    <w:rsid w:val="001561D7"/>
    <w:rsid w:val="001561E0"/>
    <w:rsid w:val="001567B6"/>
    <w:rsid w:val="001567D3"/>
    <w:rsid w:val="00156804"/>
    <w:rsid w:val="00156839"/>
    <w:rsid w:val="00156D93"/>
    <w:rsid w:val="00157399"/>
    <w:rsid w:val="00157548"/>
    <w:rsid w:val="0015763C"/>
    <w:rsid w:val="0015772B"/>
    <w:rsid w:val="00157791"/>
    <w:rsid w:val="001577FA"/>
    <w:rsid w:val="00157842"/>
    <w:rsid w:val="00157A69"/>
    <w:rsid w:val="00157B56"/>
    <w:rsid w:val="00157B7E"/>
    <w:rsid w:val="00157B99"/>
    <w:rsid w:val="00157CF6"/>
    <w:rsid w:val="00157DCA"/>
    <w:rsid w:val="00157DCF"/>
    <w:rsid w:val="00157E3B"/>
    <w:rsid w:val="00157F11"/>
    <w:rsid w:val="001601A0"/>
    <w:rsid w:val="001601C4"/>
    <w:rsid w:val="0016043B"/>
    <w:rsid w:val="00160707"/>
    <w:rsid w:val="00160796"/>
    <w:rsid w:val="0016087E"/>
    <w:rsid w:val="00160C29"/>
    <w:rsid w:val="00160E36"/>
    <w:rsid w:val="001610C4"/>
    <w:rsid w:val="001610D7"/>
    <w:rsid w:val="0016118F"/>
    <w:rsid w:val="001613E9"/>
    <w:rsid w:val="00161483"/>
    <w:rsid w:val="001615C1"/>
    <w:rsid w:val="00161688"/>
    <w:rsid w:val="001616A3"/>
    <w:rsid w:val="001616F2"/>
    <w:rsid w:val="00161877"/>
    <w:rsid w:val="001618DC"/>
    <w:rsid w:val="001618F7"/>
    <w:rsid w:val="00161A40"/>
    <w:rsid w:val="00161A70"/>
    <w:rsid w:val="00161B44"/>
    <w:rsid w:val="00161B96"/>
    <w:rsid w:val="00161C46"/>
    <w:rsid w:val="00161E19"/>
    <w:rsid w:val="00161EC3"/>
    <w:rsid w:val="00161F3F"/>
    <w:rsid w:val="00162135"/>
    <w:rsid w:val="00162259"/>
    <w:rsid w:val="001623BD"/>
    <w:rsid w:val="001625DD"/>
    <w:rsid w:val="00162878"/>
    <w:rsid w:val="00162986"/>
    <w:rsid w:val="00162BC0"/>
    <w:rsid w:val="00162E67"/>
    <w:rsid w:val="00162E94"/>
    <w:rsid w:val="00162F36"/>
    <w:rsid w:val="00162FFE"/>
    <w:rsid w:val="001631DE"/>
    <w:rsid w:val="001632DB"/>
    <w:rsid w:val="0016331A"/>
    <w:rsid w:val="001634A2"/>
    <w:rsid w:val="0016355F"/>
    <w:rsid w:val="0016376B"/>
    <w:rsid w:val="001639D8"/>
    <w:rsid w:val="00163B62"/>
    <w:rsid w:val="00163F5B"/>
    <w:rsid w:val="00164487"/>
    <w:rsid w:val="001645DB"/>
    <w:rsid w:val="001645E4"/>
    <w:rsid w:val="001648E8"/>
    <w:rsid w:val="001649B5"/>
    <w:rsid w:val="00164DCB"/>
    <w:rsid w:val="00164F66"/>
    <w:rsid w:val="001651B0"/>
    <w:rsid w:val="001651EC"/>
    <w:rsid w:val="001652B5"/>
    <w:rsid w:val="001655C6"/>
    <w:rsid w:val="001657D8"/>
    <w:rsid w:val="00165912"/>
    <w:rsid w:val="00165BAA"/>
    <w:rsid w:val="00165D99"/>
    <w:rsid w:val="00165E97"/>
    <w:rsid w:val="00165F63"/>
    <w:rsid w:val="00165F95"/>
    <w:rsid w:val="001661D3"/>
    <w:rsid w:val="0016627F"/>
    <w:rsid w:val="001662CA"/>
    <w:rsid w:val="0016634D"/>
    <w:rsid w:val="0016648F"/>
    <w:rsid w:val="001665C9"/>
    <w:rsid w:val="001668B8"/>
    <w:rsid w:val="001668CA"/>
    <w:rsid w:val="00166A56"/>
    <w:rsid w:val="00166A8C"/>
    <w:rsid w:val="00166B57"/>
    <w:rsid w:val="00166BD2"/>
    <w:rsid w:val="00166C14"/>
    <w:rsid w:val="00166D15"/>
    <w:rsid w:val="00166EBA"/>
    <w:rsid w:val="00166ECE"/>
    <w:rsid w:val="001670F7"/>
    <w:rsid w:val="00167124"/>
    <w:rsid w:val="00167197"/>
    <w:rsid w:val="00167411"/>
    <w:rsid w:val="0016758C"/>
    <w:rsid w:val="00167682"/>
    <w:rsid w:val="001676EC"/>
    <w:rsid w:val="001678C1"/>
    <w:rsid w:val="00167909"/>
    <w:rsid w:val="00167AC6"/>
    <w:rsid w:val="00167DDA"/>
    <w:rsid w:val="00167E25"/>
    <w:rsid w:val="00167FBC"/>
    <w:rsid w:val="001701F9"/>
    <w:rsid w:val="0017056C"/>
    <w:rsid w:val="0017073D"/>
    <w:rsid w:val="00170775"/>
    <w:rsid w:val="00170848"/>
    <w:rsid w:val="00170A32"/>
    <w:rsid w:val="00170A73"/>
    <w:rsid w:val="00170D5B"/>
    <w:rsid w:val="0017105E"/>
    <w:rsid w:val="00171154"/>
    <w:rsid w:val="0017123A"/>
    <w:rsid w:val="00171252"/>
    <w:rsid w:val="00171392"/>
    <w:rsid w:val="001717AA"/>
    <w:rsid w:val="00171953"/>
    <w:rsid w:val="00171C77"/>
    <w:rsid w:val="00171DA4"/>
    <w:rsid w:val="00171E8F"/>
    <w:rsid w:val="00172386"/>
    <w:rsid w:val="0017268F"/>
    <w:rsid w:val="001727AE"/>
    <w:rsid w:val="001727EA"/>
    <w:rsid w:val="001727EC"/>
    <w:rsid w:val="00172B54"/>
    <w:rsid w:val="00172CC3"/>
    <w:rsid w:val="0017305D"/>
    <w:rsid w:val="001730AA"/>
    <w:rsid w:val="001731B2"/>
    <w:rsid w:val="001731EA"/>
    <w:rsid w:val="0017326F"/>
    <w:rsid w:val="00173532"/>
    <w:rsid w:val="0017368C"/>
    <w:rsid w:val="0017377D"/>
    <w:rsid w:val="00173840"/>
    <w:rsid w:val="00173895"/>
    <w:rsid w:val="00173919"/>
    <w:rsid w:val="00173934"/>
    <w:rsid w:val="001739BE"/>
    <w:rsid w:val="00173BEB"/>
    <w:rsid w:val="00173FD3"/>
    <w:rsid w:val="0017407B"/>
    <w:rsid w:val="001740F8"/>
    <w:rsid w:val="0017419A"/>
    <w:rsid w:val="001741C6"/>
    <w:rsid w:val="001744A4"/>
    <w:rsid w:val="001744F9"/>
    <w:rsid w:val="00174508"/>
    <w:rsid w:val="001747E8"/>
    <w:rsid w:val="001748A3"/>
    <w:rsid w:val="00174C5B"/>
    <w:rsid w:val="00175122"/>
    <w:rsid w:val="00175376"/>
    <w:rsid w:val="001755A4"/>
    <w:rsid w:val="001755BF"/>
    <w:rsid w:val="00175621"/>
    <w:rsid w:val="001756A0"/>
    <w:rsid w:val="00175B3A"/>
    <w:rsid w:val="00175C1D"/>
    <w:rsid w:val="00175CFB"/>
    <w:rsid w:val="00175D7C"/>
    <w:rsid w:val="00175D99"/>
    <w:rsid w:val="00175E78"/>
    <w:rsid w:val="00175F32"/>
    <w:rsid w:val="00176041"/>
    <w:rsid w:val="001760CB"/>
    <w:rsid w:val="0017628A"/>
    <w:rsid w:val="001762CA"/>
    <w:rsid w:val="001762DA"/>
    <w:rsid w:val="0017647C"/>
    <w:rsid w:val="001765B8"/>
    <w:rsid w:val="0017666C"/>
    <w:rsid w:val="0017685D"/>
    <w:rsid w:val="0017694C"/>
    <w:rsid w:val="00176A01"/>
    <w:rsid w:val="00176A7D"/>
    <w:rsid w:val="00176BCC"/>
    <w:rsid w:val="00176C06"/>
    <w:rsid w:val="00176C8F"/>
    <w:rsid w:val="00176DC7"/>
    <w:rsid w:val="00176E92"/>
    <w:rsid w:val="00177276"/>
    <w:rsid w:val="001773CD"/>
    <w:rsid w:val="001773F2"/>
    <w:rsid w:val="00177542"/>
    <w:rsid w:val="00177574"/>
    <w:rsid w:val="001775F3"/>
    <w:rsid w:val="00177748"/>
    <w:rsid w:val="00177767"/>
    <w:rsid w:val="00177A24"/>
    <w:rsid w:val="00177A64"/>
    <w:rsid w:val="00177B86"/>
    <w:rsid w:val="00177DBB"/>
    <w:rsid w:val="00177E50"/>
    <w:rsid w:val="00177ED7"/>
    <w:rsid w:val="0018043E"/>
    <w:rsid w:val="00180917"/>
    <w:rsid w:val="00180C09"/>
    <w:rsid w:val="00180E6F"/>
    <w:rsid w:val="00180F67"/>
    <w:rsid w:val="00180FD8"/>
    <w:rsid w:val="00181017"/>
    <w:rsid w:val="00181335"/>
    <w:rsid w:val="00181421"/>
    <w:rsid w:val="0018147B"/>
    <w:rsid w:val="001816C5"/>
    <w:rsid w:val="00181936"/>
    <w:rsid w:val="00181AC2"/>
    <w:rsid w:val="00181C8F"/>
    <w:rsid w:val="00181D6F"/>
    <w:rsid w:val="00181F76"/>
    <w:rsid w:val="00181FB9"/>
    <w:rsid w:val="00181FCE"/>
    <w:rsid w:val="00182033"/>
    <w:rsid w:val="00182411"/>
    <w:rsid w:val="001824A3"/>
    <w:rsid w:val="001825CA"/>
    <w:rsid w:val="00182683"/>
    <w:rsid w:val="001826A1"/>
    <w:rsid w:val="00182B82"/>
    <w:rsid w:val="00182D7D"/>
    <w:rsid w:val="00182E31"/>
    <w:rsid w:val="00182F66"/>
    <w:rsid w:val="00182FC3"/>
    <w:rsid w:val="00182FCB"/>
    <w:rsid w:val="001832E8"/>
    <w:rsid w:val="0018337E"/>
    <w:rsid w:val="00183622"/>
    <w:rsid w:val="001836A0"/>
    <w:rsid w:val="0018385F"/>
    <w:rsid w:val="001838D4"/>
    <w:rsid w:val="00183BB9"/>
    <w:rsid w:val="00183EB2"/>
    <w:rsid w:val="001841A6"/>
    <w:rsid w:val="001842BA"/>
    <w:rsid w:val="001843B9"/>
    <w:rsid w:val="001846D2"/>
    <w:rsid w:val="001848FC"/>
    <w:rsid w:val="00184BEA"/>
    <w:rsid w:val="00184C1A"/>
    <w:rsid w:val="00184E1F"/>
    <w:rsid w:val="00184E9C"/>
    <w:rsid w:val="00184EE2"/>
    <w:rsid w:val="00184F3E"/>
    <w:rsid w:val="0018500C"/>
    <w:rsid w:val="00185084"/>
    <w:rsid w:val="001850FD"/>
    <w:rsid w:val="001851CA"/>
    <w:rsid w:val="00185640"/>
    <w:rsid w:val="001856A4"/>
    <w:rsid w:val="0018596B"/>
    <w:rsid w:val="00185AF4"/>
    <w:rsid w:val="00186017"/>
    <w:rsid w:val="0018614B"/>
    <w:rsid w:val="00186234"/>
    <w:rsid w:val="00186278"/>
    <w:rsid w:val="00186661"/>
    <w:rsid w:val="00186696"/>
    <w:rsid w:val="0018675A"/>
    <w:rsid w:val="00186814"/>
    <w:rsid w:val="001868A5"/>
    <w:rsid w:val="001868F5"/>
    <w:rsid w:val="00186B60"/>
    <w:rsid w:val="00186D5E"/>
    <w:rsid w:val="00186D87"/>
    <w:rsid w:val="00186DDC"/>
    <w:rsid w:val="00186E41"/>
    <w:rsid w:val="00186EEC"/>
    <w:rsid w:val="0018747C"/>
    <w:rsid w:val="0018752C"/>
    <w:rsid w:val="001877A8"/>
    <w:rsid w:val="00187995"/>
    <w:rsid w:val="00187A46"/>
    <w:rsid w:val="00187AB7"/>
    <w:rsid w:val="00187B47"/>
    <w:rsid w:val="00187CB4"/>
    <w:rsid w:val="00187FB2"/>
    <w:rsid w:val="001900C5"/>
    <w:rsid w:val="00190144"/>
    <w:rsid w:val="00190340"/>
    <w:rsid w:val="00190465"/>
    <w:rsid w:val="00190640"/>
    <w:rsid w:val="0019082A"/>
    <w:rsid w:val="001908ED"/>
    <w:rsid w:val="00190B34"/>
    <w:rsid w:val="00190B47"/>
    <w:rsid w:val="00190C6B"/>
    <w:rsid w:val="00190F55"/>
    <w:rsid w:val="00191163"/>
    <w:rsid w:val="00191195"/>
    <w:rsid w:val="0019135E"/>
    <w:rsid w:val="001913A5"/>
    <w:rsid w:val="001914FF"/>
    <w:rsid w:val="001915D9"/>
    <w:rsid w:val="001917EC"/>
    <w:rsid w:val="0019192E"/>
    <w:rsid w:val="0019196E"/>
    <w:rsid w:val="00191980"/>
    <w:rsid w:val="00191A67"/>
    <w:rsid w:val="00191D6C"/>
    <w:rsid w:val="00191E3A"/>
    <w:rsid w:val="00191EE7"/>
    <w:rsid w:val="00191F57"/>
    <w:rsid w:val="00191FAF"/>
    <w:rsid w:val="00192165"/>
    <w:rsid w:val="001921AF"/>
    <w:rsid w:val="0019221A"/>
    <w:rsid w:val="001926E3"/>
    <w:rsid w:val="00192764"/>
    <w:rsid w:val="001928E4"/>
    <w:rsid w:val="00192CA3"/>
    <w:rsid w:val="00192DFF"/>
    <w:rsid w:val="00192EE5"/>
    <w:rsid w:val="001930E0"/>
    <w:rsid w:val="001930E2"/>
    <w:rsid w:val="00193183"/>
    <w:rsid w:val="0019318C"/>
    <w:rsid w:val="001931AC"/>
    <w:rsid w:val="001936AF"/>
    <w:rsid w:val="001937EA"/>
    <w:rsid w:val="0019383A"/>
    <w:rsid w:val="0019383B"/>
    <w:rsid w:val="001938AF"/>
    <w:rsid w:val="001939BF"/>
    <w:rsid w:val="00193A1A"/>
    <w:rsid w:val="00193FBE"/>
    <w:rsid w:val="00194060"/>
    <w:rsid w:val="00194112"/>
    <w:rsid w:val="00194180"/>
    <w:rsid w:val="0019424B"/>
    <w:rsid w:val="00194361"/>
    <w:rsid w:val="001943B5"/>
    <w:rsid w:val="00194497"/>
    <w:rsid w:val="00194531"/>
    <w:rsid w:val="0019458C"/>
    <w:rsid w:val="001947AA"/>
    <w:rsid w:val="0019480A"/>
    <w:rsid w:val="00194873"/>
    <w:rsid w:val="0019494D"/>
    <w:rsid w:val="00194A93"/>
    <w:rsid w:val="00194B22"/>
    <w:rsid w:val="00194BC9"/>
    <w:rsid w:val="00194E23"/>
    <w:rsid w:val="00194EEA"/>
    <w:rsid w:val="00194F63"/>
    <w:rsid w:val="00195023"/>
    <w:rsid w:val="0019507E"/>
    <w:rsid w:val="0019518F"/>
    <w:rsid w:val="00195204"/>
    <w:rsid w:val="0019542E"/>
    <w:rsid w:val="00195514"/>
    <w:rsid w:val="0019580A"/>
    <w:rsid w:val="001959F3"/>
    <w:rsid w:val="00195AD3"/>
    <w:rsid w:val="00195ADA"/>
    <w:rsid w:val="00195C11"/>
    <w:rsid w:val="00196238"/>
    <w:rsid w:val="0019635D"/>
    <w:rsid w:val="0019643E"/>
    <w:rsid w:val="001964E7"/>
    <w:rsid w:val="00196578"/>
    <w:rsid w:val="00196601"/>
    <w:rsid w:val="00196901"/>
    <w:rsid w:val="00196A69"/>
    <w:rsid w:val="00196C1E"/>
    <w:rsid w:val="00196ED5"/>
    <w:rsid w:val="00196EE9"/>
    <w:rsid w:val="001970A6"/>
    <w:rsid w:val="00197215"/>
    <w:rsid w:val="0019727B"/>
    <w:rsid w:val="001972ED"/>
    <w:rsid w:val="00197307"/>
    <w:rsid w:val="001973EE"/>
    <w:rsid w:val="0019751A"/>
    <w:rsid w:val="00197563"/>
    <w:rsid w:val="001976ED"/>
    <w:rsid w:val="001979E8"/>
    <w:rsid w:val="00197AC3"/>
    <w:rsid w:val="00197FAE"/>
    <w:rsid w:val="001A01CA"/>
    <w:rsid w:val="001A01FE"/>
    <w:rsid w:val="001A026C"/>
    <w:rsid w:val="001A0320"/>
    <w:rsid w:val="001A034B"/>
    <w:rsid w:val="001A06A9"/>
    <w:rsid w:val="001A070A"/>
    <w:rsid w:val="001A0867"/>
    <w:rsid w:val="001A0939"/>
    <w:rsid w:val="001A0C3D"/>
    <w:rsid w:val="001A0C6F"/>
    <w:rsid w:val="001A0D11"/>
    <w:rsid w:val="001A0D4D"/>
    <w:rsid w:val="001A0E90"/>
    <w:rsid w:val="001A1279"/>
    <w:rsid w:val="001A13F8"/>
    <w:rsid w:val="001A15AB"/>
    <w:rsid w:val="001A1896"/>
    <w:rsid w:val="001A18C5"/>
    <w:rsid w:val="001A1942"/>
    <w:rsid w:val="001A195F"/>
    <w:rsid w:val="001A1A7D"/>
    <w:rsid w:val="001A1BF3"/>
    <w:rsid w:val="001A1C3B"/>
    <w:rsid w:val="001A1D17"/>
    <w:rsid w:val="001A1D36"/>
    <w:rsid w:val="001A1DD1"/>
    <w:rsid w:val="001A1F08"/>
    <w:rsid w:val="001A1F26"/>
    <w:rsid w:val="001A2074"/>
    <w:rsid w:val="001A244B"/>
    <w:rsid w:val="001A25C7"/>
    <w:rsid w:val="001A29A4"/>
    <w:rsid w:val="001A2DB5"/>
    <w:rsid w:val="001A2E43"/>
    <w:rsid w:val="001A3055"/>
    <w:rsid w:val="001A32E4"/>
    <w:rsid w:val="001A3300"/>
    <w:rsid w:val="001A35F5"/>
    <w:rsid w:val="001A35FC"/>
    <w:rsid w:val="001A3610"/>
    <w:rsid w:val="001A362C"/>
    <w:rsid w:val="001A372E"/>
    <w:rsid w:val="001A3799"/>
    <w:rsid w:val="001A3831"/>
    <w:rsid w:val="001A383B"/>
    <w:rsid w:val="001A39C8"/>
    <w:rsid w:val="001A3B40"/>
    <w:rsid w:val="001A3BDB"/>
    <w:rsid w:val="001A3BEE"/>
    <w:rsid w:val="001A3C5B"/>
    <w:rsid w:val="001A3CFB"/>
    <w:rsid w:val="001A3D0B"/>
    <w:rsid w:val="001A3DF3"/>
    <w:rsid w:val="001A3EFD"/>
    <w:rsid w:val="001A3FAE"/>
    <w:rsid w:val="001A3FBE"/>
    <w:rsid w:val="001A3FE4"/>
    <w:rsid w:val="001A4220"/>
    <w:rsid w:val="001A42DA"/>
    <w:rsid w:val="001A45FA"/>
    <w:rsid w:val="001A45FB"/>
    <w:rsid w:val="001A46E6"/>
    <w:rsid w:val="001A46F1"/>
    <w:rsid w:val="001A4847"/>
    <w:rsid w:val="001A4DBA"/>
    <w:rsid w:val="001A52B8"/>
    <w:rsid w:val="001A5320"/>
    <w:rsid w:val="001A53A4"/>
    <w:rsid w:val="001A53AF"/>
    <w:rsid w:val="001A53C3"/>
    <w:rsid w:val="001A5474"/>
    <w:rsid w:val="001A5518"/>
    <w:rsid w:val="001A55DF"/>
    <w:rsid w:val="001A56BB"/>
    <w:rsid w:val="001A5766"/>
    <w:rsid w:val="001A57FC"/>
    <w:rsid w:val="001A597F"/>
    <w:rsid w:val="001A5B87"/>
    <w:rsid w:val="001A5E53"/>
    <w:rsid w:val="001A6011"/>
    <w:rsid w:val="001A6102"/>
    <w:rsid w:val="001A6148"/>
    <w:rsid w:val="001A62F5"/>
    <w:rsid w:val="001A6309"/>
    <w:rsid w:val="001A6730"/>
    <w:rsid w:val="001A693F"/>
    <w:rsid w:val="001A6BBA"/>
    <w:rsid w:val="001A6C06"/>
    <w:rsid w:val="001A6C5D"/>
    <w:rsid w:val="001A6DCD"/>
    <w:rsid w:val="001A6ECE"/>
    <w:rsid w:val="001A702C"/>
    <w:rsid w:val="001A725A"/>
    <w:rsid w:val="001A7281"/>
    <w:rsid w:val="001A76D9"/>
    <w:rsid w:val="001A7777"/>
    <w:rsid w:val="001A7787"/>
    <w:rsid w:val="001A797C"/>
    <w:rsid w:val="001A7A05"/>
    <w:rsid w:val="001A7AF2"/>
    <w:rsid w:val="001A7BDD"/>
    <w:rsid w:val="001A7C0C"/>
    <w:rsid w:val="001A7D51"/>
    <w:rsid w:val="001A7DE8"/>
    <w:rsid w:val="001B0050"/>
    <w:rsid w:val="001B00A9"/>
    <w:rsid w:val="001B024B"/>
    <w:rsid w:val="001B0296"/>
    <w:rsid w:val="001B05BA"/>
    <w:rsid w:val="001B05F4"/>
    <w:rsid w:val="001B061D"/>
    <w:rsid w:val="001B06DC"/>
    <w:rsid w:val="001B09A3"/>
    <w:rsid w:val="001B0A19"/>
    <w:rsid w:val="001B0C57"/>
    <w:rsid w:val="001B0C58"/>
    <w:rsid w:val="001B0C8D"/>
    <w:rsid w:val="001B11C3"/>
    <w:rsid w:val="001B11EF"/>
    <w:rsid w:val="001B12E4"/>
    <w:rsid w:val="001B1300"/>
    <w:rsid w:val="001B13FB"/>
    <w:rsid w:val="001B14C3"/>
    <w:rsid w:val="001B18C2"/>
    <w:rsid w:val="001B1977"/>
    <w:rsid w:val="001B1AE5"/>
    <w:rsid w:val="001B1CEF"/>
    <w:rsid w:val="001B1D03"/>
    <w:rsid w:val="001B1D2F"/>
    <w:rsid w:val="001B1FA6"/>
    <w:rsid w:val="001B1FB3"/>
    <w:rsid w:val="001B211A"/>
    <w:rsid w:val="001B21BD"/>
    <w:rsid w:val="001B23D6"/>
    <w:rsid w:val="001B2439"/>
    <w:rsid w:val="001B2484"/>
    <w:rsid w:val="001B24B7"/>
    <w:rsid w:val="001B2779"/>
    <w:rsid w:val="001B2797"/>
    <w:rsid w:val="001B2948"/>
    <w:rsid w:val="001B2999"/>
    <w:rsid w:val="001B29C7"/>
    <w:rsid w:val="001B2A66"/>
    <w:rsid w:val="001B2BDD"/>
    <w:rsid w:val="001B2DFC"/>
    <w:rsid w:val="001B2E8E"/>
    <w:rsid w:val="001B2FA3"/>
    <w:rsid w:val="001B308E"/>
    <w:rsid w:val="001B30C8"/>
    <w:rsid w:val="001B3168"/>
    <w:rsid w:val="001B32DC"/>
    <w:rsid w:val="001B330E"/>
    <w:rsid w:val="001B356E"/>
    <w:rsid w:val="001B35E4"/>
    <w:rsid w:val="001B3802"/>
    <w:rsid w:val="001B3F6E"/>
    <w:rsid w:val="001B4135"/>
    <w:rsid w:val="001B4211"/>
    <w:rsid w:val="001B4533"/>
    <w:rsid w:val="001B4AD0"/>
    <w:rsid w:val="001B4BAC"/>
    <w:rsid w:val="001B4D48"/>
    <w:rsid w:val="001B4D9D"/>
    <w:rsid w:val="001B4E09"/>
    <w:rsid w:val="001B4F4C"/>
    <w:rsid w:val="001B4F52"/>
    <w:rsid w:val="001B4F7C"/>
    <w:rsid w:val="001B5120"/>
    <w:rsid w:val="001B5136"/>
    <w:rsid w:val="001B52FC"/>
    <w:rsid w:val="001B54C2"/>
    <w:rsid w:val="001B552E"/>
    <w:rsid w:val="001B55C0"/>
    <w:rsid w:val="001B5784"/>
    <w:rsid w:val="001B5B2B"/>
    <w:rsid w:val="001B5F5D"/>
    <w:rsid w:val="001B5F81"/>
    <w:rsid w:val="001B60E3"/>
    <w:rsid w:val="001B619D"/>
    <w:rsid w:val="001B61FB"/>
    <w:rsid w:val="001B64C2"/>
    <w:rsid w:val="001B64FA"/>
    <w:rsid w:val="001B670E"/>
    <w:rsid w:val="001B6C3C"/>
    <w:rsid w:val="001B6C4D"/>
    <w:rsid w:val="001B6F46"/>
    <w:rsid w:val="001B716E"/>
    <w:rsid w:val="001B7297"/>
    <w:rsid w:val="001B72B6"/>
    <w:rsid w:val="001B733E"/>
    <w:rsid w:val="001B73FE"/>
    <w:rsid w:val="001B751F"/>
    <w:rsid w:val="001B75BD"/>
    <w:rsid w:val="001B7819"/>
    <w:rsid w:val="001B789C"/>
    <w:rsid w:val="001B79BD"/>
    <w:rsid w:val="001B7BB3"/>
    <w:rsid w:val="001B7C4A"/>
    <w:rsid w:val="001B7D15"/>
    <w:rsid w:val="001B7DA2"/>
    <w:rsid w:val="001B7DB7"/>
    <w:rsid w:val="001B7F12"/>
    <w:rsid w:val="001C0269"/>
    <w:rsid w:val="001C0697"/>
    <w:rsid w:val="001C070C"/>
    <w:rsid w:val="001C0B81"/>
    <w:rsid w:val="001C0BF5"/>
    <w:rsid w:val="001C0C17"/>
    <w:rsid w:val="001C0CD7"/>
    <w:rsid w:val="001C0E5A"/>
    <w:rsid w:val="001C0F22"/>
    <w:rsid w:val="001C0FBD"/>
    <w:rsid w:val="001C0FD9"/>
    <w:rsid w:val="001C0FF8"/>
    <w:rsid w:val="001C12DB"/>
    <w:rsid w:val="001C1554"/>
    <w:rsid w:val="001C1605"/>
    <w:rsid w:val="001C16EB"/>
    <w:rsid w:val="001C1A85"/>
    <w:rsid w:val="001C1A86"/>
    <w:rsid w:val="001C1CFA"/>
    <w:rsid w:val="001C2011"/>
    <w:rsid w:val="001C2086"/>
    <w:rsid w:val="001C2178"/>
    <w:rsid w:val="001C21F9"/>
    <w:rsid w:val="001C2731"/>
    <w:rsid w:val="001C2755"/>
    <w:rsid w:val="001C27B6"/>
    <w:rsid w:val="001C29E2"/>
    <w:rsid w:val="001C2C58"/>
    <w:rsid w:val="001C2CF7"/>
    <w:rsid w:val="001C31D3"/>
    <w:rsid w:val="001C31FB"/>
    <w:rsid w:val="001C32EC"/>
    <w:rsid w:val="001C32F3"/>
    <w:rsid w:val="001C34E2"/>
    <w:rsid w:val="001C34E3"/>
    <w:rsid w:val="001C3635"/>
    <w:rsid w:val="001C3871"/>
    <w:rsid w:val="001C3930"/>
    <w:rsid w:val="001C3B04"/>
    <w:rsid w:val="001C3D36"/>
    <w:rsid w:val="001C4093"/>
    <w:rsid w:val="001C41A3"/>
    <w:rsid w:val="001C43DA"/>
    <w:rsid w:val="001C449A"/>
    <w:rsid w:val="001C45E0"/>
    <w:rsid w:val="001C47CE"/>
    <w:rsid w:val="001C48E2"/>
    <w:rsid w:val="001C4A16"/>
    <w:rsid w:val="001C4A81"/>
    <w:rsid w:val="001C4D6A"/>
    <w:rsid w:val="001C4D75"/>
    <w:rsid w:val="001C4E60"/>
    <w:rsid w:val="001C4F2E"/>
    <w:rsid w:val="001C4F3C"/>
    <w:rsid w:val="001C4F9A"/>
    <w:rsid w:val="001C5089"/>
    <w:rsid w:val="001C5292"/>
    <w:rsid w:val="001C530A"/>
    <w:rsid w:val="001C53A6"/>
    <w:rsid w:val="001C55C1"/>
    <w:rsid w:val="001C5631"/>
    <w:rsid w:val="001C583D"/>
    <w:rsid w:val="001C5906"/>
    <w:rsid w:val="001C5C54"/>
    <w:rsid w:val="001C5D8F"/>
    <w:rsid w:val="001C5EBD"/>
    <w:rsid w:val="001C5EEC"/>
    <w:rsid w:val="001C5F5B"/>
    <w:rsid w:val="001C6132"/>
    <w:rsid w:val="001C61C0"/>
    <w:rsid w:val="001C61C5"/>
    <w:rsid w:val="001C62E3"/>
    <w:rsid w:val="001C6649"/>
    <w:rsid w:val="001C6788"/>
    <w:rsid w:val="001C68DD"/>
    <w:rsid w:val="001C68DF"/>
    <w:rsid w:val="001C6C7D"/>
    <w:rsid w:val="001C6EA4"/>
    <w:rsid w:val="001C71DA"/>
    <w:rsid w:val="001C7531"/>
    <w:rsid w:val="001C7590"/>
    <w:rsid w:val="001C75B1"/>
    <w:rsid w:val="001C75B7"/>
    <w:rsid w:val="001C75BE"/>
    <w:rsid w:val="001C77B5"/>
    <w:rsid w:val="001C78D6"/>
    <w:rsid w:val="001C7A3C"/>
    <w:rsid w:val="001C7B36"/>
    <w:rsid w:val="001D000D"/>
    <w:rsid w:val="001D0160"/>
    <w:rsid w:val="001D0177"/>
    <w:rsid w:val="001D01CB"/>
    <w:rsid w:val="001D02EA"/>
    <w:rsid w:val="001D05AA"/>
    <w:rsid w:val="001D0634"/>
    <w:rsid w:val="001D0803"/>
    <w:rsid w:val="001D0833"/>
    <w:rsid w:val="001D0868"/>
    <w:rsid w:val="001D097C"/>
    <w:rsid w:val="001D0E0B"/>
    <w:rsid w:val="001D1280"/>
    <w:rsid w:val="001D13BF"/>
    <w:rsid w:val="001D13FC"/>
    <w:rsid w:val="001D1444"/>
    <w:rsid w:val="001D151D"/>
    <w:rsid w:val="001D1654"/>
    <w:rsid w:val="001D1793"/>
    <w:rsid w:val="001D185B"/>
    <w:rsid w:val="001D18BF"/>
    <w:rsid w:val="001D1984"/>
    <w:rsid w:val="001D1BF3"/>
    <w:rsid w:val="001D1DE5"/>
    <w:rsid w:val="001D1EBE"/>
    <w:rsid w:val="001D1FE2"/>
    <w:rsid w:val="001D2222"/>
    <w:rsid w:val="001D2260"/>
    <w:rsid w:val="001D24DC"/>
    <w:rsid w:val="001D25F6"/>
    <w:rsid w:val="001D262B"/>
    <w:rsid w:val="001D27E0"/>
    <w:rsid w:val="001D292B"/>
    <w:rsid w:val="001D2EE1"/>
    <w:rsid w:val="001D2EFD"/>
    <w:rsid w:val="001D2F73"/>
    <w:rsid w:val="001D30B0"/>
    <w:rsid w:val="001D30F6"/>
    <w:rsid w:val="001D329F"/>
    <w:rsid w:val="001D331E"/>
    <w:rsid w:val="001D335B"/>
    <w:rsid w:val="001D363C"/>
    <w:rsid w:val="001D365B"/>
    <w:rsid w:val="001D36A8"/>
    <w:rsid w:val="001D37F3"/>
    <w:rsid w:val="001D385D"/>
    <w:rsid w:val="001D3A7D"/>
    <w:rsid w:val="001D3FD7"/>
    <w:rsid w:val="001D4160"/>
    <w:rsid w:val="001D430D"/>
    <w:rsid w:val="001D45D0"/>
    <w:rsid w:val="001D4684"/>
    <w:rsid w:val="001D4686"/>
    <w:rsid w:val="001D46D0"/>
    <w:rsid w:val="001D4706"/>
    <w:rsid w:val="001D475C"/>
    <w:rsid w:val="001D4954"/>
    <w:rsid w:val="001D49BF"/>
    <w:rsid w:val="001D4A84"/>
    <w:rsid w:val="001D4A98"/>
    <w:rsid w:val="001D5188"/>
    <w:rsid w:val="001D520B"/>
    <w:rsid w:val="001D527A"/>
    <w:rsid w:val="001D5336"/>
    <w:rsid w:val="001D5443"/>
    <w:rsid w:val="001D5478"/>
    <w:rsid w:val="001D5553"/>
    <w:rsid w:val="001D5987"/>
    <w:rsid w:val="001D5BCD"/>
    <w:rsid w:val="001D5DA4"/>
    <w:rsid w:val="001D5DA7"/>
    <w:rsid w:val="001D62A6"/>
    <w:rsid w:val="001D6305"/>
    <w:rsid w:val="001D64C7"/>
    <w:rsid w:val="001D65C3"/>
    <w:rsid w:val="001D68A3"/>
    <w:rsid w:val="001D6971"/>
    <w:rsid w:val="001D6B5C"/>
    <w:rsid w:val="001D6C24"/>
    <w:rsid w:val="001D7000"/>
    <w:rsid w:val="001D71B4"/>
    <w:rsid w:val="001D72A4"/>
    <w:rsid w:val="001D72E3"/>
    <w:rsid w:val="001D73CF"/>
    <w:rsid w:val="001D74B5"/>
    <w:rsid w:val="001D7531"/>
    <w:rsid w:val="001D78D0"/>
    <w:rsid w:val="001D7909"/>
    <w:rsid w:val="001D7BDC"/>
    <w:rsid w:val="001D7C73"/>
    <w:rsid w:val="001D7EA8"/>
    <w:rsid w:val="001D7FEF"/>
    <w:rsid w:val="001E030F"/>
    <w:rsid w:val="001E053D"/>
    <w:rsid w:val="001E0748"/>
    <w:rsid w:val="001E07B9"/>
    <w:rsid w:val="001E07DC"/>
    <w:rsid w:val="001E08D3"/>
    <w:rsid w:val="001E09F5"/>
    <w:rsid w:val="001E0C16"/>
    <w:rsid w:val="001E0DF8"/>
    <w:rsid w:val="001E0E04"/>
    <w:rsid w:val="001E1070"/>
    <w:rsid w:val="001E10DA"/>
    <w:rsid w:val="001E1219"/>
    <w:rsid w:val="001E1580"/>
    <w:rsid w:val="001E16AB"/>
    <w:rsid w:val="001E1A03"/>
    <w:rsid w:val="001E1B04"/>
    <w:rsid w:val="001E1B94"/>
    <w:rsid w:val="001E1BC0"/>
    <w:rsid w:val="001E1CE9"/>
    <w:rsid w:val="001E1CF9"/>
    <w:rsid w:val="001E1D26"/>
    <w:rsid w:val="001E1F12"/>
    <w:rsid w:val="001E1F37"/>
    <w:rsid w:val="001E1FBA"/>
    <w:rsid w:val="001E20AD"/>
    <w:rsid w:val="001E2327"/>
    <w:rsid w:val="001E23C2"/>
    <w:rsid w:val="001E262B"/>
    <w:rsid w:val="001E2641"/>
    <w:rsid w:val="001E267D"/>
    <w:rsid w:val="001E28A0"/>
    <w:rsid w:val="001E2A87"/>
    <w:rsid w:val="001E2A9E"/>
    <w:rsid w:val="001E2D95"/>
    <w:rsid w:val="001E302E"/>
    <w:rsid w:val="001E3040"/>
    <w:rsid w:val="001E3086"/>
    <w:rsid w:val="001E325B"/>
    <w:rsid w:val="001E375C"/>
    <w:rsid w:val="001E3819"/>
    <w:rsid w:val="001E3BF0"/>
    <w:rsid w:val="001E3F16"/>
    <w:rsid w:val="001E3F64"/>
    <w:rsid w:val="001E3F71"/>
    <w:rsid w:val="001E4164"/>
    <w:rsid w:val="001E444D"/>
    <w:rsid w:val="001E44F3"/>
    <w:rsid w:val="001E4560"/>
    <w:rsid w:val="001E482F"/>
    <w:rsid w:val="001E497B"/>
    <w:rsid w:val="001E4A95"/>
    <w:rsid w:val="001E4AD4"/>
    <w:rsid w:val="001E4B19"/>
    <w:rsid w:val="001E4BC1"/>
    <w:rsid w:val="001E4C5E"/>
    <w:rsid w:val="001E4CDC"/>
    <w:rsid w:val="001E5010"/>
    <w:rsid w:val="001E50CB"/>
    <w:rsid w:val="001E51C5"/>
    <w:rsid w:val="001E52DE"/>
    <w:rsid w:val="001E5330"/>
    <w:rsid w:val="001E533A"/>
    <w:rsid w:val="001E544C"/>
    <w:rsid w:val="001E5564"/>
    <w:rsid w:val="001E55FA"/>
    <w:rsid w:val="001E57E1"/>
    <w:rsid w:val="001E58FC"/>
    <w:rsid w:val="001E5934"/>
    <w:rsid w:val="001E5D0A"/>
    <w:rsid w:val="001E5D4A"/>
    <w:rsid w:val="001E5F48"/>
    <w:rsid w:val="001E631B"/>
    <w:rsid w:val="001E6485"/>
    <w:rsid w:val="001E6706"/>
    <w:rsid w:val="001E67FE"/>
    <w:rsid w:val="001E69F1"/>
    <w:rsid w:val="001E6C0D"/>
    <w:rsid w:val="001E6CBD"/>
    <w:rsid w:val="001E6D11"/>
    <w:rsid w:val="001E70F1"/>
    <w:rsid w:val="001E7224"/>
    <w:rsid w:val="001E7844"/>
    <w:rsid w:val="001E787F"/>
    <w:rsid w:val="001E7E99"/>
    <w:rsid w:val="001F005A"/>
    <w:rsid w:val="001F0292"/>
    <w:rsid w:val="001F04A9"/>
    <w:rsid w:val="001F053A"/>
    <w:rsid w:val="001F0622"/>
    <w:rsid w:val="001F08AD"/>
    <w:rsid w:val="001F093A"/>
    <w:rsid w:val="001F0C01"/>
    <w:rsid w:val="001F0CC2"/>
    <w:rsid w:val="001F0DC3"/>
    <w:rsid w:val="001F0FBF"/>
    <w:rsid w:val="001F1181"/>
    <w:rsid w:val="001F11AA"/>
    <w:rsid w:val="001F138B"/>
    <w:rsid w:val="001F13E0"/>
    <w:rsid w:val="001F14FD"/>
    <w:rsid w:val="001F1514"/>
    <w:rsid w:val="001F1569"/>
    <w:rsid w:val="001F18A2"/>
    <w:rsid w:val="001F1B9C"/>
    <w:rsid w:val="001F22B2"/>
    <w:rsid w:val="001F2451"/>
    <w:rsid w:val="001F2574"/>
    <w:rsid w:val="001F2951"/>
    <w:rsid w:val="001F296B"/>
    <w:rsid w:val="001F2AAF"/>
    <w:rsid w:val="001F2B81"/>
    <w:rsid w:val="001F2BE1"/>
    <w:rsid w:val="001F2CE9"/>
    <w:rsid w:val="001F2D21"/>
    <w:rsid w:val="001F2D97"/>
    <w:rsid w:val="001F2D9D"/>
    <w:rsid w:val="001F2DA9"/>
    <w:rsid w:val="001F2FD0"/>
    <w:rsid w:val="001F321E"/>
    <w:rsid w:val="001F344C"/>
    <w:rsid w:val="001F3450"/>
    <w:rsid w:val="001F3657"/>
    <w:rsid w:val="001F3698"/>
    <w:rsid w:val="001F38B1"/>
    <w:rsid w:val="001F3C40"/>
    <w:rsid w:val="001F3DF7"/>
    <w:rsid w:val="001F41AF"/>
    <w:rsid w:val="001F4259"/>
    <w:rsid w:val="001F432F"/>
    <w:rsid w:val="001F4681"/>
    <w:rsid w:val="001F47DA"/>
    <w:rsid w:val="001F488C"/>
    <w:rsid w:val="001F4A6D"/>
    <w:rsid w:val="001F4A6E"/>
    <w:rsid w:val="001F4AE7"/>
    <w:rsid w:val="001F4B28"/>
    <w:rsid w:val="001F4C73"/>
    <w:rsid w:val="001F4DF6"/>
    <w:rsid w:val="001F4E59"/>
    <w:rsid w:val="001F4E6A"/>
    <w:rsid w:val="001F4F84"/>
    <w:rsid w:val="001F4FD7"/>
    <w:rsid w:val="001F4FEE"/>
    <w:rsid w:val="001F53A3"/>
    <w:rsid w:val="001F55EA"/>
    <w:rsid w:val="001F56B9"/>
    <w:rsid w:val="001F56C8"/>
    <w:rsid w:val="001F59E2"/>
    <w:rsid w:val="001F5BBC"/>
    <w:rsid w:val="001F5D19"/>
    <w:rsid w:val="001F5DDC"/>
    <w:rsid w:val="001F5EA2"/>
    <w:rsid w:val="001F617D"/>
    <w:rsid w:val="001F622C"/>
    <w:rsid w:val="001F62D7"/>
    <w:rsid w:val="001F63A3"/>
    <w:rsid w:val="001F660B"/>
    <w:rsid w:val="001F674A"/>
    <w:rsid w:val="001F6791"/>
    <w:rsid w:val="001F68D7"/>
    <w:rsid w:val="001F6963"/>
    <w:rsid w:val="001F6988"/>
    <w:rsid w:val="001F6A0B"/>
    <w:rsid w:val="001F6D1F"/>
    <w:rsid w:val="001F7013"/>
    <w:rsid w:val="001F7296"/>
    <w:rsid w:val="001F738A"/>
    <w:rsid w:val="001F786C"/>
    <w:rsid w:val="001F7A7A"/>
    <w:rsid w:val="001F7F4C"/>
    <w:rsid w:val="001F7FB9"/>
    <w:rsid w:val="00200340"/>
    <w:rsid w:val="0020037F"/>
    <w:rsid w:val="00200683"/>
    <w:rsid w:val="002006BB"/>
    <w:rsid w:val="00200C9C"/>
    <w:rsid w:val="002011FD"/>
    <w:rsid w:val="002013C4"/>
    <w:rsid w:val="002014F5"/>
    <w:rsid w:val="002015DF"/>
    <w:rsid w:val="00201631"/>
    <w:rsid w:val="002016C8"/>
    <w:rsid w:val="002017A1"/>
    <w:rsid w:val="002017BE"/>
    <w:rsid w:val="00201862"/>
    <w:rsid w:val="00201C5C"/>
    <w:rsid w:val="00201F1D"/>
    <w:rsid w:val="00201F5A"/>
    <w:rsid w:val="00201FEB"/>
    <w:rsid w:val="00202023"/>
    <w:rsid w:val="00202074"/>
    <w:rsid w:val="00202093"/>
    <w:rsid w:val="002021C0"/>
    <w:rsid w:val="002021D3"/>
    <w:rsid w:val="002021F1"/>
    <w:rsid w:val="002024BD"/>
    <w:rsid w:val="0020280B"/>
    <w:rsid w:val="00202842"/>
    <w:rsid w:val="00202966"/>
    <w:rsid w:val="00202A4E"/>
    <w:rsid w:val="00202B23"/>
    <w:rsid w:val="00202E40"/>
    <w:rsid w:val="002032D2"/>
    <w:rsid w:val="00203802"/>
    <w:rsid w:val="00203A31"/>
    <w:rsid w:val="00203AAB"/>
    <w:rsid w:val="00203B42"/>
    <w:rsid w:val="00203D32"/>
    <w:rsid w:val="00204006"/>
    <w:rsid w:val="0020401B"/>
    <w:rsid w:val="002041B4"/>
    <w:rsid w:val="002042B1"/>
    <w:rsid w:val="00204308"/>
    <w:rsid w:val="002045DA"/>
    <w:rsid w:val="00204672"/>
    <w:rsid w:val="002046E9"/>
    <w:rsid w:val="00204A1E"/>
    <w:rsid w:val="00204BA5"/>
    <w:rsid w:val="00204C5B"/>
    <w:rsid w:val="00204CFD"/>
    <w:rsid w:val="00204DB2"/>
    <w:rsid w:val="00204EF3"/>
    <w:rsid w:val="00204F68"/>
    <w:rsid w:val="00205088"/>
    <w:rsid w:val="002050A8"/>
    <w:rsid w:val="00205357"/>
    <w:rsid w:val="00205544"/>
    <w:rsid w:val="00205695"/>
    <w:rsid w:val="00205711"/>
    <w:rsid w:val="0020574A"/>
    <w:rsid w:val="00205919"/>
    <w:rsid w:val="00205984"/>
    <w:rsid w:val="00205A7D"/>
    <w:rsid w:val="00205B60"/>
    <w:rsid w:val="00205BA0"/>
    <w:rsid w:val="00205C43"/>
    <w:rsid w:val="00205DD8"/>
    <w:rsid w:val="00205EEA"/>
    <w:rsid w:val="00205FB9"/>
    <w:rsid w:val="00206688"/>
    <w:rsid w:val="002066DC"/>
    <w:rsid w:val="0020683E"/>
    <w:rsid w:val="002068BC"/>
    <w:rsid w:val="00206961"/>
    <w:rsid w:val="002069EA"/>
    <w:rsid w:val="002069F0"/>
    <w:rsid w:val="00206B33"/>
    <w:rsid w:val="00206C86"/>
    <w:rsid w:val="00206C98"/>
    <w:rsid w:val="00206D19"/>
    <w:rsid w:val="00206DF9"/>
    <w:rsid w:val="00206F48"/>
    <w:rsid w:val="00206FD2"/>
    <w:rsid w:val="0020701B"/>
    <w:rsid w:val="00207286"/>
    <w:rsid w:val="00207300"/>
    <w:rsid w:val="00207495"/>
    <w:rsid w:val="0020794E"/>
    <w:rsid w:val="00207BAD"/>
    <w:rsid w:val="00207BF3"/>
    <w:rsid w:val="00207F16"/>
    <w:rsid w:val="00207F42"/>
    <w:rsid w:val="00207F61"/>
    <w:rsid w:val="0021012C"/>
    <w:rsid w:val="002103B2"/>
    <w:rsid w:val="002105DD"/>
    <w:rsid w:val="00210634"/>
    <w:rsid w:val="00210879"/>
    <w:rsid w:val="002108E1"/>
    <w:rsid w:val="00210A1E"/>
    <w:rsid w:val="00210A54"/>
    <w:rsid w:val="00210A9D"/>
    <w:rsid w:val="00210B61"/>
    <w:rsid w:val="00210BE3"/>
    <w:rsid w:val="00210F0A"/>
    <w:rsid w:val="00210F43"/>
    <w:rsid w:val="002110AA"/>
    <w:rsid w:val="002110B9"/>
    <w:rsid w:val="00211136"/>
    <w:rsid w:val="0021129D"/>
    <w:rsid w:val="00211486"/>
    <w:rsid w:val="0021192A"/>
    <w:rsid w:val="00211FA3"/>
    <w:rsid w:val="00211FD6"/>
    <w:rsid w:val="0021243E"/>
    <w:rsid w:val="0021244B"/>
    <w:rsid w:val="00212623"/>
    <w:rsid w:val="002127D1"/>
    <w:rsid w:val="002127FA"/>
    <w:rsid w:val="00212922"/>
    <w:rsid w:val="00212B71"/>
    <w:rsid w:val="00212B7F"/>
    <w:rsid w:val="00212F84"/>
    <w:rsid w:val="00213066"/>
    <w:rsid w:val="00213340"/>
    <w:rsid w:val="002134CC"/>
    <w:rsid w:val="002134E6"/>
    <w:rsid w:val="0021366A"/>
    <w:rsid w:val="002136B3"/>
    <w:rsid w:val="00213BF2"/>
    <w:rsid w:val="00213C33"/>
    <w:rsid w:val="00213C96"/>
    <w:rsid w:val="00213D07"/>
    <w:rsid w:val="00213EE7"/>
    <w:rsid w:val="00213F7B"/>
    <w:rsid w:val="002141D2"/>
    <w:rsid w:val="00214322"/>
    <w:rsid w:val="00214428"/>
    <w:rsid w:val="00214431"/>
    <w:rsid w:val="0021461A"/>
    <w:rsid w:val="002146D4"/>
    <w:rsid w:val="00214771"/>
    <w:rsid w:val="00214942"/>
    <w:rsid w:val="00214C81"/>
    <w:rsid w:val="00214DCD"/>
    <w:rsid w:val="00214FB5"/>
    <w:rsid w:val="00215087"/>
    <w:rsid w:val="002150B6"/>
    <w:rsid w:val="00215584"/>
    <w:rsid w:val="002155A9"/>
    <w:rsid w:val="0021560F"/>
    <w:rsid w:val="0021564E"/>
    <w:rsid w:val="002156A5"/>
    <w:rsid w:val="0021574D"/>
    <w:rsid w:val="00215772"/>
    <w:rsid w:val="00215830"/>
    <w:rsid w:val="00215AA4"/>
    <w:rsid w:val="00216276"/>
    <w:rsid w:val="002162D4"/>
    <w:rsid w:val="002162E5"/>
    <w:rsid w:val="00216486"/>
    <w:rsid w:val="002164E9"/>
    <w:rsid w:val="002165F6"/>
    <w:rsid w:val="00216675"/>
    <w:rsid w:val="002166D5"/>
    <w:rsid w:val="00216749"/>
    <w:rsid w:val="00216793"/>
    <w:rsid w:val="0021691E"/>
    <w:rsid w:val="002169D7"/>
    <w:rsid w:val="00216EDD"/>
    <w:rsid w:val="0021710E"/>
    <w:rsid w:val="0021714A"/>
    <w:rsid w:val="00217153"/>
    <w:rsid w:val="00217276"/>
    <w:rsid w:val="002172B0"/>
    <w:rsid w:val="002172C0"/>
    <w:rsid w:val="00217492"/>
    <w:rsid w:val="002176E0"/>
    <w:rsid w:val="0021776E"/>
    <w:rsid w:val="00217807"/>
    <w:rsid w:val="002178A0"/>
    <w:rsid w:val="00217AA4"/>
    <w:rsid w:val="00217C4B"/>
    <w:rsid w:val="00217FFD"/>
    <w:rsid w:val="002200AA"/>
    <w:rsid w:val="002200F3"/>
    <w:rsid w:val="00220196"/>
    <w:rsid w:val="002203BC"/>
    <w:rsid w:val="00220C8B"/>
    <w:rsid w:val="00220CFF"/>
    <w:rsid w:val="00220D63"/>
    <w:rsid w:val="00220D95"/>
    <w:rsid w:val="00220F3D"/>
    <w:rsid w:val="0022117D"/>
    <w:rsid w:val="002211DD"/>
    <w:rsid w:val="002214CE"/>
    <w:rsid w:val="0022151B"/>
    <w:rsid w:val="00221648"/>
    <w:rsid w:val="002216D8"/>
    <w:rsid w:val="00221AE0"/>
    <w:rsid w:val="00221B42"/>
    <w:rsid w:val="00221C85"/>
    <w:rsid w:val="00221D0A"/>
    <w:rsid w:val="00221D0C"/>
    <w:rsid w:val="00221D42"/>
    <w:rsid w:val="00221D43"/>
    <w:rsid w:val="00221DC2"/>
    <w:rsid w:val="00221FB4"/>
    <w:rsid w:val="002220A1"/>
    <w:rsid w:val="002220A5"/>
    <w:rsid w:val="0022258B"/>
    <w:rsid w:val="00222AD9"/>
    <w:rsid w:val="00222AF8"/>
    <w:rsid w:val="00222C5E"/>
    <w:rsid w:val="00222D65"/>
    <w:rsid w:val="00222D88"/>
    <w:rsid w:val="00222E15"/>
    <w:rsid w:val="00222E6E"/>
    <w:rsid w:val="00222FAC"/>
    <w:rsid w:val="00223154"/>
    <w:rsid w:val="00223161"/>
    <w:rsid w:val="0022332A"/>
    <w:rsid w:val="002235CF"/>
    <w:rsid w:val="002236B3"/>
    <w:rsid w:val="00223777"/>
    <w:rsid w:val="0022388C"/>
    <w:rsid w:val="00223B89"/>
    <w:rsid w:val="00223E05"/>
    <w:rsid w:val="00223E2C"/>
    <w:rsid w:val="002241AA"/>
    <w:rsid w:val="00224469"/>
    <w:rsid w:val="00224476"/>
    <w:rsid w:val="0022450F"/>
    <w:rsid w:val="002245C1"/>
    <w:rsid w:val="002246D1"/>
    <w:rsid w:val="00224817"/>
    <w:rsid w:val="00224B5A"/>
    <w:rsid w:val="00224BC0"/>
    <w:rsid w:val="00224CFD"/>
    <w:rsid w:val="00224DCB"/>
    <w:rsid w:val="00224EC4"/>
    <w:rsid w:val="00224ECE"/>
    <w:rsid w:val="00224F0C"/>
    <w:rsid w:val="002251EF"/>
    <w:rsid w:val="00225287"/>
    <w:rsid w:val="0022528B"/>
    <w:rsid w:val="002254DD"/>
    <w:rsid w:val="002256F0"/>
    <w:rsid w:val="00225A4C"/>
    <w:rsid w:val="00225A8B"/>
    <w:rsid w:val="00225B4D"/>
    <w:rsid w:val="00225F5C"/>
    <w:rsid w:val="00226041"/>
    <w:rsid w:val="00226343"/>
    <w:rsid w:val="0022647B"/>
    <w:rsid w:val="002264FC"/>
    <w:rsid w:val="00226693"/>
    <w:rsid w:val="00226925"/>
    <w:rsid w:val="002269E8"/>
    <w:rsid w:val="00226A0E"/>
    <w:rsid w:val="00226AB6"/>
    <w:rsid w:val="00226AD4"/>
    <w:rsid w:val="00226B55"/>
    <w:rsid w:val="00226CA6"/>
    <w:rsid w:val="00226EEF"/>
    <w:rsid w:val="002271DA"/>
    <w:rsid w:val="002272F0"/>
    <w:rsid w:val="0022731C"/>
    <w:rsid w:val="00227328"/>
    <w:rsid w:val="002275BD"/>
    <w:rsid w:val="002278FA"/>
    <w:rsid w:val="00227AD4"/>
    <w:rsid w:val="00227CB0"/>
    <w:rsid w:val="00227D0C"/>
    <w:rsid w:val="002301DD"/>
    <w:rsid w:val="002302CE"/>
    <w:rsid w:val="002303A3"/>
    <w:rsid w:val="002303C4"/>
    <w:rsid w:val="00230750"/>
    <w:rsid w:val="002307F2"/>
    <w:rsid w:val="002308CB"/>
    <w:rsid w:val="00230B84"/>
    <w:rsid w:val="00230C0F"/>
    <w:rsid w:val="00230CBF"/>
    <w:rsid w:val="00230CD2"/>
    <w:rsid w:val="00230DF7"/>
    <w:rsid w:val="00230E19"/>
    <w:rsid w:val="00230F68"/>
    <w:rsid w:val="002310DE"/>
    <w:rsid w:val="00231244"/>
    <w:rsid w:val="002314CB"/>
    <w:rsid w:val="002314EA"/>
    <w:rsid w:val="0023174F"/>
    <w:rsid w:val="0023195E"/>
    <w:rsid w:val="0023198B"/>
    <w:rsid w:val="00231B84"/>
    <w:rsid w:val="00231D06"/>
    <w:rsid w:val="00231E01"/>
    <w:rsid w:val="0023221D"/>
    <w:rsid w:val="002322EE"/>
    <w:rsid w:val="00232722"/>
    <w:rsid w:val="00232782"/>
    <w:rsid w:val="002329C5"/>
    <w:rsid w:val="002329F1"/>
    <w:rsid w:val="00232AA4"/>
    <w:rsid w:val="00232CF3"/>
    <w:rsid w:val="00232D7E"/>
    <w:rsid w:val="00232EBB"/>
    <w:rsid w:val="002331FF"/>
    <w:rsid w:val="002334B5"/>
    <w:rsid w:val="002334F4"/>
    <w:rsid w:val="00233713"/>
    <w:rsid w:val="002338CE"/>
    <w:rsid w:val="00233B51"/>
    <w:rsid w:val="00233B63"/>
    <w:rsid w:val="00233CAC"/>
    <w:rsid w:val="00233CD5"/>
    <w:rsid w:val="00233EB0"/>
    <w:rsid w:val="002340E7"/>
    <w:rsid w:val="00234361"/>
    <w:rsid w:val="002343E2"/>
    <w:rsid w:val="0023442D"/>
    <w:rsid w:val="002345E9"/>
    <w:rsid w:val="0023461F"/>
    <w:rsid w:val="0023473F"/>
    <w:rsid w:val="00234879"/>
    <w:rsid w:val="00234883"/>
    <w:rsid w:val="00234ADA"/>
    <w:rsid w:val="00234C64"/>
    <w:rsid w:val="00234CA8"/>
    <w:rsid w:val="002350AA"/>
    <w:rsid w:val="002350E9"/>
    <w:rsid w:val="00235290"/>
    <w:rsid w:val="0023540D"/>
    <w:rsid w:val="002359A2"/>
    <w:rsid w:val="00235AE2"/>
    <w:rsid w:val="00235C00"/>
    <w:rsid w:val="00235D6A"/>
    <w:rsid w:val="00235EF7"/>
    <w:rsid w:val="00235F00"/>
    <w:rsid w:val="00235FF1"/>
    <w:rsid w:val="00235FF3"/>
    <w:rsid w:val="002364E6"/>
    <w:rsid w:val="0023675D"/>
    <w:rsid w:val="002369B0"/>
    <w:rsid w:val="00236ABA"/>
    <w:rsid w:val="00236B14"/>
    <w:rsid w:val="00236BB0"/>
    <w:rsid w:val="00236CA5"/>
    <w:rsid w:val="00236E26"/>
    <w:rsid w:val="00236E91"/>
    <w:rsid w:val="002375D9"/>
    <w:rsid w:val="0023761D"/>
    <w:rsid w:val="00237660"/>
    <w:rsid w:val="0023767E"/>
    <w:rsid w:val="002377DB"/>
    <w:rsid w:val="002379D1"/>
    <w:rsid w:val="00237AAF"/>
    <w:rsid w:val="00237C38"/>
    <w:rsid w:val="00237D5B"/>
    <w:rsid w:val="00237F33"/>
    <w:rsid w:val="00240079"/>
    <w:rsid w:val="00240098"/>
    <w:rsid w:val="00240157"/>
    <w:rsid w:val="002406DE"/>
    <w:rsid w:val="00240737"/>
    <w:rsid w:val="002407B9"/>
    <w:rsid w:val="002407DE"/>
    <w:rsid w:val="00240898"/>
    <w:rsid w:val="002408A9"/>
    <w:rsid w:val="00240A61"/>
    <w:rsid w:val="00241325"/>
    <w:rsid w:val="00241389"/>
    <w:rsid w:val="00241864"/>
    <w:rsid w:val="002418D3"/>
    <w:rsid w:val="00241920"/>
    <w:rsid w:val="00241AB9"/>
    <w:rsid w:val="00241B3F"/>
    <w:rsid w:val="00241BEF"/>
    <w:rsid w:val="00241DB0"/>
    <w:rsid w:val="00241DFF"/>
    <w:rsid w:val="00242257"/>
    <w:rsid w:val="002422C5"/>
    <w:rsid w:val="00242378"/>
    <w:rsid w:val="00242741"/>
    <w:rsid w:val="00242751"/>
    <w:rsid w:val="00242858"/>
    <w:rsid w:val="0024286B"/>
    <w:rsid w:val="00242D1A"/>
    <w:rsid w:val="00242D24"/>
    <w:rsid w:val="00242EB8"/>
    <w:rsid w:val="002430C0"/>
    <w:rsid w:val="00243217"/>
    <w:rsid w:val="002432A3"/>
    <w:rsid w:val="0024349E"/>
    <w:rsid w:val="0024350C"/>
    <w:rsid w:val="002436AF"/>
    <w:rsid w:val="00243792"/>
    <w:rsid w:val="00243798"/>
    <w:rsid w:val="002437A0"/>
    <w:rsid w:val="002438AB"/>
    <w:rsid w:val="00243932"/>
    <w:rsid w:val="00243A60"/>
    <w:rsid w:val="00243B3D"/>
    <w:rsid w:val="00243BEC"/>
    <w:rsid w:val="00243C4D"/>
    <w:rsid w:val="00243F9B"/>
    <w:rsid w:val="0024423B"/>
    <w:rsid w:val="00244691"/>
    <w:rsid w:val="002446FC"/>
    <w:rsid w:val="0024495B"/>
    <w:rsid w:val="0024498B"/>
    <w:rsid w:val="0024498F"/>
    <w:rsid w:val="00244B5A"/>
    <w:rsid w:val="00244BB7"/>
    <w:rsid w:val="00244D0F"/>
    <w:rsid w:val="00244D7C"/>
    <w:rsid w:val="00244E50"/>
    <w:rsid w:val="00244F8D"/>
    <w:rsid w:val="00245242"/>
    <w:rsid w:val="00245664"/>
    <w:rsid w:val="00245919"/>
    <w:rsid w:val="00245A25"/>
    <w:rsid w:val="00245A43"/>
    <w:rsid w:val="00245B37"/>
    <w:rsid w:val="00245BAD"/>
    <w:rsid w:val="00245CF4"/>
    <w:rsid w:val="0024605F"/>
    <w:rsid w:val="0024614E"/>
    <w:rsid w:val="00246156"/>
    <w:rsid w:val="002461B5"/>
    <w:rsid w:val="002461BB"/>
    <w:rsid w:val="00246259"/>
    <w:rsid w:val="00246D5C"/>
    <w:rsid w:val="00246F9E"/>
    <w:rsid w:val="002470F1"/>
    <w:rsid w:val="00247146"/>
    <w:rsid w:val="002471B7"/>
    <w:rsid w:val="002471DF"/>
    <w:rsid w:val="00247463"/>
    <w:rsid w:val="00247500"/>
    <w:rsid w:val="002475F8"/>
    <w:rsid w:val="002476BA"/>
    <w:rsid w:val="002476BB"/>
    <w:rsid w:val="00247794"/>
    <w:rsid w:val="00247819"/>
    <w:rsid w:val="00247830"/>
    <w:rsid w:val="002478DB"/>
    <w:rsid w:val="00247C99"/>
    <w:rsid w:val="00247D29"/>
    <w:rsid w:val="00247E82"/>
    <w:rsid w:val="00247F40"/>
    <w:rsid w:val="0025001E"/>
    <w:rsid w:val="002500E8"/>
    <w:rsid w:val="0025016F"/>
    <w:rsid w:val="00250296"/>
    <w:rsid w:val="002506CD"/>
    <w:rsid w:val="00250761"/>
    <w:rsid w:val="002507D9"/>
    <w:rsid w:val="002508B9"/>
    <w:rsid w:val="00250BB4"/>
    <w:rsid w:val="00251073"/>
    <w:rsid w:val="002512EE"/>
    <w:rsid w:val="0025154C"/>
    <w:rsid w:val="00251595"/>
    <w:rsid w:val="002515A6"/>
    <w:rsid w:val="0025196A"/>
    <w:rsid w:val="00251C0C"/>
    <w:rsid w:val="00251CA0"/>
    <w:rsid w:val="0025206A"/>
    <w:rsid w:val="0025214A"/>
    <w:rsid w:val="002522C8"/>
    <w:rsid w:val="00252614"/>
    <w:rsid w:val="002527AF"/>
    <w:rsid w:val="002527E0"/>
    <w:rsid w:val="00252836"/>
    <w:rsid w:val="00252C0A"/>
    <w:rsid w:val="00252E35"/>
    <w:rsid w:val="00252E98"/>
    <w:rsid w:val="00252F0C"/>
    <w:rsid w:val="00252F33"/>
    <w:rsid w:val="002534E0"/>
    <w:rsid w:val="0025354E"/>
    <w:rsid w:val="0025377F"/>
    <w:rsid w:val="002538D2"/>
    <w:rsid w:val="002539AD"/>
    <w:rsid w:val="00253A6F"/>
    <w:rsid w:val="00253C8C"/>
    <w:rsid w:val="00253CEB"/>
    <w:rsid w:val="00253D08"/>
    <w:rsid w:val="00253F33"/>
    <w:rsid w:val="00253F7A"/>
    <w:rsid w:val="00253FA7"/>
    <w:rsid w:val="0025401F"/>
    <w:rsid w:val="002540EA"/>
    <w:rsid w:val="002542BC"/>
    <w:rsid w:val="00254366"/>
    <w:rsid w:val="002545F1"/>
    <w:rsid w:val="002548D3"/>
    <w:rsid w:val="00254912"/>
    <w:rsid w:val="00254B13"/>
    <w:rsid w:val="00254B63"/>
    <w:rsid w:val="002553C4"/>
    <w:rsid w:val="002555B0"/>
    <w:rsid w:val="002556F9"/>
    <w:rsid w:val="0025589A"/>
    <w:rsid w:val="00255B42"/>
    <w:rsid w:val="00255C0D"/>
    <w:rsid w:val="00255D73"/>
    <w:rsid w:val="0025625B"/>
    <w:rsid w:val="002564D3"/>
    <w:rsid w:val="00256604"/>
    <w:rsid w:val="00256892"/>
    <w:rsid w:val="00256896"/>
    <w:rsid w:val="0025691B"/>
    <w:rsid w:val="00256A14"/>
    <w:rsid w:val="00256BBD"/>
    <w:rsid w:val="00256BD0"/>
    <w:rsid w:val="00256C2A"/>
    <w:rsid w:val="00256C2F"/>
    <w:rsid w:val="00256C31"/>
    <w:rsid w:val="00256CA1"/>
    <w:rsid w:val="00256DF1"/>
    <w:rsid w:val="00256F29"/>
    <w:rsid w:val="0025706D"/>
    <w:rsid w:val="002570DC"/>
    <w:rsid w:val="00257114"/>
    <w:rsid w:val="002571E8"/>
    <w:rsid w:val="002572FD"/>
    <w:rsid w:val="002574A2"/>
    <w:rsid w:val="002574AD"/>
    <w:rsid w:val="0025759F"/>
    <w:rsid w:val="0025770F"/>
    <w:rsid w:val="002579C0"/>
    <w:rsid w:val="00257C16"/>
    <w:rsid w:val="002601FA"/>
    <w:rsid w:val="00260346"/>
    <w:rsid w:val="00260448"/>
    <w:rsid w:val="002605DF"/>
    <w:rsid w:val="00260660"/>
    <w:rsid w:val="00260691"/>
    <w:rsid w:val="00260771"/>
    <w:rsid w:val="002607D4"/>
    <w:rsid w:val="00260807"/>
    <w:rsid w:val="00260828"/>
    <w:rsid w:val="00260ADD"/>
    <w:rsid w:val="00260B68"/>
    <w:rsid w:val="00260BAF"/>
    <w:rsid w:val="00260CF7"/>
    <w:rsid w:val="00261246"/>
    <w:rsid w:val="002613EE"/>
    <w:rsid w:val="002615A8"/>
    <w:rsid w:val="002615C7"/>
    <w:rsid w:val="002615FA"/>
    <w:rsid w:val="002616AA"/>
    <w:rsid w:val="00261879"/>
    <w:rsid w:val="00261A13"/>
    <w:rsid w:val="00261BC7"/>
    <w:rsid w:val="00261BC9"/>
    <w:rsid w:val="00261BE9"/>
    <w:rsid w:val="00261BFD"/>
    <w:rsid w:val="00261CB9"/>
    <w:rsid w:val="002620ED"/>
    <w:rsid w:val="0026238E"/>
    <w:rsid w:val="002623C8"/>
    <w:rsid w:val="00262485"/>
    <w:rsid w:val="002624FE"/>
    <w:rsid w:val="002625F8"/>
    <w:rsid w:val="002627E5"/>
    <w:rsid w:val="00262B42"/>
    <w:rsid w:val="00262C48"/>
    <w:rsid w:val="00262CA7"/>
    <w:rsid w:val="00262D87"/>
    <w:rsid w:val="00262EA1"/>
    <w:rsid w:val="00262FCD"/>
    <w:rsid w:val="00263031"/>
    <w:rsid w:val="00263051"/>
    <w:rsid w:val="00263179"/>
    <w:rsid w:val="002631B7"/>
    <w:rsid w:val="00263201"/>
    <w:rsid w:val="00263220"/>
    <w:rsid w:val="00263238"/>
    <w:rsid w:val="002632B2"/>
    <w:rsid w:val="00263300"/>
    <w:rsid w:val="00263327"/>
    <w:rsid w:val="002633E4"/>
    <w:rsid w:val="00263483"/>
    <w:rsid w:val="002634B1"/>
    <w:rsid w:val="002634E8"/>
    <w:rsid w:val="00263577"/>
    <w:rsid w:val="00263716"/>
    <w:rsid w:val="002638F7"/>
    <w:rsid w:val="00263ACA"/>
    <w:rsid w:val="00263C92"/>
    <w:rsid w:val="00263DB5"/>
    <w:rsid w:val="00263E4B"/>
    <w:rsid w:val="00263FC6"/>
    <w:rsid w:val="00263FD6"/>
    <w:rsid w:val="0026415F"/>
    <w:rsid w:val="0026423C"/>
    <w:rsid w:val="00264326"/>
    <w:rsid w:val="0026437C"/>
    <w:rsid w:val="00264395"/>
    <w:rsid w:val="002645C3"/>
    <w:rsid w:val="00264634"/>
    <w:rsid w:val="0026478F"/>
    <w:rsid w:val="00264875"/>
    <w:rsid w:val="00264A86"/>
    <w:rsid w:val="00264E2E"/>
    <w:rsid w:val="00264E89"/>
    <w:rsid w:val="00264EA3"/>
    <w:rsid w:val="00264FA4"/>
    <w:rsid w:val="0026506F"/>
    <w:rsid w:val="00265107"/>
    <w:rsid w:val="0026514B"/>
    <w:rsid w:val="002652C2"/>
    <w:rsid w:val="00265387"/>
    <w:rsid w:val="0026557A"/>
    <w:rsid w:val="00265813"/>
    <w:rsid w:val="0026589E"/>
    <w:rsid w:val="00265B13"/>
    <w:rsid w:val="00265B96"/>
    <w:rsid w:val="00265CD2"/>
    <w:rsid w:val="00265FA6"/>
    <w:rsid w:val="00266282"/>
    <w:rsid w:val="00266675"/>
    <w:rsid w:val="002667D1"/>
    <w:rsid w:val="0026688A"/>
    <w:rsid w:val="00266900"/>
    <w:rsid w:val="00266A33"/>
    <w:rsid w:val="00266BDD"/>
    <w:rsid w:val="00266CF3"/>
    <w:rsid w:val="00266D38"/>
    <w:rsid w:val="00266D73"/>
    <w:rsid w:val="00266DA6"/>
    <w:rsid w:val="00266E12"/>
    <w:rsid w:val="002670A9"/>
    <w:rsid w:val="0026715D"/>
    <w:rsid w:val="00267222"/>
    <w:rsid w:val="002672F4"/>
    <w:rsid w:val="0026756C"/>
    <w:rsid w:val="00267866"/>
    <w:rsid w:val="00267A56"/>
    <w:rsid w:val="00267B1D"/>
    <w:rsid w:val="00267BB4"/>
    <w:rsid w:val="00267BBE"/>
    <w:rsid w:val="00267DD7"/>
    <w:rsid w:val="002703FA"/>
    <w:rsid w:val="002707AF"/>
    <w:rsid w:val="0027086D"/>
    <w:rsid w:val="00270900"/>
    <w:rsid w:val="00270CD5"/>
    <w:rsid w:val="00270CE6"/>
    <w:rsid w:val="00270D5A"/>
    <w:rsid w:val="002710D6"/>
    <w:rsid w:val="002711EB"/>
    <w:rsid w:val="002716E6"/>
    <w:rsid w:val="00271936"/>
    <w:rsid w:val="002719BE"/>
    <w:rsid w:val="00271A3A"/>
    <w:rsid w:val="00271CE0"/>
    <w:rsid w:val="00271EF5"/>
    <w:rsid w:val="00272010"/>
    <w:rsid w:val="0027258D"/>
    <w:rsid w:val="0027280C"/>
    <w:rsid w:val="00272903"/>
    <w:rsid w:val="00272959"/>
    <w:rsid w:val="00272C75"/>
    <w:rsid w:val="00272EB8"/>
    <w:rsid w:val="00273225"/>
    <w:rsid w:val="0027322C"/>
    <w:rsid w:val="0027343A"/>
    <w:rsid w:val="00273703"/>
    <w:rsid w:val="00273840"/>
    <w:rsid w:val="002739DC"/>
    <w:rsid w:val="00273E93"/>
    <w:rsid w:val="00273F73"/>
    <w:rsid w:val="0027457F"/>
    <w:rsid w:val="002745B0"/>
    <w:rsid w:val="002748D3"/>
    <w:rsid w:val="00274EE2"/>
    <w:rsid w:val="0027507F"/>
    <w:rsid w:val="002751A6"/>
    <w:rsid w:val="00275230"/>
    <w:rsid w:val="0027532B"/>
    <w:rsid w:val="002753A7"/>
    <w:rsid w:val="00275405"/>
    <w:rsid w:val="00275445"/>
    <w:rsid w:val="002754BA"/>
    <w:rsid w:val="00275559"/>
    <w:rsid w:val="002757AF"/>
    <w:rsid w:val="00275810"/>
    <w:rsid w:val="00275A5F"/>
    <w:rsid w:val="00275B0E"/>
    <w:rsid w:val="00275B1F"/>
    <w:rsid w:val="00275D1D"/>
    <w:rsid w:val="00275EFA"/>
    <w:rsid w:val="00275F33"/>
    <w:rsid w:val="00275F44"/>
    <w:rsid w:val="00275F75"/>
    <w:rsid w:val="0027609A"/>
    <w:rsid w:val="0027619B"/>
    <w:rsid w:val="00276670"/>
    <w:rsid w:val="00276955"/>
    <w:rsid w:val="00276A63"/>
    <w:rsid w:val="00276ACF"/>
    <w:rsid w:val="00276B1E"/>
    <w:rsid w:val="00276CBB"/>
    <w:rsid w:val="00277341"/>
    <w:rsid w:val="00277400"/>
    <w:rsid w:val="0027740D"/>
    <w:rsid w:val="0027755F"/>
    <w:rsid w:val="002775B9"/>
    <w:rsid w:val="00277968"/>
    <w:rsid w:val="00277970"/>
    <w:rsid w:val="00277AA8"/>
    <w:rsid w:val="00280022"/>
    <w:rsid w:val="00280177"/>
    <w:rsid w:val="002804C7"/>
    <w:rsid w:val="002805B7"/>
    <w:rsid w:val="002805D3"/>
    <w:rsid w:val="002807C5"/>
    <w:rsid w:val="00280815"/>
    <w:rsid w:val="00280933"/>
    <w:rsid w:val="00280942"/>
    <w:rsid w:val="002809B0"/>
    <w:rsid w:val="002809DF"/>
    <w:rsid w:val="002809F8"/>
    <w:rsid w:val="00280D58"/>
    <w:rsid w:val="002814C0"/>
    <w:rsid w:val="002814E3"/>
    <w:rsid w:val="002814E7"/>
    <w:rsid w:val="002819D1"/>
    <w:rsid w:val="00281A67"/>
    <w:rsid w:val="00281B09"/>
    <w:rsid w:val="00281D5B"/>
    <w:rsid w:val="002821CE"/>
    <w:rsid w:val="00282C6A"/>
    <w:rsid w:val="00283211"/>
    <w:rsid w:val="0028351D"/>
    <w:rsid w:val="00283551"/>
    <w:rsid w:val="002835AC"/>
    <w:rsid w:val="0028384C"/>
    <w:rsid w:val="00283C12"/>
    <w:rsid w:val="00283F89"/>
    <w:rsid w:val="0028400E"/>
    <w:rsid w:val="0028403C"/>
    <w:rsid w:val="00284111"/>
    <w:rsid w:val="002842E9"/>
    <w:rsid w:val="00284444"/>
    <w:rsid w:val="00284445"/>
    <w:rsid w:val="00284549"/>
    <w:rsid w:val="00284861"/>
    <w:rsid w:val="002849E3"/>
    <w:rsid w:val="00284A2B"/>
    <w:rsid w:val="00284BEF"/>
    <w:rsid w:val="00284E08"/>
    <w:rsid w:val="00284E4D"/>
    <w:rsid w:val="00284EAD"/>
    <w:rsid w:val="00285191"/>
    <w:rsid w:val="002852AC"/>
    <w:rsid w:val="002854BE"/>
    <w:rsid w:val="002854FA"/>
    <w:rsid w:val="0028562E"/>
    <w:rsid w:val="002856A8"/>
    <w:rsid w:val="002858FE"/>
    <w:rsid w:val="0028590C"/>
    <w:rsid w:val="0028593E"/>
    <w:rsid w:val="00285BF3"/>
    <w:rsid w:val="00285FD0"/>
    <w:rsid w:val="00285FE1"/>
    <w:rsid w:val="00286126"/>
    <w:rsid w:val="002861EE"/>
    <w:rsid w:val="002862B1"/>
    <w:rsid w:val="002862D4"/>
    <w:rsid w:val="002863EC"/>
    <w:rsid w:val="002866B5"/>
    <w:rsid w:val="0028696C"/>
    <w:rsid w:val="002869B6"/>
    <w:rsid w:val="002869E0"/>
    <w:rsid w:val="00286A89"/>
    <w:rsid w:val="00286B59"/>
    <w:rsid w:val="00286C47"/>
    <w:rsid w:val="00286C53"/>
    <w:rsid w:val="00286D3C"/>
    <w:rsid w:val="00286D4E"/>
    <w:rsid w:val="00287277"/>
    <w:rsid w:val="0028741A"/>
    <w:rsid w:val="0028742A"/>
    <w:rsid w:val="0028768D"/>
    <w:rsid w:val="00287902"/>
    <w:rsid w:val="00287BC3"/>
    <w:rsid w:val="00287C2B"/>
    <w:rsid w:val="00287D38"/>
    <w:rsid w:val="00287DDA"/>
    <w:rsid w:val="00287F48"/>
    <w:rsid w:val="0029003F"/>
    <w:rsid w:val="002902C0"/>
    <w:rsid w:val="002902C4"/>
    <w:rsid w:val="00290373"/>
    <w:rsid w:val="002904C4"/>
    <w:rsid w:val="0029059D"/>
    <w:rsid w:val="002907CB"/>
    <w:rsid w:val="00290882"/>
    <w:rsid w:val="0029088A"/>
    <w:rsid w:val="00290B37"/>
    <w:rsid w:val="00290E3B"/>
    <w:rsid w:val="00290E44"/>
    <w:rsid w:val="00290F59"/>
    <w:rsid w:val="0029119E"/>
    <w:rsid w:val="00291269"/>
    <w:rsid w:val="00291333"/>
    <w:rsid w:val="00291439"/>
    <w:rsid w:val="002914EC"/>
    <w:rsid w:val="002915F9"/>
    <w:rsid w:val="00291675"/>
    <w:rsid w:val="00291749"/>
    <w:rsid w:val="002917A6"/>
    <w:rsid w:val="00291823"/>
    <w:rsid w:val="0029189B"/>
    <w:rsid w:val="002919D3"/>
    <w:rsid w:val="00291A0D"/>
    <w:rsid w:val="00291E88"/>
    <w:rsid w:val="00291ED7"/>
    <w:rsid w:val="0029227F"/>
    <w:rsid w:val="002923F2"/>
    <w:rsid w:val="00292430"/>
    <w:rsid w:val="00292533"/>
    <w:rsid w:val="00292632"/>
    <w:rsid w:val="00292A08"/>
    <w:rsid w:val="00292BE3"/>
    <w:rsid w:val="00292D2F"/>
    <w:rsid w:val="002930CE"/>
    <w:rsid w:val="00293252"/>
    <w:rsid w:val="00293262"/>
    <w:rsid w:val="002933C9"/>
    <w:rsid w:val="00293455"/>
    <w:rsid w:val="00293971"/>
    <w:rsid w:val="00293F16"/>
    <w:rsid w:val="00294143"/>
    <w:rsid w:val="00294245"/>
    <w:rsid w:val="00294494"/>
    <w:rsid w:val="00294582"/>
    <w:rsid w:val="002945A9"/>
    <w:rsid w:val="00294741"/>
    <w:rsid w:val="002948D7"/>
    <w:rsid w:val="00294C24"/>
    <w:rsid w:val="00294E1D"/>
    <w:rsid w:val="00294F0A"/>
    <w:rsid w:val="00294F56"/>
    <w:rsid w:val="00294F6E"/>
    <w:rsid w:val="00295318"/>
    <w:rsid w:val="002954D4"/>
    <w:rsid w:val="0029565E"/>
    <w:rsid w:val="00295692"/>
    <w:rsid w:val="002957B8"/>
    <w:rsid w:val="00295852"/>
    <w:rsid w:val="002958B0"/>
    <w:rsid w:val="00295923"/>
    <w:rsid w:val="00295A17"/>
    <w:rsid w:val="00295A6C"/>
    <w:rsid w:val="00295A9B"/>
    <w:rsid w:val="00295DCE"/>
    <w:rsid w:val="00295F0E"/>
    <w:rsid w:val="00295F6F"/>
    <w:rsid w:val="00295F8F"/>
    <w:rsid w:val="002960B2"/>
    <w:rsid w:val="00296189"/>
    <w:rsid w:val="002962B7"/>
    <w:rsid w:val="0029634D"/>
    <w:rsid w:val="002964A1"/>
    <w:rsid w:val="002964E6"/>
    <w:rsid w:val="00296519"/>
    <w:rsid w:val="00296568"/>
    <w:rsid w:val="00296799"/>
    <w:rsid w:val="00296B66"/>
    <w:rsid w:val="00296BD2"/>
    <w:rsid w:val="00296E21"/>
    <w:rsid w:val="002971D4"/>
    <w:rsid w:val="00297291"/>
    <w:rsid w:val="00297353"/>
    <w:rsid w:val="0029776B"/>
    <w:rsid w:val="0029777F"/>
    <w:rsid w:val="00297858"/>
    <w:rsid w:val="0029796F"/>
    <w:rsid w:val="00297A76"/>
    <w:rsid w:val="00297AF1"/>
    <w:rsid w:val="00297FC9"/>
    <w:rsid w:val="002A00CD"/>
    <w:rsid w:val="002A0201"/>
    <w:rsid w:val="002A0214"/>
    <w:rsid w:val="002A0631"/>
    <w:rsid w:val="002A088B"/>
    <w:rsid w:val="002A09C5"/>
    <w:rsid w:val="002A0A6A"/>
    <w:rsid w:val="002A0B2F"/>
    <w:rsid w:val="002A0DFD"/>
    <w:rsid w:val="002A1706"/>
    <w:rsid w:val="002A1840"/>
    <w:rsid w:val="002A1ACA"/>
    <w:rsid w:val="002A1ADA"/>
    <w:rsid w:val="002A1D0C"/>
    <w:rsid w:val="002A1D68"/>
    <w:rsid w:val="002A1EDF"/>
    <w:rsid w:val="002A215F"/>
    <w:rsid w:val="002A2272"/>
    <w:rsid w:val="002A22B8"/>
    <w:rsid w:val="002A22E6"/>
    <w:rsid w:val="002A23C6"/>
    <w:rsid w:val="002A2479"/>
    <w:rsid w:val="002A248F"/>
    <w:rsid w:val="002A26DC"/>
    <w:rsid w:val="002A27B1"/>
    <w:rsid w:val="002A29F7"/>
    <w:rsid w:val="002A2A0D"/>
    <w:rsid w:val="002A2A1D"/>
    <w:rsid w:val="002A2C2E"/>
    <w:rsid w:val="002A2C67"/>
    <w:rsid w:val="002A2CE1"/>
    <w:rsid w:val="002A2DA5"/>
    <w:rsid w:val="002A337F"/>
    <w:rsid w:val="002A3623"/>
    <w:rsid w:val="002A38B0"/>
    <w:rsid w:val="002A39DD"/>
    <w:rsid w:val="002A3BB1"/>
    <w:rsid w:val="002A3C84"/>
    <w:rsid w:val="002A4141"/>
    <w:rsid w:val="002A4183"/>
    <w:rsid w:val="002A4325"/>
    <w:rsid w:val="002A43E2"/>
    <w:rsid w:val="002A4480"/>
    <w:rsid w:val="002A44A7"/>
    <w:rsid w:val="002A45F8"/>
    <w:rsid w:val="002A4678"/>
    <w:rsid w:val="002A4787"/>
    <w:rsid w:val="002A4812"/>
    <w:rsid w:val="002A49A7"/>
    <w:rsid w:val="002A4A28"/>
    <w:rsid w:val="002A4A7B"/>
    <w:rsid w:val="002A4A93"/>
    <w:rsid w:val="002A4AA9"/>
    <w:rsid w:val="002A4EBD"/>
    <w:rsid w:val="002A4EBE"/>
    <w:rsid w:val="002A503E"/>
    <w:rsid w:val="002A5A83"/>
    <w:rsid w:val="002A5D11"/>
    <w:rsid w:val="002A5DBB"/>
    <w:rsid w:val="002A5FFC"/>
    <w:rsid w:val="002A61ED"/>
    <w:rsid w:val="002A64CC"/>
    <w:rsid w:val="002A665F"/>
    <w:rsid w:val="002A676F"/>
    <w:rsid w:val="002A6A04"/>
    <w:rsid w:val="002A6A90"/>
    <w:rsid w:val="002A6B72"/>
    <w:rsid w:val="002A6C4F"/>
    <w:rsid w:val="002A6CDC"/>
    <w:rsid w:val="002A6CDD"/>
    <w:rsid w:val="002A6EA4"/>
    <w:rsid w:val="002A6F19"/>
    <w:rsid w:val="002A7441"/>
    <w:rsid w:val="002A774A"/>
    <w:rsid w:val="002A774B"/>
    <w:rsid w:val="002A77A8"/>
    <w:rsid w:val="002A7BB6"/>
    <w:rsid w:val="002A7D83"/>
    <w:rsid w:val="002A7F85"/>
    <w:rsid w:val="002B00B6"/>
    <w:rsid w:val="002B01C4"/>
    <w:rsid w:val="002B03EA"/>
    <w:rsid w:val="002B04D2"/>
    <w:rsid w:val="002B0552"/>
    <w:rsid w:val="002B0621"/>
    <w:rsid w:val="002B0754"/>
    <w:rsid w:val="002B08B9"/>
    <w:rsid w:val="002B0934"/>
    <w:rsid w:val="002B09A9"/>
    <w:rsid w:val="002B09C4"/>
    <w:rsid w:val="002B0D6F"/>
    <w:rsid w:val="002B0DEF"/>
    <w:rsid w:val="002B0EC9"/>
    <w:rsid w:val="002B114E"/>
    <w:rsid w:val="002B125D"/>
    <w:rsid w:val="002B12D6"/>
    <w:rsid w:val="002B1322"/>
    <w:rsid w:val="002B1370"/>
    <w:rsid w:val="002B15FE"/>
    <w:rsid w:val="002B16DD"/>
    <w:rsid w:val="002B171A"/>
    <w:rsid w:val="002B1876"/>
    <w:rsid w:val="002B1943"/>
    <w:rsid w:val="002B1B37"/>
    <w:rsid w:val="002B1BAF"/>
    <w:rsid w:val="002B1FCC"/>
    <w:rsid w:val="002B2020"/>
    <w:rsid w:val="002B2067"/>
    <w:rsid w:val="002B2119"/>
    <w:rsid w:val="002B2298"/>
    <w:rsid w:val="002B22C1"/>
    <w:rsid w:val="002B2366"/>
    <w:rsid w:val="002B2604"/>
    <w:rsid w:val="002B26BC"/>
    <w:rsid w:val="002B26F3"/>
    <w:rsid w:val="002B2727"/>
    <w:rsid w:val="002B27CD"/>
    <w:rsid w:val="002B2893"/>
    <w:rsid w:val="002B29DF"/>
    <w:rsid w:val="002B2A44"/>
    <w:rsid w:val="002B2B97"/>
    <w:rsid w:val="002B2F5D"/>
    <w:rsid w:val="002B2F61"/>
    <w:rsid w:val="002B318E"/>
    <w:rsid w:val="002B32AD"/>
    <w:rsid w:val="002B32BC"/>
    <w:rsid w:val="002B330A"/>
    <w:rsid w:val="002B332D"/>
    <w:rsid w:val="002B3361"/>
    <w:rsid w:val="002B33D3"/>
    <w:rsid w:val="002B34AD"/>
    <w:rsid w:val="002B34C0"/>
    <w:rsid w:val="002B3578"/>
    <w:rsid w:val="002B3A1C"/>
    <w:rsid w:val="002B3A78"/>
    <w:rsid w:val="002B3BA8"/>
    <w:rsid w:val="002B3BBF"/>
    <w:rsid w:val="002B4260"/>
    <w:rsid w:val="002B44C6"/>
    <w:rsid w:val="002B4539"/>
    <w:rsid w:val="002B4A0B"/>
    <w:rsid w:val="002B4A3A"/>
    <w:rsid w:val="002B4E5B"/>
    <w:rsid w:val="002B4F7A"/>
    <w:rsid w:val="002B52E3"/>
    <w:rsid w:val="002B53AB"/>
    <w:rsid w:val="002B53DE"/>
    <w:rsid w:val="002B541D"/>
    <w:rsid w:val="002B54E2"/>
    <w:rsid w:val="002B562B"/>
    <w:rsid w:val="002B564F"/>
    <w:rsid w:val="002B56DC"/>
    <w:rsid w:val="002B583E"/>
    <w:rsid w:val="002B5918"/>
    <w:rsid w:val="002B5959"/>
    <w:rsid w:val="002B5C93"/>
    <w:rsid w:val="002B5D4A"/>
    <w:rsid w:val="002B5E3F"/>
    <w:rsid w:val="002B606A"/>
    <w:rsid w:val="002B607C"/>
    <w:rsid w:val="002B60AF"/>
    <w:rsid w:val="002B6615"/>
    <w:rsid w:val="002B67D5"/>
    <w:rsid w:val="002B68C5"/>
    <w:rsid w:val="002B6A32"/>
    <w:rsid w:val="002B6A54"/>
    <w:rsid w:val="002B6F5F"/>
    <w:rsid w:val="002B703B"/>
    <w:rsid w:val="002B71A2"/>
    <w:rsid w:val="002B720A"/>
    <w:rsid w:val="002B72FB"/>
    <w:rsid w:val="002B72FF"/>
    <w:rsid w:val="002B73A5"/>
    <w:rsid w:val="002B779C"/>
    <w:rsid w:val="002B781E"/>
    <w:rsid w:val="002B7860"/>
    <w:rsid w:val="002B7E86"/>
    <w:rsid w:val="002B7EC1"/>
    <w:rsid w:val="002B7F83"/>
    <w:rsid w:val="002C0016"/>
    <w:rsid w:val="002C0130"/>
    <w:rsid w:val="002C02F8"/>
    <w:rsid w:val="002C0401"/>
    <w:rsid w:val="002C041B"/>
    <w:rsid w:val="002C06CA"/>
    <w:rsid w:val="002C0AA8"/>
    <w:rsid w:val="002C0C06"/>
    <w:rsid w:val="002C0DA8"/>
    <w:rsid w:val="002C0E5B"/>
    <w:rsid w:val="002C0F46"/>
    <w:rsid w:val="002C1341"/>
    <w:rsid w:val="002C1405"/>
    <w:rsid w:val="002C1437"/>
    <w:rsid w:val="002C143A"/>
    <w:rsid w:val="002C15B3"/>
    <w:rsid w:val="002C15D2"/>
    <w:rsid w:val="002C17CC"/>
    <w:rsid w:val="002C1928"/>
    <w:rsid w:val="002C1981"/>
    <w:rsid w:val="002C19F8"/>
    <w:rsid w:val="002C1AE8"/>
    <w:rsid w:val="002C1B38"/>
    <w:rsid w:val="002C1BB4"/>
    <w:rsid w:val="002C1D19"/>
    <w:rsid w:val="002C1EA7"/>
    <w:rsid w:val="002C1FDD"/>
    <w:rsid w:val="002C20D8"/>
    <w:rsid w:val="002C21F9"/>
    <w:rsid w:val="002C2448"/>
    <w:rsid w:val="002C24C1"/>
    <w:rsid w:val="002C2875"/>
    <w:rsid w:val="002C2947"/>
    <w:rsid w:val="002C2B64"/>
    <w:rsid w:val="002C2CE9"/>
    <w:rsid w:val="002C2E9B"/>
    <w:rsid w:val="002C2F25"/>
    <w:rsid w:val="002C2F4C"/>
    <w:rsid w:val="002C3196"/>
    <w:rsid w:val="002C3211"/>
    <w:rsid w:val="002C363E"/>
    <w:rsid w:val="002C3A5C"/>
    <w:rsid w:val="002C3B0F"/>
    <w:rsid w:val="002C3BAB"/>
    <w:rsid w:val="002C3DE9"/>
    <w:rsid w:val="002C3F0C"/>
    <w:rsid w:val="002C405F"/>
    <w:rsid w:val="002C45F5"/>
    <w:rsid w:val="002C48A3"/>
    <w:rsid w:val="002C4B78"/>
    <w:rsid w:val="002C4D8E"/>
    <w:rsid w:val="002C4EFC"/>
    <w:rsid w:val="002C504C"/>
    <w:rsid w:val="002C50CB"/>
    <w:rsid w:val="002C5441"/>
    <w:rsid w:val="002C54ED"/>
    <w:rsid w:val="002C5510"/>
    <w:rsid w:val="002C5744"/>
    <w:rsid w:val="002C581A"/>
    <w:rsid w:val="002C5902"/>
    <w:rsid w:val="002C5A5A"/>
    <w:rsid w:val="002C5BA9"/>
    <w:rsid w:val="002C5E6A"/>
    <w:rsid w:val="002C5ECF"/>
    <w:rsid w:val="002C631C"/>
    <w:rsid w:val="002C6369"/>
    <w:rsid w:val="002C6487"/>
    <w:rsid w:val="002C6649"/>
    <w:rsid w:val="002C667F"/>
    <w:rsid w:val="002C66EC"/>
    <w:rsid w:val="002C6AC9"/>
    <w:rsid w:val="002C6E50"/>
    <w:rsid w:val="002C6E7B"/>
    <w:rsid w:val="002C6EFB"/>
    <w:rsid w:val="002C70B0"/>
    <w:rsid w:val="002C721F"/>
    <w:rsid w:val="002C722E"/>
    <w:rsid w:val="002C741D"/>
    <w:rsid w:val="002C74C3"/>
    <w:rsid w:val="002C7787"/>
    <w:rsid w:val="002C7903"/>
    <w:rsid w:val="002C7991"/>
    <w:rsid w:val="002C79BB"/>
    <w:rsid w:val="002C7A60"/>
    <w:rsid w:val="002C7A9B"/>
    <w:rsid w:val="002C7C6E"/>
    <w:rsid w:val="002C7D79"/>
    <w:rsid w:val="002C7FCF"/>
    <w:rsid w:val="002C7FEA"/>
    <w:rsid w:val="002D0292"/>
    <w:rsid w:val="002D03EF"/>
    <w:rsid w:val="002D060C"/>
    <w:rsid w:val="002D0924"/>
    <w:rsid w:val="002D097B"/>
    <w:rsid w:val="002D09F0"/>
    <w:rsid w:val="002D09F8"/>
    <w:rsid w:val="002D0A14"/>
    <w:rsid w:val="002D0A47"/>
    <w:rsid w:val="002D0A52"/>
    <w:rsid w:val="002D0BF9"/>
    <w:rsid w:val="002D0C53"/>
    <w:rsid w:val="002D0CCA"/>
    <w:rsid w:val="002D0E9E"/>
    <w:rsid w:val="002D0F73"/>
    <w:rsid w:val="002D1100"/>
    <w:rsid w:val="002D137D"/>
    <w:rsid w:val="002D148D"/>
    <w:rsid w:val="002D14FF"/>
    <w:rsid w:val="002D155B"/>
    <w:rsid w:val="002D15E2"/>
    <w:rsid w:val="002D176F"/>
    <w:rsid w:val="002D1ABC"/>
    <w:rsid w:val="002D1BED"/>
    <w:rsid w:val="002D1CB7"/>
    <w:rsid w:val="002D1E54"/>
    <w:rsid w:val="002D1E90"/>
    <w:rsid w:val="002D1EFA"/>
    <w:rsid w:val="002D2169"/>
    <w:rsid w:val="002D21E8"/>
    <w:rsid w:val="002D2550"/>
    <w:rsid w:val="002D256E"/>
    <w:rsid w:val="002D2655"/>
    <w:rsid w:val="002D2714"/>
    <w:rsid w:val="002D2806"/>
    <w:rsid w:val="002D28B0"/>
    <w:rsid w:val="002D29FA"/>
    <w:rsid w:val="002D2A5C"/>
    <w:rsid w:val="002D2D1C"/>
    <w:rsid w:val="002D2DD0"/>
    <w:rsid w:val="002D2EC9"/>
    <w:rsid w:val="002D2FDA"/>
    <w:rsid w:val="002D302C"/>
    <w:rsid w:val="002D3192"/>
    <w:rsid w:val="002D340F"/>
    <w:rsid w:val="002D382F"/>
    <w:rsid w:val="002D38B8"/>
    <w:rsid w:val="002D3EAF"/>
    <w:rsid w:val="002D3FF9"/>
    <w:rsid w:val="002D45FD"/>
    <w:rsid w:val="002D497C"/>
    <w:rsid w:val="002D49B0"/>
    <w:rsid w:val="002D49B9"/>
    <w:rsid w:val="002D49C8"/>
    <w:rsid w:val="002D4A29"/>
    <w:rsid w:val="002D4BEC"/>
    <w:rsid w:val="002D4D81"/>
    <w:rsid w:val="002D4EE7"/>
    <w:rsid w:val="002D4F1A"/>
    <w:rsid w:val="002D509D"/>
    <w:rsid w:val="002D5155"/>
    <w:rsid w:val="002D5379"/>
    <w:rsid w:val="002D5A0C"/>
    <w:rsid w:val="002D5A91"/>
    <w:rsid w:val="002D5E0F"/>
    <w:rsid w:val="002D5E50"/>
    <w:rsid w:val="002D5EAF"/>
    <w:rsid w:val="002D6034"/>
    <w:rsid w:val="002D60AE"/>
    <w:rsid w:val="002D6266"/>
    <w:rsid w:val="002D6329"/>
    <w:rsid w:val="002D6399"/>
    <w:rsid w:val="002D63E4"/>
    <w:rsid w:val="002D6491"/>
    <w:rsid w:val="002D6768"/>
    <w:rsid w:val="002D68C6"/>
    <w:rsid w:val="002D68D1"/>
    <w:rsid w:val="002D68D9"/>
    <w:rsid w:val="002D69D7"/>
    <w:rsid w:val="002D6B84"/>
    <w:rsid w:val="002D6DE9"/>
    <w:rsid w:val="002D6F92"/>
    <w:rsid w:val="002D721B"/>
    <w:rsid w:val="002D7250"/>
    <w:rsid w:val="002D742D"/>
    <w:rsid w:val="002D7469"/>
    <w:rsid w:val="002D75A6"/>
    <w:rsid w:val="002D773E"/>
    <w:rsid w:val="002D7884"/>
    <w:rsid w:val="002D78CE"/>
    <w:rsid w:val="002E0058"/>
    <w:rsid w:val="002E0107"/>
    <w:rsid w:val="002E0291"/>
    <w:rsid w:val="002E0346"/>
    <w:rsid w:val="002E0394"/>
    <w:rsid w:val="002E0599"/>
    <w:rsid w:val="002E0727"/>
    <w:rsid w:val="002E0BD7"/>
    <w:rsid w:val="002E0C32"/>
    <w:rsid w:val="002E0EAF"/>
    <w:rsid w:val="002E0FD0"/>
    <w:rsid w:val="002E0FDE"/>
    <w:rsid w:val="002E108F"/>
    <w:rsid w:val="002E1179"/>
    <w:rsid w:val="002E11D5"/>
    <w:rsid w:val="002E1341"/>
    <w:rsid w:val="002E138A"/>
    <w:rsid w:val="002E13CA"/>
    <w:rsid w:val="002E14E5"/>
    <w:rsid w:val="002E16DB"/>
    <w:rsid w:val="002E1852"/>
    <w:rsid w:val="002E1898"/>
    <w:rsid w:val="002E1A02"/>
    <w:rsid w:val="002E1FCF"/>
    <w:rsid w:val="002E200D"/>
    <w:rsid w:val="002E205D"/>
    <w:rsid w:val="002E2252"/>
    <w:rsid w:val="002E2302"/>
    <w:rsid w:val="002E2401"/>
    <w:rsid w:val="002E2638"/>
    <w:rsid w:val="002E281B"/>
    <w:rsid w:val="002E2825"/>
    <w:rsid w:val="002E2A04"/>
    <w:rsid w:val="002E2A36"/>
    <w:rsid w:val="002E2B85"/>
    <w:rsid w:val="002E2CD6"/>
    <w:rsid w:val="002E2F96"/>
    <w:rsid w:val="002E3162"/>
    <w:rsid w:val="002E3366"/>
    <w:rsid w:val="002E33C5"/>
    <w:rsid w:val="002E33D7"/>
    <w:rsid w:val="002E349E"/>
    <w:rsid w:val="002E372F"/>
    <w:rsid w:val="002E37F9"/>
    <w:rsid w:val="002E3AD5"/>
    <w:rsid w:val="002E3D7B"/>
    <w:rsid w:val="002E448D"/>
    <w:rsid w:val="002E449D"/>
    <w:rsid w:val="002E44A0"/>
    <w:rsid w:val="002E4662"/>
    <w:rsid w:val="002E4A8D"/>
    <w:rsid w:val="002E4A95"/>
    <w:rsid w:val="002E4B2B"/>
    <w:rsid w:val="002E4C3A"/>
    <w:rsid w:val="002E4D53"/>
    <w:rsid w:val="002E4EA9"/>
    <w:rsid w:val="002E4EFE"/>
    <w:rsid w:val="002E513C"/>
    <w:rsid w:val="002E5225"/>
    <w:rsid w:val="002E536A"/>
    <w:rsid w:val="002E537B"/>
    <w:rsid w:val="002E53CE"/>
    <w:rsid w:val="002E54FE"/>
    <w:rsid w:val="002E55D2"/>
    <w:rsid w:val="002E593D"/>
    <w:rsid w:val="002E59BA"/>
    <w:rsid w:val="002E5B71"/>
    <w:rsid w:val="002E5F85"/>
    <w:rsid w:val="002E609A"/>
    <w:rsid w:val="002E6438"/>
    <w:rsid w:val="002E6AAB"/>
    <w:rsid w:val="002E6AFC"/>
    <w:rsid w:val="002E6B25"/>
    <w:rsid w:val="002E6B39"/>
    <w:rsid w:val="002E6B7C"/>
    <w:rsid w:val="002E6D95"/>
    <w:rsid w:val="002E7239"/>
    <w:rsid w:val="002E7381"/>
    <w:rsid w:val="002E73DF"/>
    <w:rsid w:val="002E74E6"/>
    <w:rsid w:val="002E752B"/>
    <w:rsid w:val="002E76EF"/>
    <w:rsid w:val="002E777A"/>
    <w:rsid w:val="002E7934"/>
    <w:rsid w:val="002E7BEC"/>
    <w:rsid w:val="002E7C76"/>
    <w:rsid w:val="002E7D7E"/>
    <w:rsid w:val="002E7F9A"/>
    <w:rsid w:val="002E7FF2"/>
    <w:rsid w:val="002F00CA"/>
    <w:rsid w:val="002F028E"/>
    <w:rsid w:val="002F0466"/>
    <w:rsid w:val="002F04AE"/>
    <w:rsid w:val="002F04BB"/>
    <w:rsid w:val="002F05AD"/>
    <w:rsid w:val="002F09A4"/>
    <w:rsid w:val="002F1189"/>
    <w:rsid w:val="002F11D6"/>
    <w:rsid w:val="002F134F"/>
    <w:rsid w:val="002F1647"/>
    <w:rsid w:val="002F1679"/>
    <w:rsid w:val="002F177A"/>
    <w:rsid w:val="002F1819"/>
    <w:rsid w:val="002F18DB"/>
    <w:rsid w:val="002F2047"/>
    <w:rsid w:val="002F209B"/>
    <w:rsid w:val="002F2204"/>
    <w:rsid w:val="002F2435"/>
    <w:rsid w:val="002F2543"/>
    <w:rsid w:val="002F2589"/>
    <w:rsid w:val="002F2853"/>
    <w:rsid w:val="002F28D5"/>
    <w:rsid w:val="002F2ADF"/>
    <w:rsid w:val="002F2DEA"/>
    <w:rsid w:val="002F3027"/>
    <w:rsid w:val="002F3140"/>
    <w:rsid w:val="002F319F"/>
    <w:rsid w:val="002F32A9"/>
    <w:rsid w:val="002F344C"/>
    <w:rsid w:val="002F34B3"/>
    <w:rsid w:val="002F357B"/>
    <w:rsid w:val="002F35FF"/>
    <w:rsid w:val="002F39BF"/>
    <w:rsid w:val="002F3AD8"/>
    <w:rsid w:val="002F3BB0"/>
    <w:rsid w:val="002F3C07"/>
    <w:rsid w:val="002F3D1A"/>
    <w:rsid w:val="002F3D4D"/>
    <w:rsid w:val="002F3E29"/>
    <w:rsid w:val="002F3E52"/>
    <w:rsid w:val="002F40BC"/>
    <w:rsid w:val="002F41A8"/>
    <w:rsid w:val="002F42AF"/>
    <w:rsid w:val="002F452F"/>
    <w:rsid w:val="002F4940"/>
    <w:rsid w:val="002F4B79"/>
    <w:rsid w:val="002F4B8D"/>
    <w:rsid w:val="002F4C92"/>
    <w:rsid w:val="002F500A"/>
    <w:rsid w:val="002F520F"/>
    <w:rsid w:val="002F52FD"/>
    <w:rsid w:val="002F5314"/>
    <w:rsid w:val="002F5335"/>
    <w:rsid w:val="002F536F"/>
    <w:rsid w:val="002F5380"/>
    <w:rsid w:val="002F5473"/>
    <w:rsid w:val="002F5767"/>
    <w:rsid w:val="002F5C2D"/>
    <w:rsid w:val="002F5CBC"/>
    <w:rsid w:val="002F5E5A"/>
    <w:rsid w:val="002F5EE9"/>
    <w:rsid w:val="002F5FF2"/>
    <w:rsid w:val="002F6059"/>
    <w:rsid w:val="002F609A"/>
    <w:rsid w:val="002F6131"/>
    <w:rsid w:val="002F61D7"/>
    <w:rsid w:val="002F61DF"/>
    <w:rsid w:val="002F628F"/>
    <w:rsid w:val="002F658F"/>
    <w:rsid w:val="002F66AA"/>
    <w:rsid w:val="002F66E2"/>
    <w:rsid w:val="002F68DE"/>
    <w:rsid w:val="002F6977"/>
    <w:rsid w:val="002F6A56"/>
    <w:rsid w:val="002F6B8D"/>
    <w:rsid w:val="002F6C6C"/>
    <w:rsid w:val="002F701F"/>
    <w:rsid w:val="002F7155"/>
    <w:rsid w:val="002F72E9"/>
    <w:rsid w:val="002F74D1"/>
    <w:rsid w:val="002F777D"/>
    <w:rsid w:val="002F77C5"/>
    <w:rsid w:val="002F783B"/>
    <w:rsid w:val="002F7843"/>
    <w:rsid w:val="002F79DC"/>
    <w:rsid w:val="002F7BD3"/>
    <w:rsid w:val="002F7C8A"/>
    <w:rsid w:val="002F7D41"/>
    <w:rsid w:val="002F7DAE"/>
    <w:rsid w:val="002F7DED"/>
    <w:rsid w:val="002F7E7B"/>
    <w:rsid w:val="003000FD"/>
    <w:rsid w:val="003001C5"/>
    <w:rsid w:val="00300641"/>
    <w:rsid w:val="0030067C"/>
    <w:rsid w:val="0030090A"/>
    <w:rsid w:val="00300950"/>
    <w:rsid w:val="00300974"/>
    <w:rsid w:val="00300A3B"/>
    <w:rsid w:val="00300A6E"/>
    <w:rsid w:val="00300A7F"/>
    <w:rsid w:val="00300AA0"/>
    <w:rsid w:val="00300DE1"/>
    <w:rsid w:val="00300E88"/>
    <w:rsid w:val="00300F37"/>
    <w:rsid w:val="00300F48"/>
    <w:rsid w:val="00301031"/>
    <w:rsid w:val="00301115"/>
    <w:rsid w:val="003012DB"/>
    <w:rsid w:val="003013E3"/>
    <w:rsid w:val="0030140E"/>
    <w:rsid w:val="00301708"/>
    <w:rsid w:val="003018E6"/>
    <w:rsid w:val="00301B2D"/>
    <w:rsid w:val="00301B80"/>
    <w:rsid w:val="00301B9B"/>
    <w:rsid w:val="00301D0E"/>
    <w:rsid w:val="00301D40"/>
    <w:rsid w:val="003023A5"/>
    <w:rsid w:val="003025BF"/>
    <w:rsid w:val="00302631"/>
    <w:rsid w:val="0030274E"/>
    <w:rsid w:val="0030285B"/>
    <w:rsid w:val="00302AEA"/>
    <w:rsid w:val="00302B30"/>
    <w:rsid w:val="00302C23"/>
    <w:rsid w:val="00302CBB"/>
    <w:rsid w:val="00302D41"/>
    <w:rsid w:val="00302EC8"/>
    <w:rsid w:val="00303140"/>
    <w:rsid w:val="003031C7"/>
    <w:rsid w:val="003034EF"/>
    <w:rsid w:val="00303510"/>
    <w:rsid w:val="00303763"/>
    <w:rsid w:val="0030399C"/>
    <w:rsid w:val="0030424C"/>
    <w:rsid w:val="00304297"/>
    <w:rsid w:val="003042CE"/>
    <w:rsid w:val="003044C8"/>
    <w:rsid w:val="0030469D"/>
    <w:rsid w:val="0030472C"/>
    <w:rsid w:val="00304A3F"/>
    <w:rsid w:val="00304BDA"/>
    <w:rsid w:val="00304C1C"/>
    <w:rsid w:val="00304CBD"/>
    <w:rsid w:val="00304CE9"/>
    <w:rsid w:val="00304DC7"/>
    <w:rsid w:val="00304EBE"/>
    <w:rsid w:val="0030517D"/>
    <w:rsid w:val="003051BE"/>
    <w:rsid w:val="003052FF"/>
    <w:rsid w:val="003053D1"/>
    <w:rsid w:val="00305496"/>
    <w:rsid w:val="0030576A"/>
    <w:rsid w:val="00305959"/>
    <w:rsid w:val="0030598A"/>
    <w:rsid w:val="003059BE"/>
    <w:rsid w:val="00305B87"/>
    <w:rsid w:val="00305C3C"/>
    <w:rsid w:val="00305E0D"/>
    <w:rsid w:val="00305E6C"/>
    <w:rsid w:val="00306022"/>
    <w:rsid w:val="003061BE"/>
    <w:rsid w:val="00306291"/>
    <w:rsid w:val="003062A0"/>
    <w:rsid w:val="0030648D"/>
    <w:rsid w:val="00306775"/>
    <w:rsid w:val="00306BCA"/>
    <w:rsid w:val="0030701D"/>
    <w:rsid w:val="0030703F"/>
    <w:rsid w:val="00307523"/>
    <w:rsid w:val="0030773B"/>
    <w:rsid w:val="00307884"/>
    <w:rsid w:val="00310286"/>
    <w:rsid w:val="0031059A"/>
    <w:rsid w:val="00310603"/>
    <w:rsid w:val="003106FA"/>
    <w:rsid w:val="0031081C"/>
    <w:rsid w:val="00310918"/>
    <w:rsid w:val="00310A1E"/>
    <w:rsid w:val="00310A63"/>
    <w:rsid w:val="00310C12"/>
    <w:rsid w:val="00310C26"/>
    <w:rsid w:val="00310C68"/>
    <w:rsid w:val="00310D2F"/>
    <w:rsid w:val="00310D59"/>
    <w:rsid w:val="00310DB1"/>
    <w:rsid w:val="00310F59"/>
    <w:rsid w:val="00310FCB"/>
    <w:rsid w:val="00311001"/>
    <w:rsid w:val="00311064"/>
    <w:rsid w:val="003110BD"/>
    <w:rsid w:val="00311192"/>
    <w:rsid w:val="00311279"/>
    <w:rsid w:val="003117CD"/>
    <w:rsid w:val="00311918"/>
    <w:rsid w:val="00311AF7"/>
    <w:rsid w:val="00311C97"/>
    <w:rsid w:val="00311CD2"/>
    <w:rsid w:val="00311D3F"/>
    <w:rsid w:val="00311EEB"/>
    <w:rsid w:val="003120C0"/>
    <w:rsid w:val="003120FA"/>
    <w:rsid w:val="00312554"/>
    <w:rsid w:val="00312844"/>
    <w:rsid w:val="003129D1"/>
    <w:rsid w:val="003129FF"/>
    <w:rsid w:val="00312ACB"/>
    <w:rsid w:val="00312B8C"/>
    <w:rsid w:val="00312D1F"/>
    <w:rsid w:val="003130F8"/>
    <w:rsid w:val="00313395"/>
    <w:rsid w:val="00313674"/>
    <w:rsid w:val="00313C0F"/>
    <w:rsid w:val="00313EE3"/>
    <w:rsid w:val="00314118"/>
    <w:rsid w:val="003141D5"/>
    <w:rsid w:val="0031468B"/>
    <w:rsid w:val="00314905"/>
    <w:rsid w:val="00314A48"/>
    <w:rsid w:val="00314AE7"/>
    <w:rsid w:val="00314B09"/>
    <w:rsid w:val="00314B21"/>
    <w:rsid w:val="00314C26"/>
    <w:rsid w:val="00314DA6"/>
    <w:rsid w:val="003152A5"/>
    <w:rsid w:val="00315348"/>
    <w:rsid w:val="0031538D"/>
    <w:rsid w:val="00315484"/>
    <w:rsid w:val="003155D2"/>
    <w:rsid w:val="003155DF"/>
    <w:rsid w:val="003156B0"/>
    <w:rsid w:val="00315A4A"/>
    <w:rsid w:val="00315A6A"/>
    <w:rsid w:val="00315B19"/>
    <w:rsid w:val="00315C54"/>
    <w:rsid w:val="00315DBC"/>
    <w:rsid w:val="00315DC2"/>
    <w:rsid w:val="003160BF"/>
    <w:rsid w:val="00316256"/>
    <w:rsid w:val="003162E5"/>
    <w:rsid w:val="00316482"/>
    <w:rsid w:val="003165CA"/>
    <w:rsid w:val="003166E0"/>
    <w:rsid w:val="003166F7"/>
    <w:rsid w:val="003167C3"/>
    <w:rsid w:val="003167F1"/>
    <w:rsid w:val="0031699C"/>
    <w:rsid w:val="00316AF8"/>
    <w:rsid w:val="00316B66"/>
    <w:rsid w:val="00316B85"/>
    <w:rsid w:val="00316C51"/>
    <w:rsid w:val="00316C93"/>
    <w:rsid w:val="00316CA2"/>
    <w:rsid w:val="00316DDC"/>
    <w:rsid w:val="00316DFF"/>
    <w:rsid w:val="00316E2F"/>
    <w:rsid w:val="00316E6F"/>
    <w:rsid w:val="003170A8"/>
    <w:rsid w:val="003171C0"/>
    <w:rsid w:val="003171F8"/>
    <w:rsid w:val="003173F2"/>
    <w:rsid w:val="00317430"/>
    <w:rsid w:val="00317695"/>
    <w:rsid w:val="003178A1"/>
    <w:rsid w:val="00317A92"/>
    <w:rsid w:val="00317C84"/>
    <w:rsid w:val="00317D06"/>
    <w:rsid w:val="00317D69"/>
    <w:rsid w:val="00317ED1"/>
    <w:rsid w:val="00317F71"/>
    <w:rsid w:val="00320043"/>
    <w:rsid w:val="003200AA"/>
    <w:rsid w:val="0032019A"/>
    <w:rsid w:val="00320213"/>
    <w:rsid w:val="0032026E"/>
    <w:rsid w:val="003202D7"/>
    <w:rsid w:val="003206F9"/>
    <w:rsid w:val="00320928"/>
    <w:rsid w:val="00320A3D"/>
    <w:rsid w:val="00320AD4"/>
    <w:rsid w:val="00320ECE"/>
    <w:rsid w:val="00320EED"/>
    <w:rsid w:val="00320F64"/>
    <w:rsid w:val="003217A4"/>
    <w:rsid w:val="00321BBC"/>
    <w:rsid w:val="00321F8A"/>
    <w:rsid w:val="00321FF8"/>
    <w:rsid w:val="0032228F"/>
    <w:rsid w:val="0032235D"/>
    <w:rsid w:val="003223D8"/>
    <w:rsid w:val="003223F5"/>
    <w:rsid w:val="0032247C"/>
    <w:rsid w:val="00322635"/>
    <w:rsid w:val="0032291D"/>
    <w:rsid w:val="00322AE0"/>
    <w:rsid w:val="00322BBC"/>
    <w:rsid w:val="00322C47"/>
    <w:rsid w:val="003232A7"/>
    <w:rsid w:val="003234FD"/>
    <w:rsid w:val="00323A92"/>
    <w:rsid w:val="00323B81"/>
    <w:rsid w:val="00323C08"/>
    <w:rsid w:val="00323D79"/>
    <w:rsid w:val="00323EAA"/>
    <w:rsid w:val="00323FAE"/>
    <w:rsid w:val="003243DA"/>
    <w:rsid w:val="003244AB"/>
    <w:rsid w:val="00324657"/>
    <w:rsid w:val="00324867"/>
    <w:rsid w:val="003249F0"/>
    <w:rsid w:val="00324A1A"/>
    <w:rsid w:val="00324A23"/>
    <w:rsid w:val="00324A84"/>
    <w:rsid w:val="00324AB1"/>
    <w:rsid w:val="00324B0C"/>
    <w:rsid w:val="00324B8E"/>
    <w:rsid w:val="00324BE7"/>
    <w:rsid w:val="00324E3F"/>
    <w:rsid w:val="00324F95"/>
    <w:rsid w:val="00325046"/>
    <w:rsid w:val="003250ED"/>
    <w:rsid w:val="00325131"/>
    <w:rsid w:val="00325193"/>
    <w:rsid w:val="003251B0"/>
    <w:rsid w:val="00325892"/>
    <w:rsid w:val="00325AD5"/>
    <w:rsid w:val="00325B23"/>
    <w:rsid w:val="00325CF3"/>
    <w:rsid w:val="00326057"/>
    <w:rsid w:val="00326171"/>
    <w:rsid w:val="003261A7"/>
    <w:rsid w:val="0032653F"/>
    <w:rsid w:val="00326ABC"/>
    <w:rsid w:val="00326C05"/>
    <w:rsid w:val="00326CDB"/>
    <w:rsid w:val="00326E02"/>
    <w:rsid w:val="003272F4"/>
    <w:rsid w:val="0032738F"/>
    <w:rsid w:val="003273BE"/>
    <w:rsid w:val="00327993"/>
    <w:rsid w:val="00327C0D"/>
    <w:rsid w:val="00327CF2"/>
    <w:rsid w:val="00327E27"/>
    <w:rsid w:val="00327EEE"/>
    <w:rsid w:val="003300A1"/>
    <w:rsid w:val="0033012B"/>
    <w:rsid w:val="00330352"/>
    <w:rsid w:val="0033042D"/>
    <w:rsid w:val="003304CE"/>
    <w:rsid w:val="003304F4"/>
    <w:rsid w:val="00330675"/>
    <w:rsid w:val="003306A3"/>
    <w:rsid w:val="0033077C"/>
    <w:rsid w:val="00330846"/>
    <w:rsid w:val="00330B1D"/>
    <w:rsid w:val="00330C55"/>
    <w:rsid w:val="00330CC1"/>
    <w:rsid w:val="00330F81"/>
    <w:rsid w:val="003310E8"/>
    <w:rsid w:val="00331412"/>
    <w:rsid w:val="0033141D"/>
    <w:rsid w:val="003315D5"/>
    <w:rsid w:val="003315DE"/>
    <w:rsid w:val="00331709"/>
    <w:rsid w:val="003317A8"/>
    <w:rsid w:val="003318A9"/>
    <w:rsid w:val="003318D6"/>
    <w:rsid w:val="003319F3"/>
    <w:rsid w:val="00331C1E"/>
    <w:rsid w:val="00331C9E"/>
    <w:rsid w:val="00332127"/>
    <w:rsid w:val="003321A0"/>
    <w:rsid w:val="00332390"/>
    <w:rsid w:val="003323A0"/>
    <w:rsid w:val="00332403"/>
    <w:rsid w:val="00332621"/>
    <w:rsid w:val="00332811"/>
    <w:rsid w:val="0033284A"/>
    <w:rsid w:val="00332916"/>
    <w:rsid w:val="003329DB"/>
    <w:rsid w:val="00332ABC"/>
    <w:rsid w:val="00332AEE"/>
    <w:rsid w:val="00332B8F"/>
    <w:rsid w:val="00332F02"/>
    <w:rsid w:val="00332F41"/>
    <w:rsid w:val="003331CC"/>
    <w:rsid w:val="0033329A"/>
    <w:rsid w:val="0033353C"/>
    <w:rsid w:val="003335A0"/>
    <w:rsid w:val="00333876"/>
    <w:rsid w:val="003338C9"/>
    <w:rsid w:val="003338FF"/>
    <w:rsid w:val="00333B63"/>
    <w:rsid w:val="00333FAE"/>
    <w:rsid w:val="0033401A"/>
    <w:rsid w:val="003340AF"/>
    <w:rsid w:val="003341A9"/>
    <w:rsid w:val="003342FD"/>
    <w:rsid w:val="0033466A"/>
    <w:rsid w:val="003346CC"/>
    <w:rsid w:val="003347A7"/>
    <w:rsid w:val="003348B1"/>
    <w:rsid w:val="00334A2C"/>
    <w:rsid w:val="00334B6B"/>
    <w:rsid w:val="00334D59"/>
    <w:rsid w:val="00334F27"/>
    <w:rsid w:val="003350B5"/>
    <w:rsid w:val="00335345"/>
    <w:rsid w:val="003353D6"/>
    <w:rsid w:val="003354EA"/>
    <w:rsid w:val="00335596"/>
    <w:rsid w:val="00335641"/>
    <w:rsid w:val="00335850"/>
    <w:rsid w:val="00335ACE"/>
    <w:rsid w:val="00335B39"/>
    <w:rsid w:val="00335BEB"/>
    <w:rsid w:val="00335DD5"/>
    <w:rsid w:val="003361F1"/>
    <w:rsid w:val="003362AD"/>
    <w:rsid w:val="00336340"/>
    <w:rsid w:val="003364EF"/>
    <w:rsid w:val="00336532"/>
    <w:rsid w:val="003365DE"/>
    <w:rsid w:val="003366DC"/>
    <w:rsid w:val="00336BD2"/>
    <w:rsid w:val="00336EA5"/>
    <w:rsid w:val="00336F53"/>
    <w:rsid w:val="00336FFC"/>
    <w:rsid w:val="00337066"/>
    <w:rsid w:val="00337134"/>
    <w:rsid w:val="0033714A"/>
    <w:rsid w:val="0033746B"/>
    <w:rsid w:val="003375B6"/>
    <w:rsid w:val="00337741"/>
    <w:rsid w:val="003377CA"/>
    <w:rsid w:val="00337958"/>
    <w:rsid w:val="003379AD"/>
    <w:rsid w:val="003379BB"/>
    <w:rsid w:val="00337B47"/>
    <w:rsid w:val="00337F3C"/>
    <w:rsid w:val="00337F58"/>
    <w:rsid w:val="00340028"/>
    <w:rsid w:val="0034015A"/>
    <w:rsid w:val="003401A7"/>
    <w:rsid w:val="003401C4"/>
    <w:rsid w:val="0034028C"/>
    <w:rsid w:val="003402DD"/>
    <w:rsid w:val="0034079E"/>
    <w:rsid w:val="00340877"/>
    <w:rsid w:val="003409A8"/>
    <w:rsid w:val="00340B6C"/>
    <w:rsid w:val="00340F40"/>
    <w:rsid w:val="00340F4B"/>
    <w:rsid w:val="00340FC2"/>
    <w:rsid w:val="0034106E"/>
    <w:rsid w:val="003410FF"/>
    <w:rsid w:val="00341222"/>
    <w:rsid w:val="0034122A"/>
    <w:rsid w:val="003412B5"/>
    <w:rsid w:val="003412C9"/>
    <w:rsid w:val="003413DA"/>
    <w:rsid w:val="003414A4"/>
    <w:rsid w:val="0034168D"/>
    <w:rsid w:val="0034173C"/>
    <w:rsid w:val="0034176E"/>
    <w:rsid w:val="00341ACD"/>
    <w:rsid w:val="00341BF4"/>
    <w:rsid w:val="00341F20"/>
    <w:rsid w:val="00341F90"/>
    <w:rsid w:val="00341FA4"/>
    <w:rsid w:val="00342330"/>
    <w:rsid w:val="0034263E"/>
    <w:rsid w:val="00342786"/>
    <w:rsid w:val="00342860"/>
    <w:rsid w:val="00342984"/>
    <w:rsid w:val="00342ABA"/>
    <w:rsid w:val="00342B7F"/>
    <w:rsid w:val="00342CA4"/>
    <w:rsid w:val="00342CFB"/>
    <w:rsid w:val="00342D1E"/>
    <w:rsid w:val="00342F0A"/>
    <w:rsid w:val="00343033"/>
    <w:rsid w:val="00343124"/>
    <w:rsid w:val="003431BC"/>
    <w:rsid w:val="003433DF"/>
    <w:rsid w:val="003434B0"/>
    <w:rsid w:val="00343534"/>
    <w:rsid w:val="00343625"/>
    <w:rsid w:val="003438A3"/>
    <w:rsid w:val="003438B8"/>
    <w:rsid w:val="00343A7D"/>
    <w:rsid w:val="00343B63"/>
    <w:rsid w:val="00343E16"/>
    <w:rsid w:val="00343F95"/>
    <w:rsid w:val="003447BF"/>
    <w:rsid w:val="00344AB5"/>
    <w:rsid w:val="00344C13"/>
    <w:rsid w:val="00344D3F"/>
    <w:rsid w:val="00344E53"/>
    <w:rsid w:val="00344FF1"/>
    <w:rsid w:val="003454BC"/>
    <w:rsid w:val="00345771"/>
    <w:rsid w:val="0034598E"/>
    <w:rsid w:val="00345B55"/>
    <w:rsid w:val="00345FCF"/>
    <w:rsid w:val="00345FE1"/>
    <w:rsid w:val="00346076"/>
    <w:rsid w:val="00346307"/>
    <w:rsid w:val="003466B5"/>
    <w:rsid w:val="003469A9"/>
    <w:rsid w:val="00346DD6"/>
    <w:rsid w:val="00346F45"/>
    <w:rsid w:val="003472F0"/>
    <w:rsid w:val="003473A0"/>
    <w:rsid w:val="003473D4"/>
    <w:rsid w:val="00347835"/>
    <w:rsid w:val="00347850"/>
    <w:rsid w:val="003479BB"/>
    <w:rsid w:val="00347A93"/>
    <w:rsid w:val="00347AE7"/>
    <w:rsid w:val="00347C55"/>
    <w:rsid w:val="00347FA1"/>
    <w:rsid w:val="003501EC"/>
    <w:rsid w:val="00350323"/>
    <w:rsid w:val="003506D7"/>
    <w:rsid w:val="00350764"/>
    <w:rsid w:val="0035084F"/>
    <w:rsid w:val="00350A67"/>
    <w:rsid w:val="00350E9A"/>
    <w:rsid w:val="0035100C"/>
    <w:rsid w:val="00351133"/>
    <w:rsid w:val="00351171"/>
    <w:rsid w:val="003515AD"/>
    <w:rsid w:val="003515B9"/>
    <w:rsid w:val="00351665"/>
    <w:rsid w:val="00351982"/>
    <w:rsid w:val="00352129"/>
    <w:rsid w:val="0035214E"/>
    <w:rsid w:val="003521A2"/>
    <w:rsid w:val="0035240C"/>
    <w:rsid w:val="00352607"/>
    <w:rsid w:val="0035292A"/>
    <w:rsid w:val="00352AF0"/>
    <w:rsid w:val="00352BEC"/>
    <w:rsid w:val="00353249"/>
    <w:rsid w:val="003532BE"/>
    <w:rsid w:val="00353373"/>
    <w:rsid w:val="003534C6"/>
    <w:rsid w:val="00353968"/>
    <w:rsid w:val="00353B6D"/>
    <w:rsid w:val="00353CF7"/>
    <w:rsid w:val="00353D05"/>
    <w:rsid w:val="00353EB2"/>
    <w:rsid w:val="00353EF5"/>
    <w:rsid w:val="00353EFA"/>
    <w:rsid w:val="00353F56"/>
    <w:rsid w:val="0035401A"/>
    <w:rsid w:val="0035415A"/>
    <w:rsid w:val="00354397"/>
    <w:rsid w:val="003544FA"/>
    <w:rsid w:val="003545EA"/>
    <w:rsid w:val="00354704"/>
    <w:rsid w:val="003547A6"/>
    <w:rsid w:val="00355052"/>
    <w:rsid w:val="003553AF"/>
    <w:rsid w:val="00355898"/>
    <w:rsid w:val="003559E7"/>
    <w:rsid w:val="00355A67"/>
    <w:rsid w:val="00355AF1"/>
    <w:rsid w:val="00355D3A"/>
    <w:rsid w:val="00355E03"/>
    <w:rsid w:val="00356010"/>
    <w:rsid w:val="003560F6"/>
    <w:rsid w:val="003565BF"/>
    <w:rsid w:val="003565C4"/>
    <w:rsid w:val="00356642"/>
    <w:rsid w:val="003568A6"/>
    <w:rsid w:val="00356968"/>
    <w:rsid w:val="00356B37"/>
    <w:rsid w:val="00356FD7"/>
    <w:rsid w:val="003571A2"/>
    <w:rsid w:val="00357224"/>
    <w:rsid w:val="00357271"/>
    <w:rsid w:val="003572E7"/>
    <w:rsid w:val="003574BF"/>
    <w:rsid w:val="003576DA"/>
    <w:rsid w:val="00357768"/>
    <w:rsid w:val="00357857"/>
    <w:rsid w:val="00357A01"/>
    <w:rsid w:val="00357E43"/>
    <w:rsid w:val="00357ECA"/>
    <w:rsid w:val="00357EDE"/>
    <w:rsid w:val="00357FF8"/>
    <w:rsid w:val="00360109"/>
    <w:rsid w:val="003601CD"/>
    <w:rsid w:val="0036020B"/>
    <w:rsid w:val="00360322"/>
    <w:rsid w:val="00360394"/>
    <w:rsid w:val="003604CD"/>
    <w:rsid w:val="003606E3"/>
    <w:rsid w:val="00360753"/>
    <w:rsid w:val="00360B37"/>
    <w:rsid w:val="00360C5C"/>
    <w:rsid w:val="00360D07"/>
    <w:rsid w:val="00360D0F"/>
    <w:rsid w:val="00360D2C"/>
    <w:rsid w:val="00360F1E"/>
    <w:rsid w:val="0036112E"/>
    <w:rsid w:val="003612B7"/>
    <w:rsid w:val="00361675"/>
    <w:rsid w:val="00361875"/>
    <w:rsid w:val="00361A0D"/>
    <w:rsid w:val="00361A1D"/>
    <w:rsid w:val="00361B37"/>
    <w:rsid w:val="00361D7C"/>
    <w:rsid w:val="00361D90"/>
    <w:rsid w:val="00361FA1"/>
    <w:rsid w:val="0036211F"/>
    <w:rsid w:val="0036223D"/>
    <w:rsid w:val="00362254"/>
    <w:rsid w:val="00362317"/>
    <w:rsid w:val="00362318"/>
    <w:rsid w:val="00362424"/>
    <w:rsid w:val="003624D5"/>
    <w:rsid w:val="0036296C"/>
    <w:rsid w:val="00362BD6"/>
    <w:rsid w:val="00362E7E"/>
    <w:rsid w:val="00362EB2"/>
    <w:rsid w:val="0036308B"/>
    <w:rsid w:val="0036308E"/>
    <w:rsid w:val="00363270"/>
    <w:rsid w:val="00363315"/>
    <w:rsid w:val="00363479"/>
    <w:rsid w:val="003634A3"/>
    <w:rsid w:val="00363642"/>
    <w:rsid w:val="0036367F"/>
    <w:rsid w:val="0036380C"/>
    <w:rsid w:val="00363978"/>
    <w:rsid w:val="00363DBF"/>
    <w:rsid w:val="00363DE6"/>
    <w:rsid w:val="0036406C"/>
    <w:rsid w:val="003640E4"/>
    <w:rsid w:val="003642D6"/>
    <w:rsid w:val="00364382"/>
    <w:rsid w:val="003643A1"/>
    <w:rsid w:val="0036456C"/>
    <w:rsid w:val="0036476A"/>
    <w:rsid w:val="003648B6"/>
    <w:rsid w:val="00364CF8"/>
    <w:rsid w:val="00364DEB"/>
    <w:rsid w:val="00364E36"/>
    <w:rsid w:val="00364EF4"/>
    <w:rsid w:val="00365140"/>
    <w:rsid w:val="0036521B"/>
    <w:rsid w:val="003652D8"/>
    <w:rsid w:val="003653DC"/>
    <w:rsid w:val="003656CF"/>
    <w:rsid w:val="00365A5E"/>
    <w:rsid w:val="00365C9C"/>
    <w:rsid w:val="00365D47"/>
    <w:rsid w:val="00366114"/>
    <w:rsid w:val="003661CF"/>
    <w:rsid w:val="003663F2"/>
    <w:rsid w:val="00366529"/>
    <w:rsid w:val="00366553"/>
    <w:rsid w:val="0036658F"/>
    <w:rsid w:val="003665C0"/>
    <w:rsid w:val="00366612"/>
    <w:rsid w:val="003667C1"/>
    <w:rsid w:val="003669AF"/>
    <w:rsid w:val="003669FB"/>
    <w:rsid w:val="00366AE2"/>
    <w:rsid w:val="00366D75"/>
    <w:rsid w:val="00366DF3"/>
    <w:rsid w:val="00367066"/>
    <w:rsid w:val="00367395"/>
    <w:rsid w:val="00367688"/>
    <w:rsid w:val="003677FD"/>
    <w:rsid w:val="003678F8"/>
    <w:rsid w:val="00367ACD"/>
    <w:rsid w:val="00367CE7"/>
    <w:rsid w:val="00367D67"/>
    <w:rsid w:val="00367F8E"/>
    <w:rsid w:val="003700AA"/>
    <w:rsid w:val="00370643"/>
    <w:rsid w:val="00370696"/>
    <w:rsid w:val="00370757"/>
    <w:rsid w:val="00370946"/>
    <w:rsid w:val="00370B28"/>
    <w:rsid w:val="00370CE2"/>
    <w:rsid w:val="003710D6"/>
    <w:rsid w:val="003713CB"/>
    <w:rsid w:val="003713FC"/>
    <w:rsid w:val="00371510"/>
    <w:rsid w:val="00371707"/>
    <w:rsid w:val="00371782"/>
    <w:rsid w:val="00371AC5"/>
    <w:rsid w:val="00371ADB"/>
    <w:rsid w:val="0037215F"/>
    <w:rsid w:val="0037223F"/>
    <w:rsid w:val="003722C7"/>
    <w:rsid w:val="00372A99"/>
    <w:rsid w:val="00372BA4"/>
    <w:rsid w:val="00372D55"/>
    <w:rsid w:val="00372F07"/>
    <w:rsid w:val="0037307E"/>
    <w:rsid w:val="003736A1"/>
    <w:rsid w:val="00373906"/>
    <w:rsid w:val="00373930"/>
    <w:rsid w:val="0037399A"/>
    <w:rsid w:val="00373AB1"/>
    <w:rsid w:val="00373C52"/>
    <w:rsid w:val="00373C6F"/>
    <w:rsid w:val="00373CC9"/>
    <w:rsid w:val="0037402D"/>
    <w:rsid w:val="0037408D"/>
    <w:rsid w:val="003740D7"/>
    <w:rsid w:val="003742C4"/>
    <w:rsid w:val="00374367"/>
    <w:rsid w:val="003743D0"/>
    <w:rsid w:val="00374413"/>
    <w:rsid w:val="00374545"/>
    <w:rsid w:val="0037454F"/>
    <w:rsid w:val="0037469A"/>
    <w:rsid w:val="00374703"/>
    <w:rsid w:val="00374725"/>
    <w:rsid w:val="003749B1"/>
    <w:rsid w:val="003749C0"/>
    <w:rsid w:val="00374AE2"/>
    <w:rsid w:val="00374BA0"/>
    <w:rsid w:val="00374EF6"/>
    <w:rsid w:val="0037502D"/>
    <w:rsid w:val="0037525D"/>
    <w:rsid w:val="0037552F"/>
    <w:rsid w:val="00375544"/>
    <w:rsid w:val="00375631"/>
    <w:rsid w:val="0037570E"/>
    <w:rsid w:val="00375740"/>
    <w:rsid w:val="0037580C"/>
    <w:rsid w:val="003758F0"/>
    <w:rsid w:val="003758FA"/>
    <w:rsid w:val="0037598B"/>
    <w:rsid w:val="00375A05"/>
    <w:rsid w:val="00375AFE"/>
    <w:rsid w:val="00375B70"/>
    <w:rsid w:val="00375CAE"/>
    <w:rsid w:val="00375D94"/>
    <w:rsid w:val="00375DE9"/>
    <w:rsid w:val="00375FEA"/>
    <w:rsid w:val="00376105"/>
    <w:rsid w:val="00376111"/>
    <w:rsid w:val="0037629A"/>
    <w:rsid w:val="003766E8"/>
    <w:rsid w:val="00376713"/>
    <w:rsid w:val="00376745"/>
    <w:rsid w:val="0037688C"/>
    <w:rsid w:val="00376D22"/>
    <w:rsid w:val="00376F39"/>
    <w:rsid w:val="003770F2"/>
    <w:rsid w:val="00377236"/>
    <w:rsid w:val="00377275"/>
    <w:rsid w:val="0037736B"/>
    <w:rsid w:val="003773B5"/>
    <w:rsid w:val="003774A3"/>
    <w:rsid w:val="00377534"/>
    <w:rsid w:val="003775DC"/>
    <w:rsid w:val="00377773"/>
    <w:rsid w:val="0037777F"/>
    <w:rsid w:val="00377B46"/>
    <w:rsid w:val="00377DCB"/>
    <w:rsid w:val="00377DFB"/>
    <w:rsid w:val="00377F7C"/>
    <w:rsid w:val="003801DC"/>
    <w:rsid w:val="00380284"/>
    <w:rsid w:val="003802AE"/>
    <w:rsid w:val="00380D15"/>
    <w:rsid w:val="00380FCD"/>
    <w:rsid w:val="00381294"/>
    <w:rsid w:val="0038132E"/>
    <w:rsid w:val="0038134D"/>
    <w:rsid w:val="003815D1"/>
    <w:rsid w:val="003818B1"/>
    <w:rsid w:val="00381A96"/>
    <w:rsid w:val="00381CB7"/>
    <w:rsid w:val="00381CDD"/>
    <w:rsid w:val="00381CFA"/>
    <w:rsid w:val="00381CFC"/>
    <w:rsid w:val="00381FDA"/>
    <w:rsid w:val="00382561"/>
    <w:rsid w:val="0038287F"/>
    <w:rsid w:val="00382986"/>
    <w:rsid w:val="003829E3"/>
    <w:rsid w:val="003829FA"/>
    <w:rsid w:val="00382B5D"/>
    <w:rsid w:val="00382E23"/>
    <w:rsid w:val="00383243"/>
    <w:rsid w:val="00383510"/>
    <w:rsid w:val="00383608"/>
    <w:rsid w:val="0038360F"/>
    <w:rsid w:val="00383770"/>
    <w:rsid w:val="003837BB"/>
    <w:rsid w:val="00383EE2"/>
    <w:rsid w:val="0038425F"/>
    <w:rsid w:val="00384457"/>
    <w:rsid w:val="003844CA"/>
    <w:rsid w:val="003844E1"/>
    <w:rsid w:val="003845F2"/>
    <w:rsid w:val="00384602"/>
    <w:rsid w:val="0038463F"/>
    <w:rsid w:val="00384721"/>
    <w:rsid w:val="0038491C"/>
    <w:rsid w:val="00384ABF"/>
    <w:rsid w:val="00384B6D"/>
    <w:rsid w:val="00384C2C"/>
    <w:rsid w:val="00384C3E"/>
    <w:rsid w:val="00384EC0"/>
    <w:rsid w:val="00384F61"/>
    <w:rsid w:val="00384F8A"/>
    <w:rsid w:val="00385091"/>
    <w:rsid w:val="00385211"/>
    <w:rsid w:val="003853FF"/>
    <w:rsid w:val="003854AA"/>
    <w:rsid w:val="0038564A"/>
    <w:rsid w:val="0038564F"/>
    <w:rsid w:val="00385A78"/>
    <w:rsid w:val="00385C50"/>
    <w:rsid w:val="00385D62"/>
    <w:rsid w:val="00385F16"/>
    <w:rsid w:val="00386038"/>
    <w:rsid w:val="003860DD"/>
    <w:rsid w:val="003861ED"/>
    <w:rsid w:val="00386820"/>
    <w:rsid w:val="003868F1"/>
    <w:rsid w:val="0038697D"/>
    <w:rsid w:val="003869CA"/>
    <w:rsid w:val="00386BF8"/>
    <w:rsid w:val="00387016"/>
    <w:rsid w:val="0038703E"/>
    <w:rsid w:val="00387049"/>
    <w:rsid w:val="003870B9"/>
    <w:rsid w:val="003874C2"/>
    <w:rsid w:val="003877E4"/>
    <w:rsid w:val="00387AA9"/>
    <w:rsid w:val="00387C8B"/>
    <w:rsid w:val="00387E7C"/>
    <w:rsid w:val="0039012F"/>
    <w:rsid w:val="0039013A"/>
    <w:rsid w:val="00390456"/>
    <w:rsid w:val="003904C9"/>
    <w:rsid w:val="003906F0"/>
    <w:rsid w:val="003907BC"/>
    <w:rsid w:val="00390892"/>
    <w:rsid w:val="00390916"/>
    <w:rsid w:val="00390C60"/>
    <w:rsid w:val="0039109E"/>
    <w:rsid w:val="00391153"/>
    <w:rsid w:val="00391175"/>
    <w:rsid w:val="00391194"/>
    <w:rsid w:val="0039119D"/>
    <w:rsid w:val="003911E2"/>
    <w:rsid w:val="003912A8"/>
    <w:rsid w:val="00391332"/>
    <w:rsid w:val="003913AD"/>
    <w:rsid w:val="003913F0"/>
    <w:rsid w:val="0039145C"/>
    <w:rsid w:val="003914BE"/>
    <w:rsid w:val="003914DC"/>
    <w:rsid w:val="0039160E"/>
    <w:rsid w:val="00391635"/>
    <w:rsid w:val="003916CC"/>
    <w:rsid w:val="0039180B"/>
    <w:rsid w:val="003918C2"/>
    <w:rsid w:val="00391CFB"/>
    <w:rsid w:val="00391D15"/>
    <w:rsid w:val="00392094"/>
    <w:rsid w:val="003920D8"/>
    <w:rsid w:val="0039212A"/>
    <w:rsid w:val="00392132"/>
    <w:rsid w:val="003921ED"/>
    <w:rsid w:val="0039225A"/>
    <w:rsid w:val="00392463"/>
    <w:rsid w:val="00392616"/>
    <w:rsid w:val="0039285B"/>
    <w:rsid w:val="00392A18"/>
    <w:rsid w:val="00392A30"/>
    <w:rsid w:val="00392A3B"/>
    <w:rsid w:val="00392ACF"/>
    <w:rsid w:val="00392E9C"/>
    <w:rsid w:val="00392F15"/>
    <w:rsid w:val="00392F81"/>
    <w:rsid w:val="00393062"/>
    <w:rsid w:val="00393125"/>
    <w:rsid w:val="00393182"/>
    <w:rsid w:val="0039318D"/>
    <w:rsid w:val="003931A5"/>
    <w:rsid w:val="00393416"/>
    <w:rsid w:val="003935AE"/>
    <w:rsid w:val="003937BA"/>
    <w:rsid w:val="00393885"/>
    <w:rsid w:val="0039394A"/>
    <w:rsid w:val="00393D24"/>
    <w:rsid w:val="00393DD0"/>
    <w:rsid w:val="00393FA7"/>
    <w:rsid w:val="003942DD"/>
    <w:rsid w:val="003943BC"/>
    <w:rsid w:val="00394493"/>
    <w:rsid w:val="00394638"/>
    <w:rsid w:val="003949CA"/>
    <w:rsid w:val="00394E7D"/>
    <w:rsid w:val="00394E91"/>
    <w:rsid w:val="00395056"/>
    <w:rsid w:val="003952D5"/>
    <w:rsid w:val="003953D0"/>
    <w:rsid w:val="0039554B"/>
    <w:rsid w:val="003955ED"/>
    <w:rsid w:val="003957E8"/>
    <w:rsid w:val="003958D4"/>
    <w:rsid w:val="0039593B"/>
    <w:rsid w:val="00395A0B"/>
    <w:rsid w:val="00395CCD"/>
    <w:rsid w:val="00395EB8"/>
    <w:rsid w:val="003963A3"/>
    <w:rsid w:val="003964E2"/>
    <w:rsid w:val="00396902"/>
    <w:rsid w:val="00396AC7"/>
    <w:rsid w:val="00396B3D"/>
    <w:rsid w:val="00396BC3"/>
    <w:rsid w:val="00396BD0"/>
    <w:rsid w:val="00396C12"/>
    <w:rsid w:val="00396CD6"/>
    <w:rsid w:val="00396DC9"/>
    <w:rsid w:val="00396DFA"/>
    <w:rsid w:val="0039705D"/>
    <w:rsid w:val="003970C4"/>
    <w:rsid w:val="00397154"/>
    <w:rsid w:val="003971C9"/>
    <w:rsid w:val="00397269"/>
    <w:rsid w:val="00397280"/>
    <w:rsid w:val="00397442"/>
    <w:rsid w:val="003976E5"/>
    <w:rsid w:val="003978A6"/>
    <w:rsid w:val="00397AD0"/>
    <w:rsid w:val="00397E13"/>
    <w:rsid w:val="00397E33"/>
    <w:rsid w:val="00397EF2"/>
    <w:rsid w:val="00397F7A"/>
    <w:rsid w:val="00397FCC"/>
    <w:rsid w:val="003A030E"/>
    <w:rsid w:val="003A05B9"/>
    <w:rsid w:val="003A0787"/>
    <w:rsid w:val="003A0874"/>
    <w:rsid w:val="003A0910"/>
    <w:rsid w:val="003A0998"/>
    <w:rsid w:val="003A0B22"/>
    <w:rsid w:val="003A0EE3"/>
    <w:rsid w:val="003A1016"/>
    <w:rsid w:val="003A13CE"/>
    <w:rsid w:val="003A16A9"/>
    <w:rsid w:val="003A18DB"/>
    <w:rsid w:val="003A1ACA"/>
    <w:rsid w:val="003A1B55"/>
    <w:rsid w:val="003A1CAD"/>
    <w:rsid w:val="003A1D98"/>
    <w:rsid w:val="003A1DB0"/>
    <w:rsid w:val="003A1FFD"/>
    <w:rsid w:val="003A2197"/>
    <w:rsid w:val="003A23E7"/>
    <w:rsid w:val="003A2426"/>
    <w:rsid w:val="003A2598"/>
    <w:rsid w:val="003A25AD"/>
    <w:rsid w:val="003A269D"/>
    <w:rsid w:val="003A2754"/>
    <w:rsid w:val="003A27F0"/>
    <w:rsid w:val="003A2C6D"/>
    <w:rsid w:val="003A2E7B"/>
    <w:rsid w:val="003A2EBD"/>
    <w:rsid w:val="003A3037"/>
    <w:rsid w:val="003A30E5"/>
    <w:rsid w:val="003A3290"/>
    <w:rsid w:val="003A3505"/>
    <w:rsid w:val="003A358D"/>
    <w:rsid w:val="003A369D"/>
    <w:rsid w:val="003A36FF"/>
    <w:rsid w:val="003A3B24"/>
    <w:rsid w:val="003A3CBF"/>
    <w:rsid w:val="003A40AF"/>
    <w:rsid w:val="003A4222"/>
    <w:rsid w:val="003A42C6"/>
    <w:rsid w:val="003A43B9"/>
    <w:rsid w:val="003A4436"/>
    <w:rsid w:val="003A44DC"/>
    <w:rsid w:val="003A456B"/>
    <w:rsid w:val="003A4582"/>
    <w:rsid w:val="003A4594"/>
    <w:rsid w:val="003A4650"/>
    <w:rsid w:val="003A46E3"/>
    <w:rsid w:val="003A4801"/>
    <w:rsid w:val="003A485C"/>
    <w:rsid w:val="003A4B7A"/>
    <w:rsid w:val="003A4C3F"/>
    <w:rsid w:val="003A4CF9"/>
    <w:rsid w:val="003A4E0A"/>
    <w:rsid w:val="003A4E9C"/>
    <w:rsid w:val="003A4F0E"/>
    <w:rsid w:val="003A51C9"/>
    <w:rsid w:val="003A524A"/>
    <w:rsid w:val="003A55AC"/>
    <w:rsid w:val="003A56D2"/>
    <w:rsid w:val="003A5968"/>
    <w:rsid w:val="003A5AFE"/>
    <w:rsid w:val="003A5F2E"/>
    <w:rsid w:val="003A5FB3"/>
    <w:rsid w:val="003A607E"/>
    <w:rsid w:val="003A6135"/>
    <w:rsid w:val="003A61B6"/>
    <w:rsid w:val="003A649F"/>
    <w:rsid w:val="003A6626"/>
    <w:rsid w:val="003A6AB9"/>
    <w:rsid w:val="003A6CDE"/>
    <w:rsid w:val="003A6E14"/>
    <w:rsid w:val="003A6E25"/>
    <w:rsid w:val="003A701E"/>
    <w:rsid w:val="003A75D6"/>
    <w:rsid w:val="003A7626"/>
    <w:rsid w:val="003A79FB"/>
    <w:rsid w:val="003A7B56"/>
    <w:rsid w:val="003A7B89"/>
    <w:rsid w:val="003A7D9E"/>
    <w:rsid w:val="003A7E19"/>
    <w:rsid w:val="003B0011"/>
    <w:rsid w:val="003B030A"/>
    <w:rsid w:val="003B0378"/>
    <w:rsid w:val="003B050A"/>
    <w:rsid w:val="003B0543"/>
    <w:rsid w:val="003B06A2"/>
    <w:rsid w:val="003B07A7"/>
    <w:rsid w:val="003B08C8"/>
    <w:rsid w:val="003B0AD2"/>
    <w:rsid w:val="003B0BD2"/>
    <w:rsid w:val="003B0CC2"/>
    <w:rsid w:val="003B0CFC"/>
    <w:rsid w:val="003B107B"/>
    <w:rsid w:val="003B1173"/>
    <w:rsid w:val="003B1448"/>
    <w:rsid w:val="003B1552"/>
    <w:rsid w:val="003B1606"/>
    <w:rsid w:val="003B171F"/>
    <w:rsid w:val="003B19A8"/>
    <w:rsid w:val="003B1A60"/>
    <w:rsid w:val="003B1ACB"/>
    <w:rsid w:val="003B1BC7"/>
    <w:rsid w:val="003B1C2E"/>
    <w:rsid w:val="003B1C65"/>
    <w:rsid w:val="003B1D77"/>
    <w:rsid w:val="003B1E00"/>
    <w:rsid w:val="003B1E41"/>
    <w:rsid w:val="003B2081"/>
    <w:rsid w:val="003B209B"/>
    <w:rsid w:val="003B2175"/>
    <w:rsid w:val="003B22AE"/>
    <w:rsid w:val="003B2318"/>
    <w:rsid w:val="003B247F"/>
    <w:rsid w:val="003B24D7"/>
    <w:rsid w:val="003B2620"/>
    <w:rsid w:val="003B26AF"/>
    <w:rsid w:val="003B27DA"/>
    <w:rsid w:val="003B28FA"/>
    <w:rsid w:val="003B295A"/>
    <w:rsid w:val="003B2BE5"/>
    <w:rsid w:val="003B2C7B"/>
    <w:rsid w:val="003B2CF2"/>
    <w:rsid w:val="003B2E17"/>
    <w:rsid w:val="003B2E57"/>
    <w:rsid w:val="003B2FA9"/>
    <w:rsid w:val="003B31A0"/>
    <w:rsid w:val="003B3343"/>
    <w:rsid w:val="003B33F3"/>
    <w:rsid w:val="003B33F4"/>
    <w:rsid w:val="003B3481"/>
    <w:rsid w:val="003B3567"/>
    <w:rsid w:val="003B3628"/>
    <w:rsid w:val="003B3697"/>
    <w:rsid w:val="003B37D0"/>
    <w:rsid w:val="003B399C"/>
    <w:rsid w:val="003B3C0E"/>
    <w:rsid w:val="003B3C10"/>
    <w:rsid w:val="003B3CD3"/>
    <w:rsid w:val="003B3DAE"/>
    <w:rsid w:val="003B3DE8"/>
    <w:rsid w:val="003B424C"/>
    <w:rsid w:val="003B44EA"/>
    <w:rsid w:val="003B470C"/>
    <w:rsid w:val="003B476A"/>
    <w:rsid w:val="003B4A46"/>
    <w:rsid w:val="003B4B93"/>
    <w:rsid w:val="003B4DAC"/>
    <w:rsid w:val="003B508A"/>
    <w:rsid w:val="003B54D1"/>
    <w:rsid w:val="003B54E9"/>
    <w:rsid w:val="003B5541"/>
    <w:rsid w:val="003B554A"/>
    <w:rsid w:val="003B55E2"/>
    <w:rsid w:val="003B5ABC"/>
    <w:rsid w:val="003B5B1B"/>
    <w:rsid w:val="003B5D7E"/>
    <w:rsid w:val="003B621E"/>
    <w:rsid w:val="003B624D"/>
    <w:rsid w:val="003B6508"/>
    <w:rsid w:val="003B665C"/>
    <w:rsid w:val="003B67D7"/>
    <w:rsid w:val="003B67F3"/>
    <w:rsid w:val="003B69B5"/>
    <w:rsid w:val="003B6CAF"/>
    <w:rsid w:val="003B6D4C"/>
    <w:rsid w:val="003B7068"/>
    <w:rsid w:val="003B70B5"/>
    <w:rsid w:val="003B7166"/>
    <w:rsid w:val="003B71D7"/>
    <w:rsid w:val="003B72D3"/>
    <w:rsid w:val="003B72F3"/>
    <w:rsid w:val="003B7367"/>
    <w:rsid w:val="003B747A"/>
    <w:rsid w:val="003B74EC"/>
    <w:rsid w:val="003B75B9"/>
    <w:rsid w:val="003B770A"/>
    <w:rsid w:val="003B780F"/>
    <w:rsid w:val="003B7834"/>
    <w:rsid w:val="003B78DB"/>
    <w:rsid w:val="003B7B90"/>
    <w:rsid w:val="003B7CA7"/>
    <w:rsid w:val="003C0196"/>
    <w:rsid w:val="003C02FD"/>
    <w:rsid w:val="003C050B"/>
    <w:rsid w:val="003C05A2"/>
    <w:rsid w:val="003C0993"/>
    <w:rsid w:val="003C0A4D"/>
    <w:rsid w:val="003C0AA1"/>
    <w:rsid w:val="003C0BBA"/>
    <w:rsid w:val="003C0C1D"/>
    <w:rsid w:val="003C0C7C"/>
    <w:rsid w:val="003C0CF8"/>
    <w:rsid w:val="003C0D6C"/>
    <w:rsid w:val="003C0F94"/>
    <w:rsid w:val="003C0F9B"/>
    <w:rsid w:val="003C1192"/>
    <w:rsid w:val="003C137A"/>
    <w:rsid w:val="003C150E"/>
    <w:rsid w:val="003C1539"/>
    <w:rsid w:val="003C1576"/>
    <w:rsid w:val="003C16CA"/>
    <w:rsid w:val="003C1728"/>
    <w:rsid w:val="003C175F"/>
    <w:rsid w:val="003C17B1"/>
    <w:rsid w:val="003C17B3"/>
    <w:rsid w:val="003C1B68"/>
    <w:rsid w:val="003C1D22"/>
    <w:rsid w:val="003C1DED"/>
    <w:rsid w:val="003C1E4F"/>
    <w:rsid w:val="003C1E9F"/>
    <w:rsid w:val="003C1F22"/>
    <w:rsid w:val="003C24E4"/>
    <w:rsid w:val="003C253B"/>
    <w:rsid w:val="003C26C6"/>
    <w:rsid w:val="003C27F8"/>
    <w:rsid w:val="003C28C7"/>
    <w:rsid w:val="003C2969"/>
    <w:rsid w:val="003C2998"/>
    <w:rsid w:val="003C2C31"/>
    <w:rsid w:val="003C2F54"/>
    <w:rsid w:val="003C2FB1"/>
    <w:rsid w:val="003C3160"/>
    <w:rsid w:val="003C3270"/>
    <w:rsid w:val="003C334E"/>
    <w:rsid w:val="003C3419"/>
    <w:rsid w:val="003C37AF"/>
    <w:rsid w:val="003C37B4"/>
    <w:rsid w:val="003C3A44"/>
    <w:rsid w:val="003C3D87"/>
    <w:rsid w:val="003C3DAE"/>
    <w:rsid w:val="003C42D6"/>
    <w:rsid w:val="003C4534"/>
    <w:rsid w:val="003C457C"/>
    <w:rsid w:val="003C46A2"/>
    <w:rsid w:val="003C4863"/>
    <w:rsid w:val="003C4959"/>
    <w:rsid w:val="003C4F84"/>
    <w:rsid w:val="003C4FB6"/>
    <w:rsid w:val="003C55C4"/>
    <w:rsid w:val="003C5606"/>
    <w:rsid w:val="003C573E"/>
    <w:rsid w:val="003C57DA"/>
    <w:rsid w:val="003C5986"/>
    <w:rsid w:val="003C5B25"/>
    <w:rsid w:val="003C5B6C"/>
    <w:rsid w:val="003C5BB8"/>
    <w:rsid w:val="003C5C10"/>
    <w:rsid w:val="003C5EB7"/>
    <w:rsid w:val="003C627B"/>
    <w:rsid w:val="003C6391"/>
    <w:rsid w:val="003C643A"/>
    <w:rsid w:val="003C64B4"/>
    <w:rsid w:val="003C64BE"/>
    <w:rsid w:val="003C6666"/>
    <w:rsid w:val="003C670B"/>
    <w:rsid w:val="003C68A9"/>
    <w:rsid w:val="003C6B7A"/>
    <w:rsid w:val="003C71CA"/>
    <w:rsid w:val="003C726F"/>
    <w:rsid w:val="003C72D7"/>
    <w:rsid w:val="003C72FA"/>
    <w:rsid w:val="003C755F"/>
    <w:rsid w:val="003C7728"/>
    <w:rsid w:val="003C7846"/>
    <w:rsid w:val="003C78AC"/>
    <w:rsid w:val="003C7A0A"/>
    <w:rsid w:val="003C7B0C"/>
    <w:rsid w:val="003C7B9E"/>
    <w:rsid w:val="003C7C87"/>
    <w:rsid w:val="003C7F51"/>
    <w:rsid w:val="003D00A7"/>
    <w:rsid w:val="003D018B"/>
    <w:rsid w:val="003D03D7"/>
    <w:rsid w:val="003D07BA"/>
    <w:rsid w:val="003D098C"/>
    <w:rsid w:val="003D09CF"/>
    <w:rsid w:val="003D0E84"/>
    <w:rsid w:val="003D0F0D"/>
    <w:rsid w:val="003D0F47"/>
    <w:rsid w:val="003D0FB0"/>
    <w:rsid w:val="003D105F"/>
    <w:rsid w:val="003D1064"/>
    <w:rsid w:val="003D1124"/>
    <w:rsid w:val="003D130D"/>
    <w:rsid w:val="003D1562"/>
    <w:rsid w:val="003D15F0"/>
    <w:rsid w:val="003D1959"/>
    <w:rsid w:val="003D1969"/>
    <w:rsid w:val="003D1B32"/>
    <w:rsid w:val="003D1B4D"/>
    <w:rsid w:val="003D1C00"/>
    <w:rsid w:val="003D1D96"/>
    <w:rsid w:val="003D22CA"/>
    <w:rsid w:val="003D23FB"/>
    <w:rsid w:val="003D25E4"/>
    <w:rsid w:val="003D2652"/>
    <w:rsid w:val="003D26FB"/>
    <w:rsid w:val="003D279E"/>
    <w:rsid w:val="003D2907"/>
    <w:rsid w:val="003D294D"/>
    <w:rsid w:val="003D2956"/>
    <w:rsid w:val="003D299F"/>
    <w:rsid w:val="003D2B44"/>
    <w:rsid w:val="003D2DE4"/>
    <w:rsid w:val="003D2E00"/>
    <w:rsid w:val="003D2EF5"/>
    <w:rsid w:val="003D2F0F"/>
    <w:rsid w:val="003D3036"/>
    <w:rsid w:val="003D30BF"/>
    <w:rsid w:val="003D3196"/>
    <w:rsid w:val="003D31DD"/>
    <w:rsid w:val="003D3506"/>
    <w:rsid w:val="003D379F"/>
    <w:rsid w:val="003D3AD0"/>
    <w:rsid w:val="003D3C3B"/>
    <w:rsid w:val="003D3D9F"/>
    <w:rsid w:val="003D443A"/>
    <w:rsid w:val="003D44A7"/>
    <w:rsid w:val="003D45FE"/>
    <w:rsid w:val="003D4702"/>
    <w:rsid w:val="003D4806"/>
    <w:rsid w:val="003D4835"/>
    <w:rsid w:val="003D4947"/>
    <w:rsid w:val="003D4964"/>
    <w:rsid w:val="003D4B98"/>
    <w:rsid w:val="003D5167"/>
    <w:rsid w:val="003D5235"/>
    <w:rsid w:val="003D53C4"/>
    <w:rsid w:val="003D53E2"/>
    <w:rsid w:val="003D5677"/>
    <w:rsid w:val="003D5897"/>
    <w:rsid w:val="003D5A51"/>
    <w:rsid w:val="003D5A55"/>
    <w:rsid w:val="003D5AC1"/>
    <w:rsid w:val="003D5C98"/>
    <w:rsid w:val="003D5C9B"/>
    <w:rsid w:val="003D5E96"/>
    <w:rsid w:val="003D5EB8"/>
    <w:rsid w:val="003D5FB6"/>
    <w:rsid w:val="003D636E"/>
    <w:rsid w:val="003D67F0"/>
    <w:rsid w:val="003D6A38"/>
    <w:rsid w:val="003D6B53"/>
    <w:rsid w:val="003D6C78"/>
    <w:rsid w:val="003D6CD8"/>
    <w:rsid w:val="003D6EEB"/>
    <w:rsid w:val="003D713E"/>
    <w:rsid w:val="003D7259"/>
    <w:rsid w:val="003D7395"/>
    <w:rsid w:val="003D73B0"/>
    <w:rsid w:val="003D7421"/>
    <w:rsid w:val="003D76F2"/>
    <w:rsid w:val="003D7888"/>
    <w:rsid w:val="003D791C"/>
    <w:rsid w:val="003D79CD"/>
    <w:rsid w:val="003D7A06"/>
    <w:rsid w:val="003D7E30"/>
    <w:rsid w:val="003D7ED4"/>
    <w:rsid w:val="003E010A"/>
    <w:rsid w:val="003E014C"/>
    <w:rsid w:val="003E025F"/>
    <w:rsid w:val="003E02E5"/>
    <w:rsid w:val="003E045F"/>
    <w:rsid w:val="003E04F6"/>
    <w:rsid w:val="003E0576"/>
    <w:rsid w:val="003E0901"/>
    <w:rsid w:val="003E09EB"/>
    <w:rsid w:val="003E09F0"/>
    <w:rsid w:val="003E0AE2"/>
    <w:rsid w:val="003E0CBB"/>
    <w:rsid w:val="003E0E0B"/>
    <w:rsid w:val="003E0E3B"/>
    <w:rsid w:val="003E1509"/>
    <w:rsid w:val="003E1952"/>
    <w:rsid w:val="003E1D7C"/>
    <w:rsid w:val="003E1D9E"/>
    <w:rsid w:val="003E1DE5"/>
    <w:rsid w:val="003E1E8E"/>
    <w:rsid w:val="003E20EE"/>
    <w:rsid w:val="003E267D"/>
    <w:rsid w:val="003E2734"/>
    <w:rsid w:val="003E282D"/>
    <w:rsid w:val="003E295E"/>
    <w:rsid w:val="003E2AC7"/>
    <w:rsid w:val="003E2BF4"/>
    <w:rsid w:val="003E2C3F"/>
    <w:rsid w:val="003E2F3F"/>
    <w:rsid w:val="003E3164"/>
    <w:rsid w:val="003E32F8"/>
    <w:rsid w:val="003E343D"/>
    <w:rsid w:val="003E350D"/>
    <w:rsid w:val="003E3519"/>
    <w:rsid w:val="003E3590"/>
    <w:rsid w:val="003E35D6"/>
    <w:rsid w:val="003E3634"/>
    <w:rsid w:val="003E37B7"/>
    <w:rsid w:val="003E3904"/>
    <w:rsid w:val="003E3D75"/>
    <w:rsid w:val="003E3DDD"/>
    <w:rsid w:val="003E3EC9"/>
    <w:rsid w:val="003E3F49"/>
    <w:rsid w:val="003E4172"/>
    <w:rsid w:val="003E4412"/>
    <w:rsid w:val="003E44AB"/>
    <w:rsid w:val="003E4603"/>
    <w:rsid w:val="003E4635"/>
    <w:rsid w:val="003E4971"/>
    <w:rsid w:val="003E4ADB"/>
    <w:rsid w:val="003E4B35"/>
    <w:rsid w:val="003E4C06"/>
    <w:rsid w:val="003E4C0F"/>
    <w:rsid w:val="003E4C63"/>
    <w:rsid w:val="003E4ED1"/>
    <w:rsid w:val="003E50DE"/>
    <w:rsid w:val="003E521C"/>
    <w:rsid w:val="003E535B"/>
    <w:rsid w:val="003E54CF"/>
    <w:rsid w:val="003E568A"/>
    <w:rsid w:val="003E5861"/>
    <w:rsid w:val="003E5A3B"/>
    <w:rsid w:val="003E5A73"/>
    <w:rsid w:val="003E5AB3"/>
    <w:rsid w:val="003E5C75"/>
    <w:rsid w:val="003E6113"/>
    <w:rsid w:val="003E611A"/>
    <w:rsid w:val="003E65BF"/>
    <w:rsid w:val="003E65E9"/>
    <w:rsid w:val="003E65EB"/>
    <w:rsid w:val="003E660B"/>
    <w:rsid w:val="003E6650"/>
    <w:rsid w:val="003E6761"/>
    <w:rsid w:val="003E68EF"/>
    <w:rsid w:val="003E6974"/>
    <w:rsid w:val="003E6B73"/>
    <w:rsid w:val="003E6B83"/>
    <w:rsid w:val="003E6BCA"/>
    <w:rsid w:val="003E6D12"/>
    <w:rsid w:val="003E6D1C"/>
    <w:rsid w:val="003E6E6A"/>
    <w:rsid w:val="003E6F11"/>
    <w:rsid w:val="003E70CD"/>
    <w:rsid w:val="003E72E2"/>
    <w:rsid w:val="003E731E"/>
    <w:rsid w:val="003E7347"/>
    <w:rsid w:val="003E73E5"/>
    <w:rsid w:val="003E74AA"/>
    <w:rsid w:val="003E75A2"/>
    <w:rsid w:val="003E75AF"/>
    <w:rsid w:val="003E7604"/>
    <w:rsid w:val="003E760C"/>
    <w:rsid w:val="003E761B"/>
    <w:rsid w:val="003E761D"/>
    <w:rsid w:val="003E768C"/>
    <w:rsid w:val="003E77C9"/>
    <w:rsid w:val="003E7A12"/>
    <w:rsid w:val="003E7C6B"/>
    <w:rsid w:val="003E7CD2"/>
    <w:rsid w:val="003E7EAC"/>
    <w:rsid w:val="003E7F92"/>
    <w:rsid w:val="003F0481"/>
    <w:rsid w:val="003F05F0"/>
    <w:rsid w:val="003F0DAD"/>
    <w:rsid w:val="003F0E9E"/>
    <w:rsid w:val="003F1467"/>
    <w:rsid w:val="003F1679"/>
    <w:rsid w:val="003F17B4"/>
    <w:rsid w:val="003F18C0"/>
    <w:rsid w:val="003F19E5"/>
    <w:rsid w:val="003F1AA4"/>
    <w:rsid w:val="003F1C43"/>
    <w:rsid w:val="003F1EF1"/>
    <w:rsid w:val="003F1F66"/>
    <w:rsid w:val="003F1FD7"/>
    <w:rsid w:val="003F21AE"/>
    <w:rsid w:val="003F2252"/>
    <w:rsid w:val="003F23EE"/>
    <w:rsid w:val="003F25D4"/>
    <w:rsid w:val="003F26DB"/>
    <w:rsid w:val="003F291C"/>
    <w:rsid w:val="003F29E1"/>
    <w:rsid w:val="003F2AB0"/>
    <w:rsid w:val="003F2BA7"/>
    <w:rsid w:val="003F32D0"/>
    <w:rsid w:val="003F3442"/>
    <w:rsid w:val="003F3649"/>
    <w:rsid w:val="003F3A39"/>
    <w:rsid w:val="003F3C60"/>
    <w:rsid w:val="003F3D32"/>
    <w:rsid w:val="003F3D36"/>
    <w:rsid w:val="003F3D5D"/>
    <w:rsid w:val="003F42D2"/>
    <w:rsid w:val="003F4305"/>
    <w:rsid w:val="003F43B1"/>
    <w:rsid w:val="003F4649"/>
    <w:rsid w:val="003F4CB9"/>
    <w:rsid w:val="003F4F16"/>
    <w:rsid w:val="003F522E"/>
    <w:rsid w:val="003F5254"/>
    <w:rsid w:val="003F5363"/>
    <w:rsid w:val="003F5527"/>
    <w:rsid w:val="003F560B"/>
    <w:rsid w:val="003F5646"/>
    <w:rsid w:val="003F5841"/>
    <w:rsid w:val="003F58BF"/>
    <w:rsid w:val="003F597B"/>
    <w:rsid w:val="003F59BE"/>
    <w:rsid w:val="003F5A49"/>
    <w:rsid w:val="003F5A70"/>
    <w:rsid w:val="003F5A8D"/>
    <w:rsid w:val="003F5AA7"/>
    <w:rsid w:val="003F5D73"/>
    <w:rsid w:val="003F6376"/>
    <w:rsid w:val="003F6439"/>
    <w:rsid w:val="003F65AF"/>
    <w:rsid w:val="003F66FD"/>
    <w:rsid w:val="003F6AA2"/>
    <w:rsid w:val="003F6B23"/>
    <w:rsid w:val="003F6B71"/>
    <w:rsid w:val="003F6B99"/>
    <w:rsid w:val="003F6B9B"/>
    <w:rsid w:val="003F6CC2"/>
    <w:rsid w:val="003F6E46"/>
    <w:rsid w:val="003F725F"/>
    <w:rsid w:val="003F75BC"/>
    <w:rsid w:val="003F75F3"/>
    <w:rsid w:val="003F762D"/>
    <w:rsid w:val="003F772A"/>
    <w:rsid w:val="003F77FA"/>
    <w:rsid w:val="003F79B2"/>
    <w:rsid w:val="003F7A29"/>
    <w:rsid w:val="003F7A51"/>
    <w:rsid w:val="003F7A5B"/>
    <w:rsid w:val="003F7B08"/>
    <w:rsid w:val="003F7F62"/>
    <w:rsid w:val="00400004"/>
    <w:rsid w:val="00400128"/>
    <w:rsid w:val="0040023B"/>
    <w:rsid w:val="004003E3"/>
    <w:rsid w:val="00400536"/>
    <w:rsid w:val="00400665"/>
    <w:rsid w:val="004008F9"/>
    <w:rsid w:val="0040092E"/>
    <w:rsid w:val="00400C48"/>
    <w:rsid w:val="00400D97"/>
    <w:rsid w:val="00400E26"/>
    <w:rsid w:val="00400EB6"/>
    <w:rsid w:val="00400EBD"/>
    <w:rsid w:val="004010E4"/>
    <w:rsid w:val="004015A8"/>
    <w:rsid w:val="00401892"/>
    <w:rsid w:val="004018D8"/>
    <w:rsid w:val="00401DAA"/>
    <w:rsid w:val="00401DF8"/>
    <w:rsid w:val="00401EAB"/>
    <w:rsid w:val="0040228E"/>
    <w:rsid w:val="00402324"/>
    <w:rsid w:val="004023F9"/>
    <w:rsid w:val="00402525"/>
    <w:rsid w:val="00402673"/>
    <w:rsid w:val="00402777"/>
    <w:rsid w:val="004027BF"/>
    <w:rsid w:val="0040294E"/>
    <w:rsid w:val="00402A28"/>
    <w:rsid w:val="00402B1F"/>
    <w:rsid w:val="00402C68"/>
    <w:rsid w:val="00402CAE"/>
    <w:rsid w:val="00402E20"/>
    <w:rsid w:val="00402EDB"/>
    <w:rsid w:val="00403260"/>
    <w:rsid w:val="004035F6"/>
    <w:rsid w:val="00403698"/>
    <w:rsid w:val="00403965"/>
    <w:rsid w:val="00403AB0"/>
    <w:rsid w:val="00403AD5"/>
    <w:rsid w:val="00403D17"/>
    <w:rsid w:val="00403D33"/>
    <w:rsid w:val="00403D83"/>
    <w:rsid w:val="00403EA7"/>
    <w:rsid w:val="00403F05"/>
    <w:rsid w:val="004041FE"/>
    <w:rsid w:val="0040441A"/>
    <w:rsid w:val="00404656"/>
    <w:rsid w:val="00404914"/>
    <w:rsid w:val="00404924"/>
    <w:rsid w:val="00404AEF"/>
    <w:rsid w:val="00404C58"/>
    <w:rsid w:val="00405294"/>
    <w:rsid w:val="004054C0"/>
    <w:rsid w:val="0040561F"/>
    <w:rsid w:val="00405889"/>
    <w:rsid w:val="0040593A"/>
    <w:rsid w:val="004059FF"/>
    <w:rsid w:val="00405B48"/>
    <w:rsid w:val="00405EB4"/>
    <w:rsid w:val="004061A6"/>
    <w:rsid w:val="00406453"/>
    <w:rsid w:val="0040651A"/>
    <w:rsid w:val="0040656B"/>
    <w:rsid w:val="004065FE"/>
    <w:rsid w:val="0040667E"/>
    <w:rsid w:val="0040683D"/>
    <w:rsid w:val="004068F0"/>
    <w:rsid w:val="00406B1E"/>
    <w:rsid w:val="00406B26"/>
    <w:rsid w:val="00406B4F"/>
    <w:rsid w:val="00406E76"/>
    <w:rsid w:val="00406EF7"/>
    <w:rsid w:val="00406FCE"/>
    <w:rsid w:val="00407191"/>
    <w:rsid w:val="004071D7"/>
    <w:rsid w:val="00407348"/>
    <w:rsid w:val="004077C4"/>
    <w:rsid w:val="00407997"/>
    <w:rsid w:val="00407B8C"/>
    <w:rsid w:val="00407C69"/>
    <w:rsid w:val="00407D2C"/>
    <w:rsid w:val="00407D6D"/>
    <w:rsid w:val="00407EAD"/>
    <w:rsid w:val="00410035"/>
    <w:rsid w:val="0041009B"/>
    <w:rsid w:val="0041018F"/>
    <w:rsid w:val="0041030C"/>
    <w:rsid w:val="0041039D"/>
    <w:rsid w:val="004103DD"/>
    <w:rsid w:val="0041054F"/>
    <w:rsid w:val="0041072C"/>
    <w:rsid w:val="00410A31"/>
    <w:rsid w:val="00410BAB"/>
    <w:rsid w:val="0041138E"/>
    <w:rsid w:val="0041147E"/>
    <w:rsid w:val="00411589"/>
    <w:rsid w:val="0041192F"/>
    <w:rsid w:val="00411A74"/>
    <w:rsid w:val="00411AB2"/>
    <w:rsid w:val="00411D70"/>
    <w:rsid w:val="00411EB8"/>
    <w:rsid w:val="004120AC"/>
    <w:rsid w:val="00412278"/>
    <w:rsid w:val="004122D9"/>
    <w:rsid w:val="0041250E"/>
    <w:rsid w:val="004126C7"/>
    <w:rsid w:val="00412741"/>
    <w:rsid w:val="00412B5A"/>
    <w:rsid w:val="00412E00"/>
    <w:rsid w:val="00412E4F"/>
    <w:rsid w:val="00413341"/>
    <w:rsid w:val="0041345B"/>
    <w:rsid w:val="004136D3"/>
    <w:rsid w:val="00413882"/>
    <w:rsid w:val="00413BA8"/>
    <w:rsid w:val="00413C08"/>
    <w:rsid w:val="00413C27"/>
    <w:rsid w:val="00413C8C"/>
    <w:rsid w:val="00414053"/>
    <w:rsid w:val="004143E6"/>
    <w:rsid w:val="004143E9"/>
    <w:rsid w:val="004143F4"/>
    <w:rsid w:val="0041451A"/>
    <w:rsid w:val="004145F6"/>
    <w:rsid w:val="00414676"/>
    <w:rsid w:val="004146C4"/>
    <w:rsid w:val="004147AD"/>
    <w:rsid w:val="00414867"/>
    <w:rsid w:val="00414B43"/>
    <w:rsid w:val="00414BC8"/>
    <w:rsid w:val="00414C6B"/>
    <w:rsid w:val="00414D0E"/>
    <w:rsid w:val="00414E7B"/>
    <w:rsid w:val="00414EB7"/>
    <w:rsid w:val="00414F36"/>
    <w:rsid w:val="00415313"/>
    <w:rsid w:val="004154F1"/>
    <w:rsid w:val="004158EE"/>
    <w:rsid w:val="00415B21"/>
    <w:rsid w:val="00415BF6"/>
    <w:rsid w:val="0041602C"/>
    <w:rsid w:val="00416120"/>
    <w:rsid w:val="0041614B"/>
    <w:rsid w:val="004163E1"/>
    <w:rsid w:val="004164FC"/>
    <w:rsid w:val="00416596"/>
    <w:rsid w:val="00416620"/>
    <w:rsid w:val="0041668C"/>
    <w:rsid w:val="00416726"/>
    <w:rsid w:val="00416789"/>
    <w:rsid w:val="00416A12"/>
    <w:rsid w:val="00416BEB"/>
    <w:rsid w:val="0041722A"/>
    <w:rsid w:val="0041736F"/>
    <w:rsid w:val="00417553"/>
    <w:rsid w:val="0041756A"/>
    <w:rsid w:val="00417990"/>
    <w:rsid w:val="00417CA6"/>
    <w:rsid w:val="00417D5D"/>
    <w:rsid w:val="00417FFD"/>
    <w:rsid w:val="00420312"/>
    <w:rsid w:val="00420370"/>
    <w:rsid w:val="00420B6C"/>
    <w:rsid w:val="00420B98"/>
    <w:rsid w:val="00420F56"/>
    <w:rsid w:val="00420FDF"/>
    <w:rsid w:val="004214A0"/>
    <w:rsid w:val="00421693"/>
    <w:rsid w:val="0042190F"/>
    <w:rsid w:val="0042194E"/>
    <w:rsid w:val="00421A0A"/>
    <w:rsid w:val="00421AC9"/>
    <w:rsid w:val="00421B0B"/>
    <w:rsid w:val="00421C62"/>
    <w:rsid w:val="00421D1C"/>
    <w:rsid w:val="00421FB9"/>
    <w:rsid w:val="00422065"/>
    <w:rsid w:val="004220CD"/>
    <w:rsid w:val="00422331"/>
    <w:rsid w:val="0042237E"/>
    <w:rsid w:val="00422380"/>
    <w:rsid w:val="004226E1"/>
    <w:rsid w:val="00422727"/>
    <w:rsid w:val="0042283A"/>
    <w:rsid w:val="0042293C"/>
    <w:rsid w:val="00422954"/>
    <w:rsid w:val="00422A23"/>
    <w:rsid w:val="00422BA9"/>
    <w:rsid w:val="00422C39"/>
    <w:rsid w:val="00422F8F"/>
    <w:rsid w:val="0042322A"/>
    <w:rsid w:val="004232E6"/>
    <w:rsid w:val="004233DE"/>
    <w:rsid w:val="00423524"/>
    <w:rsid w:val="00423C02"/>
    <w:rsid w:val="00423C9F"/>
    <w:rsid w:val="004240AD"/>
    <w:rsid w:val="00424317"/>
    <w:rsid w:val="00424523"/>
    <w:rsid w:val="00424860"/>
    <w:rsid w:val="00424A0A"/>
    <w:rsid w:val="00424F4F"/>
    <w:rsid w:val="0042509A"/>
    <w:rsid w:val="0042550D"/>
    <w:rsid w:val="00425569"/>
    <w:rsid w:val="004255E5"/>
    <w:rsid w:val="00425604"/>
    <w:rsid w:val="00425737"/>
    <w:rsid w:val="004257DB"/>
    <w:rsid w:val="00425D14"/>
    <w:rsid w:val="00425E85"/>
    <w:rsid w:val="00425FF6"/>
    <w:rsid w:val="00426034"/>
    <w:rsid w:val="00426139"/>
    <w:rsid w:val="0042633A"/>
    <w:rsid w:val="0042637B"/>
    <w:rsid w:val="004263B4"/>
    <w:rsid w:val="00426478"/>
    <w:rsid w:val="004264E8"/>
    <w:rsid w:val="004264FA"/>
    <w:rsid w:val="00426591"/>
    <w:rsid w:val="00426617"/>
    <w:rsid w:val="004266B2"/>
    <w:rsid w:val="00426A4D"/>
    <w:rsid w:val="00426AEC"/>
    <w:rsid w:val="00426B50"/>
    <w:rsid w:val="00426E68"/>
    <w:rsid w:val="00426EC4"/>
    <w:rsid w:val="0042719A"/>
    <w:rsid w:val="0042750C"/>
    <w:rsid w:val="00427732"/>
    <w:rsid w:val="004278FA"/>
    <w:rsid w:val="00427AB6"/>
    <w:rsid w:val="00427C1E"/>
    <w:rsid w:val="00427C81"/>
    <w:rsid w:val="00427CB8"/>
    <w:rsid w:val="004303BE"/>
    <w:rsid w:val="0043058C"/>
    <w:rsid w:val="0043071F"/>
    <w:rsid w:val="0043077A"/>
    <w:rsid w:val="004308AA"/>
    <w:rsid w:val="00430AA3"/>
    <w:rsid w:val="00430C7A"/>
    <w:rsid w:val="0043103C"/>
    <w:rsid w:val="004310DD"/>
    <w:rsid w:val="004314F7"/>
    <w:rsid w:val="0043158E"/>
    <w:rsid w:val="00431729"/>
    <w:rsid w:val="004318D7"/>
    <w:rsid w:val="00431A92"/>
    <w:rsid w:val="00431BD3"/>
    <w:rsid w:val="00431C6B"/>
    <w:rsid w:val="00431E0B"/>
    <w:rsid w:val="00431EDF"/>
    <w:rsid w:val="00432141"/>
    <w:rsid w:val="00432225"/>
    <w:rsid w:val="00432325"/>
    <w:rsid w:val="00432384"/>
    <w:rsid w:val="00432453"/>
    <w:rsid w:val="00432A85"/>
    <w:rsid w:val="00432CAD"/>
    <w:rsid w:val="00432CE5"/>
    <w:rsid w:val="00432D45"/>
    <w:rsid w:val="004330B3"/>
    <w:rsid w:val="00433192"/>
    <w:rsid w:val="00433219"/>
    <w:rsid w:val="00433271"/>
    <w:rsid w:val="004332EB"/>
    <w:rsid w:val="004332EF"/>
    <w:rsid w:val="0043332E"/>
    <w:rsid w:val="0043342F"/>
    <w:rsid w:val="00433470"/>
    <w:rsid w:val="004335EE"/>
    <w:rsid w:val="004337F4"/>
    <w:rsid w:val="00433B52"/>
    <w:rsid w:val="00433BE2"/>
    <w:rsid w:val="00433F0A"/>
    <w:rsid w:val="00433F1C"/>
    <w:rsid w:val="00433FAE"/>
    <w:rsid w:val="00433FDA"/>
    <w:rsid w:val="004341DD"/>
    <w:rsid w:val="004342F2"/>
    <w:rsid w:val="00434362"/>
    <w:rsid w:val="004347AC"/>
    <w:rsid w:val="004347FF"/>
    <w:rsid w:val="00434815"/>
    <w:rsid w:val="00434922"/>
    <w:rsid w:val="00434BC9"/>
    <w:rsid w:val="00434D3A"/>
    <w:rsid w:val="00435042"/>
    <w:rsid w:val="00435399"/>
    <w:rsid w:val="00435619"/>
    <w:rsid w:val="004357FA"/>
    <w:rsid w:val="004358BF"/>
    <w:rsid w:val="00435CE0"/>
    <w:rsid w:val="00435D2C"/>
    <w:rsid w:val="00435D87"/>
    <w:rsid w:val="00435EB8"/>
    <w:rsid w:val="0043618E"/>
    <w:rsid w:val="0043677B"/>
    <w:rsid w:val="0043681C"/>
    <w:rsid w:val="0043681D"/>
    <w:rsid w:val="004369EE"/>
    <w:rsid w:val="00436C0D"/>
    <w:rsid w:val="00436DFB"/>
    <w:rsid w:val="00436F26"/>
    <w:rsid w:val="004370B6"/>
    <w:rsid w:val="004376EE"/>
    <w:rsid w:val="00437797"/>
    <w:rsid w:val="004377F8"/>
    <w:rsid w:val="004378DF"/>
    <w:rsid w:val="00437AF6"/>
    <w:rsid w:val="00437C60"/>
    <w:rsid w:val="00437C7B"/>
    <w:rsid w:val="00437D81"/>
    <w:rsid w:val="00437DB5"/>
    <w:rsid w:val="00437DFE"/>
    <w:rsid w:val="00437E2D"/>
    <w:rsid w:val="00437FCB"/>
    <w:rsid w:val="0044053E"/>
    <w:rsid w:val="004406E9"/>
    <w:rsid w:val="004407F4"/>
    <w:rsid w:val="004407F8"/>
    <w:rsid w:val="00440919"/>
    <w:rsid w:val="00440B32"/>
    <w:rsid w:val="00441113"/>
    <w:rsid w:val="0044122A"/>
    <w:rsid w:val="004412DF"/>
    <w:rsid w:val="00441307"/>
    <w:rsid w:val="0044155C"/>
    <w:rsid w:val="00441632"/>
    <w:rsid w:val="00441839"/>
    <w:rsid w:val="00441B91"/>
    <w:rsid w:val="00441C95"/>
    <w:rsid w:val="00441D4C"/>
    <w:rsid w:val="00442090"/>
    <w:rsid w:val="0044214C"/>
    <w:rsid w:val="004421A1"/>
    <w:rsid w:val="00442805"/>
    <w:rsid w:val="00442806"/>
    <w:rsid w:val="00442837"/>
    <w:rsid w:val="00442872"/>
    <w:rsid w:val="004428ED"/>
    <w:rsid w:val="00442A85"/>
    <w:rsid w:val="00442AD9"/>
    <w:rsid w:val="00442B52"/>
    <w:rsid w:val="00442B55"/>
    <w:rsid w:val="00442BA4"/>
    <w:rsid w:val="00442CDE"/>
    <w:rsid w:val="00442D84"/>
    <w:rsid w:val="00443182"/>
    <w:rsid w:val="00443266"/>
    <w:rsid w:val="004435D5"/>
    <w:rsid w:val="004438EF"/>
    <w:rsid w:val="00443933"/>
    <w:rsid w:val="004439A8"/>
    <w:rsid w:val="00443A3D"/>
    <w:rsid w:val="00443A4C"/>
    <w:rsid w:val="00443D8B"/>
    <w:rsid w:val="00443EE5"/>
    <w:rsid w:val="004442A7"/>
    <w:rsid w:val="0044432A"/>
    <w:rsid w:val="004445D4"/>
    <w:rsid w:val="004446A5"/>
    <w:rsid w:val="004447BF"/>
    <w:rsid w:val="0044485B"/>
    <w:rsid w:val="00444A76"/>
    <w:rsid w:val="00444AC8"/>
    <w:rsid w:val="00444B04"/>
    <w:rsid w:val="00444C2D"/>
    <w:rsid w:val="00444D0A"/>
    <w:rsid w:val="00444FC4"/>
    <w:rsid w:val="00445217"/>
    <w:rsid w:val="004452AC"/>
    <w:rsid w:val="004452DD"/>
    <w:rsid w:val="004452F7"/>
    <w:rsid w:val="004452FA"/>
    <w:rsid w:val="0044544A"/>
    <w:rsid w:val="004457DA"/>
    <w:rsid w:val="004458FF"/>
    <w:rsid w:val="00445A65"/>
    <w:rsid w:val="00445A8F"/>
    <w:rsid w:val="00445B6B"/>
    <w:rsid w:val="00445BF9"/>
    <w:rsid w:val="00445C75"/>
    <w:rsid w:val="004460B1"/>
    <w:rsid w:val="004460DA"/>
    <w:rsid w:val="004460E6"/>
    <w:rsid w:val="00446163"/>
    <w:rsid w:val="004461DD"/>
    <w:rsid w:val="004463D5"/>
    <w:rsid w:val="004463FF"/>
    <w:rsid w:val="00446467"/>
    <w:rsid w:val="00446512"/>
    <w:rsid w:val="00446636"/>
    <w:rsid w:val="004466C2"/>
    <w:rsid w:val="0044677D"/>
    <w:rsid w:val="00446A86"/>
    <w:rsid w:val="00446AF6"/>
    <w:rsid w:val="00446B33"/>
    <w:rsid w:val="00446B54"/>
    <w:rsid w:val="00446B7F"/>
    <w:rsid w:val="00446E2C"/>
    <w:rsid w:val="00446EA6"/>
    <w:rsid w:val="00447130"/>
    <w:rsid w:val="004471C7"/>
    <w:rsid w:val="004471E0"/>
    <w:rsid w:val="004472EC"/>
    <w:rsid w:val="004473A5"/>
    <w:rsid w:val="0044757C"/>
    <w:rsid w:val="004475C0"/>
    <w:rsid w:val="004475F5"/>
    <w:rsid w:val="004478C3"/>
    <w:rsid w:val="004478E5"/>
    <w:rsid w:val="00447957"/>
    <w:rsid w:val="00447CED"/>
    <w:rsid w:val="00447EC3"/>
    <w:rsid w:val="00447F00"/>
    <w:rsid w:val="0045002E"/>
    <w:rsid w:val="00450095"/>
    <w:rsid w:val="004500E1"/>
    <w:rsid w:val="004504DE"/>
    <w:rsid w:val="004504EB"/>
    <w:rsid w:val="00450504"/>
    <w:rsid w:val="00450598"/>
    <w:rsid w:val="0045077A"/>
    <w:rsid w:val="004508CB"/>
    <w:rsid w:val="0045098C"/>
    <w:rsid w:val="004509CE"/>
    <w:rsid w:val="00450A32"/>
    <w:rsid w:val="00450A52"/>
    <w:rsid w:val="00450A69"/>
    <w:rsid w:val="00450C47"/>
    <w:rsid w:val="00450D31"/>
    <w:rsid w:val="00450D90"/>
    <w:rsid w:val="00450DBA"/>
    <w:rsid w:val="00450E13"/>
    <w:rsid w:val="00450ECC"/>
    <w:rsid w:val="0045101D"/>
    <w:rsid w:val="004510B5"/>
    <w:rsid w:val="004511ED"/>
    <w:rsid w:val="004513BD"/>
    <w:rsid w:val="00451560"/>
    <w:rsid w:val="004518F2"/>
    <w:rsid w:val="004519AA"/>
    <w:rsid w:val="00451A38"/>
    <w:rsid w:val="00451B0D"/>
    <w:rsid w:val="00451B74"/>
    <w:rsid w:val="00451B9B"/>
    <w:rsid w:val="00451E6E"/>
    <w:rsid w:val="00452198"/>
    <w:rsid w:val="004522AC"/>
    <w:rsid w:val="004524C4"/>
    <w:rsid w:val="004526A6"/>
    <w:rsid w:val="004526BE"/>
    <w:rsid w:val="0045270B"/>
    <w:rsid w:val="0045273C"/>
    <w:rsid w:val="004528B0"/>
    <w:rsid w:val="00452949"/>
    <w:rsid w:val="0045299A"/>
    <w:rsid w:val="00452A68"/>
    <w:rsid w:val="00452A93"/>
    <w:rsid w:val="00452ABD"/>
    <w:rsid w:val="00452E1F"/>
    <w:rsid w:val="004530FD"/>
    <w:rsid w:val="00453115"/>
    <w:rsid w:val="00453200"/>
    <w:rsid w:val="0045321B"/>
    <w:rsid w:val="00453323"/>
    <w:rsid w:val="004533B9"/>
    <w:rsid w:val="004536F0"/>
    <w:rsid w:val="0045376A"/>
    <w:rsid w:val="0045388D"/>
    <w:rsid w:val="00453AD7"/>
    <w:rsid w:val="00453C06"/>
    <w:rsid w:val="00453DC3"/>
    <w:rsid w:val="00453DF7"/>
    <w:rsid w:val="00453F6A"/>
    <w:rsid w:val="00453F9A"/>
    <w:rsid w:val="00454007"/>
    <w:rsid w:val="00454027"/>
    <w:rsid w:val="00454190"/>
    <w:rsid w:val="004542E0"/>
    <w:rsid w:val="00454736"/>
    <w:rsid w:val="0045474F"/>
    <w:rsid w:val="004547AA"/>
    <w:rsid w:val="00454896"/>
    <w:rsid w:val="004548AE"/>
    <w:rsid w:val="004549B5"/>
    <w:rsid w:val="004549BA"/>
    <w:rsid w:val="00454ADF"/>
    <w:rsid w:val="00454C45"/>
    <w:rsid w:val="00454D21"/>
    <w:rsid w:val="00454DA2"/>
    <w:rsid w:val="00454F5E"/>
    <w:rsid w:val="00454F70"/>
    <w:rsid w:val="00454FD4"/>
    <w:rsid w:val="00455149"/>
    <w:rsid w:val="00455290"/>
    <w:rsid w:val="004552D5"/>
    <w:rsid w:val="004554D3"/>
    <w:rsid w:val="004556C2"/>
    <w:rsid w:val="00455791"/>
    <w:rsid w:val="00455941"/>
    <w:rsid w:val="00455A39"/>
    <w:rsid w:val="00455A94"/>
    <w:rsid w:val="00455D3D"/>
    <w:rsid w:val="00455D6B"/>
    <w:rsid w:val="00455E3C"/>
    <w:rsid w:val="00455E91"/>
    <w:rsid w:val="00455F0F"/>
    <w:rsid w:val="0045604D"/>
    <w:rsid w:val="00456158"/>
    <w:rsid w:val="0045629F"/>
    <w:rsid w:val="0045639D"/>
    <w:rsid w:val="0045655B"/>
    <w:rsid w:val="004565B3"/>
    <w:rsid w:val="004565E4"/>
    <w:rsid w:val="004567EF"/>
    <w:rsid w:val="004568B7"/>
    <w:rsid w:val="004569AC"/>
    <w:rsid w:val="00456A60"/>
    <w:rsid w:val="00456AE0"/>
    <w:rsid w:val="00456D94"/>
    <w:rsid w:val="00456F18"/>
    <w:rsid w:val="004570C2"/>
    <w:rsid w:val="004572F1"/>
    <w:rsid w:val="00457597"/>
    <w:rsid w:val="004575FB"/>
    <w:rsid w:val="0045761E"/>
    <w:rsid w:val="004576B7"/>
    <w:rsid w:val="004576BD"/>
    <w:rsid w:val="00457872"/>
    <w:rsid w:val="004578B7"/>
    <w:rsid w:val="00457A08"/>
    <w:rsid w:val="00457A7B"/>
    <w:rsid w:val="00457A7E"/>
    <w:rsid w:val="00457BB0"/>
    <w:rsid w:val="00457BC5"/>
    <w:rsid w:val="00457C42"/>
    <w:rsid w:val="00457EA4"/>
    <w:rsid w:val="00457FA9"/>
    <w:rsid w:val="00457FCE"/>
    <w:rsid w:val="004602E1"/>
    <w:rsid w:val="00460364"/>
    <w:rsid w:val="004603A9"/>
    <w:rsid w:val="00460624"/>
    <w:rsid w:val="00460687"/>
    <w:rsid w:val="0046074B"/>
    <w:rsid w:val="004607B0"/>
    <w:rsid w:val="00460ACD"/>
    <w:rsid w:val="00460B21"/>
    <w:rsid w:val="00460BFA"/>
    <w:rsid w:val="00460C31"/>
    <w:rsid w:val="00461357"/>
    <w:rsid w:val="00461783"/>
    <w:rsid w:val="00461952"/>
    <w:rsid w:val="00461AC4"/>
    <w:rsid w:val="00461AC8"/>
    <w:rsid w:val="00461AD6"/>
    <w:rsid w:val="00461AE4"/>
    <w:rsid w:val="00461B08"/>
    <w:rsid w:val="00461B23"/>
    <w:rsid w:val="00461BFA"/>
    <w:rsid w:val="00461DE0"/>
    <w:rsid w:val="00461E08"/>
    <w:rsid w:val="00461F15"/>
    <w:rsid w:val="00461F9E"/>
    <w:rsid w:val="004622F4"/>
    <w:rsid w:val="004623AF"/>
    <w:rsid w:val="004623B0"/>
    <w:rsid w:val="004623D0"/>
    <w:rsid w:val="0046240C"/>
    <w:rsid w:val="004624A5"/>
    <w:rsid w:val="0046259F"/>
    <w:rsid w:val="00463201"/>
    <w:rsid w:val="004632FD"/>
    <w:rsid w:val="00463405"/>
    <w:rsid w:val="00463652"/>
    <w:rsid w:val="004636C1"/>
    <w:rsid w:val="0046382C"/>
    <w:rsid w:val="00463A43"/>
    <w:rsid w:val="00463A9C"/>
    <w:rsid w:val="00463E4A"/>
    <w:rsid w:val="00464224"/>
    <w:rsid w:val="0046426C"/>
    <w:rsid w:val="004642B6"/>
    <w:rsid w:val="0046434E"/>
    <w:rsid w:val="004643A1"/>
    <w:rsid w:val="004643F3"/>
    <w:rsid w:val="0046450D"/>
    <w:rsid w:val="00464745"/>
    <w:rsid w:val="004648E6"/>
    <w:rsid w:val="00464996"/>
    <w:rsid w:val="00464A5F"/>
    <w:rsid w:val="00464B15"/>
    <w:rsid w:val="00464D4E"/>
    <w:rsid w:val="0046501A"/>
    <w:rsid w:val="004653E0"/>
    <w:rsid w:val="00465518"/>
    <w:rsid w:val="00465703"/>
    <w:rsid w:val="0046592B"/>
    <w:rsid w:val="0046597B"/>
    <w:rsid w:val="00465A0B"/>
    <w:rsid w:val="004661B7"/>
    <w:rsid w:val="004662EB"/>
    <w:rsid w:val="00466441"/>
    <w:rsid w:val="00466537"/>
    <w:rsid w:val="00466539"/>
    <w:rsid w:val="004667E5"/>
    <w:rsid w:val="00466820"/>
    <w:rsid w:val="0046686C"/>
    <w:rsid w:val="00466B91"/>
    <w:rsid w:val="00466CE8"/>
    <w:rsid w:val="00467115"/>
    <w:rsid w:val="00467185"/>
    <w:rsid w:val="0046726A"/>
    <w:rsid w:val="004672C0"/>
    <w:rsid w:val="0046751B"/>
    <w:rsid w:val="00467858"/>
    <w:rsid w:val="00467876"/>
    <w:rsid w:val="00467BB0"/>
    <w:rsid w:val="00467DC1"/>
    <w:rsid w:val="00470088"/>
    <w:rsid w:val="004701D5"/>
    <w:rsid w:val="004702DC"/>
    <w:rsid w:val="00470310"/>
    <w:rsid w:val="00470338"/>
    <w:rsid w:val="004704A8"/>
    <w:rsid w:val="00470562"/>
    <w:rsid w:val="004705DE"/>
    <w:rsid w:val="004705EF"/>
    <w:rsid w:val="004705FD"/>
    <w:rsid w:val="0047065A"/>
    <w:rsid w:val="00470BAF"/>
    <w:rsid w:val="00470C01"/>
    <w:rsid w:val="00470D07"/>
    <w:rsid w:val="00470F3B"/>
    <w:rsid w:val="004710C3"/>
    <w:rsid w:val="0047124C"/>
    <w:rsid w:val="00471265"/>
    <w:rsid w:val="004712C2"/>
    <w:rsid w:val="0047164C"/>
    <w:rsid w:val="00471719"/>
    <w:rsid w:val="00471775"/>
    <w:rsid w:val="0047184F"/>
    <w:rsid w:val="00471961"/>
    <w:rsid w:val="004719EA"/>
    <w:rsid w:val="00471A75"/>
    <w:rsid w:val="00471AC0"/>
    <w:rsid w:val="00471BCD"/>
    <w:rsid w:val="00471C91"/>
    <w:rsid w:val="00471E71"/>
    <w:rsid w:val="00471EDF"/>
    <w:rsid w:val="00471F90"/>
    <w:rsid w:val="0047202E"/>
    <w:rsid w:val="004720D2"/>
    <w:rsid w:val="00472139"/>
    <w:rsid w:val="0047229C"/>
    <w:rsid w:val="00472522"/>
    <w:rsid w:val="004726A8"/>
    <w:rsid w:val="004726CE"/>
    <w:rsid w:val="00472A21"/>
    <w:rsid w:val="00472B89"/>
    <w:rsid w:val="00472BF6"/>
    <w:rsid w:val="00472D52"/>
    <w:rsid w:val="00472E2C"/>
    <w:rsid w:val="00472EBC"/>
    <w:rsid w:val="004730DE"/>
    <w:rsid w:val="00473121"/>
    <w:rsid w:val="004731EE"/>
    <w:rsid w:val="00473294"/>
    <w:rsid w:val="004732D5"/>
    <w:rsid w:val="00473B67"/>
    <w:rsid w:val="00473C73"/>
    <w:rsid w:val="00473D74"/>
    <w:rsid w:val="00473E77"/>
    <w:rsid w:val="00473F11"/>
    <w:rsid w:val="00474033"/>
    <w:rsid w:val="00474116"/>
    <w:rsid w:val="00474518"/>
    <w:rsid w:val="004745DA"/>
    <w:rsid w:val="004746FB"/>
    <w:rsid w:val="0047470F"/>
    <w:rsid w:val="004747E6"/>
    <w:rsid w:val="004747F0"/>
    <w:rsid w:val="00474888"/>
    <w:rsid w:val="004748B6"/>
    <w:rsid w:val="00474A7B"/>
    <w:rsid w:val="00474C8B"/>
    <w:rsid w:val="00474CAF"/>
    <w:rsid w:val="00474CE6"/>
    <w:rsid w:val="00475115"/>
    <w:rsid w:val="00475260"/>
    <w:rsid w:val="00475273"/>
    <w:rsid w:val="00475286"/>
    <w:rsid w:val="004752F5"/>
    <w:rsid w:val="004754E0"/>
    <w:rsid w:val="004758EA"/>
    <w:rsid w:val="004759DA"/>
    <w:rsid w:val="00475BEF"/>
    <w:rsid w:val="00475C68"/>
    <w:rsid w:val="00475DFD"/>
    <w:rsid w:val="00475F9E"/>
    <w:rsid w:val="0047606B"/>
    <w:rsid w:val="0047621E"/>
    <w:rsid w:val="0047637A"/>
    <w:rsid w:val="004764F3"/>
    <w:rsid w:val="00476655"/>
    <w:rsid w:val="004767E2"/>
    <w:rsid w:val="00476877"/>
    <w:rsid w:val="0047698C"/>
    <w:rsid w:val="00476A63"/>
    <w:rsid w:val="00476A9B"/>
    <w:rsid w:val="00476CA2"/>
    <w:rsid w:val="00476DE7"/>
    <w:rsid w:val="0047716F"/>
    <w:rsid w:val="004771DD"/>
    <w:rsid w:val="0047722F"/>
    <w:rsid w:val="004776BE"/>
    <w:rsid w:val="0047790E"/>
    <w:rsid w:val="0047796A"/>
    <w:rsid w:val="0047796C"/>
    <w:rsid w:val="00477A6E"/>
    <w:rsid w:val="00477A85"/>
    <w:rsid w:val="00477AB3"/>
    <w:rsid w:val="00477AFE"/>
    <w:rsid w:val="00477C21"/>
    <w:rsid w:val="00477DB9"/>
    <w:rsid w:val="004801B2"/>
    <w:rsid w:val="00480270"/>
    <w:rsid w:val="004802F4"/>
    <w:rsid w:val="00480871"/>
    <w:rsid w:val="004808CE"/>
    <w:rsid w:val="00480D51"/>
    <w:rsid w:val="00480E5B"/>
    <w:rsid w:val="0048111F"/>
    <w:rsid w:val="0048117C"/>
    <w:rsid w:val="0048148A"/>
    <w:rsid w:val="00481AB9"/>
    <w:rsid w:val="00481C24"/>
    <w:rsid w:val="00481C4D"/>
    <w:rsid w:val="00481D2A"/>
    <w:rsid w:val="00481DD2"/>
    <w:rsid w:val="00481E2E"/>
    <w:rsid w:val="0048211E"/>
    <w:rsid w:val="00482236"/>
    <w:rsid w:val="00482576"/>
    <w:rsid w:val="004826D0"/>
    <w:rsid w:val="004826D5"/>
    <w:rsid w:val="004827B9"/>
    <w:rsid w:val="004828C2"/>
    <w:rsid w:val="004828E3"/>
    <w:rsid w:val="00482B82"/>
    <w:rsid w:val="00482E4A"/>
    <w:rsid w:val="00482FD4"/>
    <w:rsid w:val="00482FE2"/>
    <w:rsid w:val="00483463"/>
    <w:rsid w:val="0048382B"/>
    <w:rsid w:val="00483AD1"/>
    <w:rsid w:val="00483DFC"/>
    <w:rsid w:val="004841D4"/>
    <w:rsid w:val="0048436C"/>
    <w:rsid w:val="00484433"/>
    <w:rsid w:val="0048445C"/>
    <w:rsid w:val="0048447A"/>
    <w:rsid w:val="0048449C"/>
    <w:rsid w:val="00484511"/>
    <w:rsid w:val="00484563"/>
    <w:rsid w:val="00484876"/>
    <w:rsid w:val="0048492F"/>
    <w:rsid w:val="0048499B"/>
    <w:rsid w:val="00484AD4"/>
    <w:rsid w:val="00484B43"/>
    <w:rsid w:val="00484B8D"/>
    <w:rsid w:val="00484EA6"/>
    <w:rsid w:val="00484ECB"/>
    <w:rsid w:val="00484F66"/>
    <w:rsid w:val="00484F77"/>
    <w:rsid w:val="00485112"/>
    <w:rsid w:val="0048527F"/>
    <w:rsid w:val="004855A9"/>
    <w:rsid w:val="00485992"/>
    <w:rsid w:val="004859B9"/>
    <w:rsid w:val="00485D8D"/>
    <w:rsid w:val="00485F05"/>
    <w:rsid w:val="00485F1D"/>
    <w:rsid w:val="004860AB"/>
    <w:rsid w:val="004861CF"/>
    <w:rsid w:val="00486610"/>
    <w:rsid w:val="004867DA"/>
    <w:rsid w:val="004868C2"/>
    <w:rsid w:val="00486987"/>
    <w:rsid w:val="00486A78"/>
    <w:rsid w:val="00486CCD"/>
    <w:rsid w:val="00486E4F"/>
    <w:rsid w:val="00486E7A"/>
    <w:rsid w:val="00486F1A"/>
    <w:rsid w:val="00486F68"/>
    <w:rsid w:val="00486F89"/>
    <w:rsid w:val="00486FAF"/>
    <w:rsid w:val="0048707D"/>
    <w:rsid w:val="0048731E"/>
    <w:rsid w:val="00487616"/>
    <w:rsid w:val="00487AA9"/>
    <w:rsid w:val="00487D76"/>
    <w:rsid w:val="00490209"/>
    <w:rsid w:val="004903C2"/>
    <w:rsid w:val="004905A3"/>
    <w:rsid w:val="00490711"/>
    <w:rsid w:val="00490882"/>
    <w:rsid w:val="00490996"/>
    <w:rsid w:val="004909C9"/>
    <w:rsid w:val="00490A24"/>
    <w:rsid w:val="00490A49"/>
    <w:rsid w:val="00490C79"/>
    <w:rsid w:val="00490D62"/>
    <w:rsid w:val="004911AB"/>
    <w:rsid w:val="004911E7"/>
    <w:rsid w:val="004911EF"/>
    <w:rsid w:val="00491351"/>
    <w:rsid w:val="0049145D"/>
    <w:rsid w:val="004914D0"/>
    <w:rsid w:val="00491743"/>
    <w:rsid w:val="004918F9"/>
    <w:rsid w:val="00491A6D"/>
    <w:rsid w:val="00491AF0"/>
    <w:rsid w:val="00491BAC"/>
    <w:rsid w:val="00492090"/>
    <w:rsid w:val="00492214"/>
    <w:rsid w:val="00492398"/>
    <w:rsid w:val="0049251B"/>
    <w:rsid w:val="00492597"/>
    <w:rsid w:val="00492644"/>
    <w:rsid w:val="00492951"/>
    <w:rsid w:val="0049296F"/>
    <w:rsid w:val="00492ADD"/>
    <w:rsid w:val="00492D4F"/>
    <w:rsid w:val="00492DC8"/>
    <w:rsid w:val="00492E6B"/>
    <w:rsid w:val="0049323E"/>
    <w:rsid w:val="004938D1"/>
    <w:rsid w:val="00493925"/>
    <w:rsid w:val="00493957"/>
    <w:rsid w:val="00493F8E"/>
    <w:rsid w:val="00493FFA"/>
    <w:rsid w:val="0049406B"/>
    <w:rsid w:val="00494328"/>
    <w:rsid w:val="004944D3"/>
    <w:rsid w:val="00494611"/>
    <w:rsid w:val="0049463C"/>
    <w:rsid w:val="00494719"/>
    <w:rsid w:val="00494928"/>
    <w:rsid w:val="0049492E"/>
    <w:rsid w:val="00494AC8"/>
    <w:rsid w:val="00494B41"/>
    <w:rsid w:val="00494B45"/>
    <w:rsid w:val="00494C21"/>
    <w:rsid w:val="00494E3D"/>
    <w:rsid w:val="00494E8D"/>
    <w:rsid w:val="00495628"/>
    <w:rsid w:val="0049570D"/>
    <w:rsid w:val="00495790"/>
    <w:rsid w:val="004957F8"/>
    <w:rsid w:val="00495BE2"/>
    <w:rsid w:val="00495CA6"/>
    <w:rsid w:val="00495CEA"/>
    <w:rsid w:val="00495F4F"/>
    <w:rsid w:val="00495F79"/>
    <w:rsid w:val="00495FF6"/>
    <w:rsid w:val="00496071"/>
    <w:rsid w:val="004960A2"/>
    <w:rsid w:val="004960E0"/>
    <w:rsid w:val="00496150"/>
    <w:rsid w:val="0049616F"/>
    <w:rsid w:val="00496547"/>
    <w:rsid w:val="004966DC"/>
    <w:rsid w:val="004968B2"/>
    <w:rsid w:val="004968C9"/>
    <w:rsid w:val="00496957"/>
    <w:rsid w:val="00496A81"/>
    <w:rsid w:val="00496D1B"/>
    <w:rsid w:val="00496E39"/>
    <w:rsid w:val="00497262"/>
    <w:rsid w:val="00497376"/>
    <w:rsid w:val="004973C8"/>
    <w:rsid w:val="004975C3"/>
    <w:rsid w:val="00497791"/>
    <w:rsid w:val="0049795F"/>
    <w:rsid w:val="00497A73"/>
    <w:rsid w:val="00497A8F"/>
    <w:rsid w:val="00497BFE"/>
    <w:rsid w:val="00497E1A"/>
    <w:rsid w:val="00497ED7"/>
    <w:rsid w:val="004A0189"/>
    <w:rsid w:val="004A0342"/>
    <w:rsid w:val="004A055A"/>
    <w:rsid w:val="004A061F"/>
    <w:rsid w:val="004A0B1D"/>
    <w:rsid w:val="004A0B6C"/>
    <w:rsid w:val="004A0CA0"/>
    <w:rsid w:val="004A0CB0"/>
    <w:rsid w:val="004A0CC4"/>
    <w:rsid w:val="004A115E"/>
    <w:rsid w:val="004A12D7"/>
    <w:rsid w:val="004A1365"/>
    <w:rsid w:val="004A138D"/>
    <w:rsid w:val="004A13B2"/>
    <w:rsid w:val="004A1481"/>
    <w:rsid w:val="004A14F5"/>
    <w:rsid w:val="004A1510"/>
    <w:rsid w:val="004A170D"/>
    <w:rsid w:val="004A17D8"/>
    <w:rsid w:val="004A1AA8"/>
    <w:rsid w:val="004A1BC6"/>
    <w:rsid w:val="004A1D70"/>
    <w:rsid w:val="004A1DB1"/>
    <w:rsid w:val="004A1F29"/>
    <w:rsid w:val="004A1F38"/>
    <w:rsid w:val="004A1F97"/>
    <w:rsid w:val="004A2083"/>
    <w:rsid w:val="004A24CB"/>
    <w:rsid w:val="004A25DE"/>
    <w:rsid w:val="004A25FE"/>
    <w:rsid w:val="004A2748"/>
    <w:rsid w:val="004A27CD"/>
    <w:rsid w:val="004A283F"/>
    <w:rsid w:val="004A28DD"/>
    <w:rsid w:val="004A299D"/>
    <w:rsid w:val="004A2B7C"/>
    <w:rsid w:val="004A2D02"/>
    <w:rsid w:val="004A2D34"/>
    <w:rsid w:val="004A2D68"/>
    <w:rsid w:val="004A2F53"/>
    <w:rsid w:val="004A30DD"/>
    <w:rsid w:val="004A3224"/>
    <w:rsid w:val="004A34E7"/>
    <w:rsid w:val="004A3980"/>
    <w:rsid w:val="004A39E0"/>
    <w:rsid w:val="004A3F33"/>
    <w:rsid w:val="004A4323"/>
    <w:rsid w:val="004A4501"/>
    <w:rsid w:val="004A45AC"/>
    <w:rsid w:val="004A4654"/>
    <w:rsid w:val="004A474F"/>
    <w:rsid w:val="004A4983"/>
    <w:rsid w:val="004A4A80"/>
    <w:rsid w:val="004A4AF9"/>
    <w:rsid w:val="004A4C2F"/>
    <w:rsid w:val="004A5027"/>
    <w:rsid w:val="004A5061"/>
    <w:rsid w:val="004A51BC"/>
    <w:rsid w:val="004A5344"/>
    <w:rsid w:val="004A574C"/>
    <w:rsid w:val="004A5798"/>
    <w:rsid w:val="004A597A"/>
    <w:rsid w:val="004A5993"/>
    <w:rsid w:val="004A5B15"/>
    <w:rsid w:val="004A5B70"/>
    <w:rsid w:val="004A5BAA"/>
    <w:rsid w:val="004A5CED"/>
    <w:rsid w:val="004A5DB1"/>
    <w:rsid w:val="004A5E60"/>
    <w:rsid w:val="004A5EC6"/>
    <w:rsid w:val="004A5F7E"/>
    <w:rsid w:val="004A60CD"/>
    <w:rsid w:val="004A651F"/>
    <w:rsid w:val="004A6A6D"/>
    <w:rsid w:val="004A6BE2"/>
    <w:rsid w:val="004A6EC0"/>
    <w:rsid w:val="004A7244"/>
    <w:rsid w:val="004A7C39"/>
    <w:rsid w:val="004A7F76"/>
    <w:rsid w:val="004B0008"/>
    <w:rsid w:val="004B01D3"/>
    <w:rsid w:val="004B01E5"/>
    <w:rsid w:val="004B022B"/>
    <w:rsid w:val="004B056E"/>
    <w:rsid w:val="004B057D"/>
    <w:rsid w:val="004B05D7"/>
    <w:rsid w:val="004B064B"/>
    <w:rsid w:val="004B076B"/>
    <w:rsid w:val="004B0C50"/>
    <w:rsid w:val="004B0FE6"/>
    <w:rsid w:val="004B100D"/>
    <w:rsid w:val="004B1027"/>
    <w:rsid w:val="004B11C7"/>
    <w:rsid w:val="004B1254"/>
    <w:rsid w:val="004B12AD"/>
    <w:rsid w:val="004B12B5"/>
    <w:rsid w:val="004B133A"/>
    <w:rsid w:val="004B145F"/>
    <w:rsid w:val="004B1489"/>
    <w:rsid w:val="004B159E"/>
    <w:rsid w:val="004B15BA"/>
    <w:rsid w:val="004B1995"/>
    <w:rsid w:val="004B1C9F"/>
    <w:rsid w:val="004B20BA"/>
    <w:rsid w:val="004B2400"/>
    <w:rsid w:val="004B2670"/>
    <w:rsid w:val="004B2722"/>
    <w:rsid w:val="004B27AE"/>
    <w:rsid w:val="004B28B5"/>
    <w:rsid w:val="004B296D"/>
    <w:rsid w:val="004B299A"/>
    <w:rsid w:val="004B2DC4"/>
    <w:rsid w:val="004B2DC5"/>
    <w:rsid w:val="004B2E15"/>
    <w:rsid w:val="004B2E35"/>
    <w:rsid w:val="004B2FD5"/>
    <w:rsid w:val="004B3043"/>
    <w:rsid w:val="004B321E"/>
    <w:rsid w:val="004B321F"/>
    <w:rsid w:val="004B34E3"/>
    <w:rsid w:val="004B363A"/>
    <w:rsid w:val="004B372D"/>
    <w:rsid w:val="004B376D"/>
    <w:rsid w:val="004B37B3"/>
    <w:rsid w:val="004B3880"/>
    <w:rsid w:val="004B38BE"/>
    <w:rsid w:val="004B392D"/>
    <w:rsid w:val="004B3AC8"/>
    <w:rsid w:val="004B3AE2"/>
    <w:rsid w:val="004B3B50"/>
    <w:rsid w:val="004B3B58"/>
    <w:rsid w:val="004B3BC9"/>
    <w:rsid w:val="004B3C2E"/>
    <w:rsid w:val="004B3D95"/>
    <w:rsid w:val="004B3EA7"/>
    <w:rsid w:val="004B3FAF"/>
    <w:rsid w:val="004B40C2"/>
    <w:rsid w:val="004B41C7"/>
    <w:rsid w:val="004B41E9"/>
    <w:rsid w:val="004B42E3"/>
    <w:rsid w:val="004B437C"/>
    <w:rsid w:val="004B44BA"/>
    <w:rsid w:val="004B4590"/>
    <w:rsid w:val="004B45DD"/>
    <w:rsid w:val="004B4A6B"/>
    <w:rsid w:val="004B4D0D"/>
    <w:rsid w:val="004B4DBB"/>
    <w:rsid w:val="004B4E02"/>
    <w:rsid w:val="004B4FE6"/>
    <w:rsid w:val="004B55AB"/>
    <w:rsid w:val="004B5661"/>
    <w:rsid w:val="004B579D"/>
    <w:rsid w:val="004B5839"/>
    <w:rsid w:val="004B5952"/>
    <w:rsid w:val="004B59E5"/>
    <w:rsid w:val="004B5AE9"/>
    <w:rsid w:val="004B5B40"/>
    <w:rsid w:val="004B5CCA"/>
    <w:rsid w:val="004B5F51"/>
    <w:rsid w:val="004B5F60"/>
    <w:rsid w:val="004B62D8"/>
    <w:rsid w:val="004B62E1"/>
    <w:rsid w:val="004B62F4"/>
    <w:rsid w:val="004B6444"/>
    <w:rsid w:val="004B671D"/>
    <w:rsid w:val="004B6BC4"/>
    <w:rsid w:val="004B6C61"/>
    <w:rsid w:val="004B6CE6"/>
    <w:rsid w:val="004B6D00"/>
    <w:rsid w:val="004B7173"/>
    <w:rsid w:val="004B717F"/>
    <w:rsid w:val="004B7225"/>
    <w:rsid w:val="004B72CB"/>
    <w:rsid w:val="004B7326"/>
    <w:rsid w:val="004B745C"/>
    <w:rsid w:val="004B7568"/>
    <w:rsid w:val="004B77E9"/>
    <w:rsid w:val="004B78F5"/>
    <w:rsid w:val="004B7A54"/>
    <w:rsid w:val="004B7B8D"/>
    <w:rsid w:val="004B7CA2"/>
    <w:rsid w:val="004B7DF8"/>
    <w:rsid w:val="004B7FC8"/>
    <w:rsid w:val="004C00D9"/>
    <w:rsid w:val="004C0300"/>
    <w:rsid w:val="004C0410"/>
    <w:rsid w:val="004C0487"/>
    <w:rsid w:val="004C063D"/>
    <w:rsid w:val="004C07A4"/>
    <w:rsid w:val="004C07E1"/>
    <w:rsid w:val="004C08A2"/>
    <w:rsid w:val="004C0988"/>
    <w:rsid w:val="004C0A38"/>
    <w:rsid w:val="004C0AC5"/>
    <w:rsid w:val="004C0BEF"/>
    <w:rsid w:val="004C0C83"/>
    <w:rsid w:val="004C0CD0"/>
    <w:rsid w:val="004C0EDC"/>
    <w:rsid w:val="004C0EDF"/>
    <w:rsid w:val="004C0F94"/>
    <w:rsid w:val="004C0F9B"/>
    <w:rsid w:val="004C11C6"/>
    <w:rsid w:val="004C135D"/>
    <w:rsid w:val="004C13B6"/>
    <w:rsid w:val="004C1663"/>
    <w:rsid w:val="004C16F0"/>
    <w:rsid w:val="004C17E4"/>
    <w:rsid w:val="004C1871"/>
    <w:rsid w:val="004C18FD"/>
    <w:rsid w:val="004C1911"/>
    <w:rsid w:val="004C1BD2"/>
    <w:rsid w:val="004C1E59"/>
    <w:rsid w:val="004C208B"/>
    <w:rsid w:val="004C20E2"/>
    <w:rsid w:val="004C22EA"/>
    <w:rsid w:val="004C2416"/>
    <w:rsid w:val="004C2734"/>
    <w:rsid w:val="004C2787"/>
    <w:rsid w:val="004C2878"/>
    <w:rsid w:val="004C2C22"/>
    <w:rsid w:val="004C2D0E"/>
    <w:rsid w:val="004C2F1A"/>
    <w:rsid w:val="004C2F87"/>
    <w:rsid w:val="004C357A"/>
    <w:rsid w:val="004C38D9"/>
    <w:rsid w:val="004C3904"/>
    <w:rsid w:val="004C3A88"/>
    <w:rsid w:val="004C3CF5"/>
    <w:rsid w:val="004C3D89"/>
    <w:rsid w:val="004C3E9F"/>
    <w:rsid w:val="004C4067"/>
    <w:rsid w:val="004C4150"/>
    <w:rsid w:val="004C4174"/>
    <w:rsid w:val="004C44D9"/>
    <w:rsid w:val="004C470B"/>
    <w:rsid w:val="004C4816"/>
    <w:rsid w:val="004C484E"/>
    <w:rsid w:val="004C494B"/>
    <w:rsid w:val="004C4AB7"/>
    <w:rsid w:val="004C4F8F"/>
    <w:rsid w:val="004C505C"/>
    <w:rsid w:val="004C524F"/>
    <w:rsid w:val="004C5526"/>
    <w:rsid w:val="004C567C"/>
    <w:rsid w:val="004C57E0"/>
    <w:rsid w:val="004C58DD"/>
    <w:rsid w:val="004C593B"/>
    <w:rsid w:val="004C5972"/>
    <w:rsid w:val="004C5B9C"/>
    <w:rsid w:val="004C5BA0"/>
    <w:rsid w:val="004C5BDE"/>
    <w:rsid w:val="004C5E53"/>
    <w:rsid w:val="004C60A5"/>
    <w:rsid w:val="004C60E6"/>
    <w:rsid w:val="004C6161"/>
    <w:rsid w:val="004C62E8"/>
    <w:rsid w:val="004C6367"/>
    <w:rsid w:val="004C63E9"/>
    <w:rsid w:val="004C65BB"/>
    <w:rsid w:val="004C6648"/>
    <w:rsid w:val="004C67D3"/>
    <w:rsid w:val="004C685B"/>
    <w:rsid w:val="004C6890"/>
    <w:rsid w:val="004C6903"/>
    <w:rsid w:val="004C6A38"/>
    <w:rsid w:val="004C6A84"/>
    <w:rsid w:val="004C6B8D"/>
    <w:rsid w:val="004C6BA0"/>
    <w:rsid w:val="004C6E00"/>
    <w:rsid w:val="004C6F21"/>
    <w:rsid w:val="004C72FB"/>
    <w:rsid w:val="004C7599"/>
    <w:rsid w:val="004C773C"/>
    <w:rsid w:val="004C791A"/>
    <w:rsid w:val="004C79DC"/>
    <w:rsid w:val="004C7A30"/>
    <w:rsid w:val="004C7B7D"/>
    <w:rsid w:val="004D0139"/>
    <w:rsid w:val="004D019A"/>
    <w:rsid w:val="004D0353"/>
    <w:rsid w:val="004D03FD"/>
    <w:rsid w:val="004D053A"/>
    <w:rsid w:val="004D07E7"/>
    <w:rsid w:val="004D0802"/>
    <w:rsid w:val="004D08B2"/>
    <w:rsid w:val="004D08E0"/>
    <w:rsid w:val="004D0A37"/>
    <w:rsid w:val="004D0AF5"/>
    <w:rsid w:val="004D0BE5"/>
    <w:rsid w:val="004D0EDA"/>
    <w:rsid w:val="004D1020"/>
    <w:rsid w:val="004D146A"/>
    <w:rsid w:val="004D18D4"/>
    <w:rsid w:val="004D18EE"/>
    <w:rsid w:val="004D1BE6"/>
    <w:rsid w:val="004D1BED"/>
    <w:rsid w:val="004D1DFB"/>
    <w:rsid w:val="004D213A"/>
    <w:rsid w:val="004D2494"/>
    <w:rsid w:val="004D2539"/>
    <w:rsid w:val="004D257D"/>
    <w:rsid w:val="004D259F"/>
    <w:rsid w:val="004D2738"/>
    <w:rsid w:val="004D2750"/>
    <w:rsid w:val="004D2825"/>
    <w:rsid w:val="004D2B3F"/>
    <w:rsid w:val="004D2BB8"/>
    <w:rsid w:val="004D2C9C"/>
    <w:rsid w:val="004D2CE1"/>
    <w:rsid w:val="004D2D13"/>
    <w:rsid w:val="004D2D6A"/>
    <w:rsid w:val="004D334F"/>
    <w:rsid w:val="004D34CD"/>
    <w:rsid w:val="004D34FC"/>
    <w:rsid w:val="004D38DD"/>
    <w:rsid w:val="004D395D"/>
    <w:rsid w:val="004D3C50"/>
    <w:rsid w:val="004D3E88"/>
    <w:rsid w:val="004D3F29"/>
    <w:rsid w:val="004D400B"/>
    <w:rsid w:val="004D407B"/>
    <w:rsid w:val="004D40FA"/>
    <w:rsid w:val="004D4150"/>
    <w:rsid w:val="004D41A4"/>
    <w:rsid w:val="004D4323"/>
    <w:rsid w:val="004D4377"/>
    <w:rsid w:val="004D456C"/>
    <w:rsid w:val="004D459F"/>
    <w:rsid w:val="004D45DF"/>
    <w:rsid w:val="004D4717"/>
    <w:rsid w:val="004D4719"/>
    <w:rsid w:val="004D47E4"/>
    <w:rsid w:val="004D4840"/>
    <w:rsid w:val="004D4AAF"/>
    <w:rsid w:val="004D4AC4"/>
    <w:rsid w:val="004D4ACE"/>
    <w:rsid w:val="004D4BAE"/>
    <w:rsid w:val="004D4BB8"/>
    <w:rsid w:val="004D4D66"/>
    <w:rsid w:val="004D4D88"/>
    <w:rsid w:val="004D4FF2"/>
    <w:rsid w:val="004D508C"/>
    <w:rsid w:val="004D50AC"/>
    <w:rsid w:val="004D51DE"/>
    <w:rsid w:val="004D5361"/>
    <w:rsid w:val="004D556E"/>
    <w:rsid w:val="004D5581"/>
    <w:rsid w:val="004D55C6"/>
    <w:rsid w:val="004D5856"/>
    <w:rsid w:val="004D593E"/>
    <w:rsid w:val="004D59A2"/>
    <w:rsid w:val="004D5B7C"/>
    <w:rsid w:val="004D5BFE"/>
    <w:rsid w:val="004D5E47"/>
    <w:rsid w:val="004D5EB7"/>
    <w:rsid w:val="004D5F99"/>
    <w:rsid w:val="004D6120"/>
    <w:rsid w:val="004D6452"/>
    <w:rsid w:val="004D64A5"/>
    <w:rsid w:val="004D66A4"/>
    <w:rsid w:val="004D6B2C"/>
    <w:rsid w:val="004D6C1F"/>
    <w:rsid w:val="004D6D55"/>
    <w:rsid w:val="004D6D5E"/>
    <w:rsid w:val="004D6D7D"/>
    <w:rsid w:val="004D6DCD"/>
    <w:rsid w:val="004D724E"/>
    <w:rsid w:val="004D72F8"/>
    <w:rsid w:val="004D74FC"/>
    <w:rsid w:val="004D76CF"/>
    <w:rsid w:val="004D7FC7"/>
    <w:rsid w:val="004D7FD5"/>
    <w:rsid w:val="004E00E7"/>
    <w:rsid w:val="004E0106"/>
    <w:rsid w:val="004E0341"/>
    <w:rsid w:val="004E036B"/>
    <w:rsid w:val="004E05C4"/>
    <w:rsid w:val="004E07D8"/>
    <w:rsid w:val="004E09B2"/>
    <w:rsid w:val="004E0A85"/>
    <w:rsid w:val="004E0AC8"/>
    <w:rsid w:val="004E0B2C"/>
    <w:rsid w:val="004E0C5E"/>
    <w:rsid w:val="004E0D05"/>
    <w:rsid w:val="004E0DBE"/>
    <w:rsid w:val="004E10B1"/>
    <w:rsid w:val="004E128A"/>
    <w:rsid w:val="004E1291"/>
    <w:rsid w:val="004E1540"/>
    <w:rsid w:val="004E160F"/>
    <w:rsid w:val="004E164B"/>
    <w:rsid w:val="004E16C3"/>
    <w:rsid w:val="004E170D"/>
    <w:rsid w:val="004E1808"/>
    <w:rsid w:val="004E195C"/>
    <w:rsid w:val="004E19AD"/>
    <w:rsid w:val="004E21B4"/>
    <w:rsid w:val="004E21EB"/>
    <w:rsid w:val="004E2383"/>
    <w:rsid w:val="004E23BE"/>
    <w:rsid w:val="004E23EC"/>
    <w:rsid w:val="004E2974"/>
    <w:rsid w:val="004E2B43"/>
    <w:rsid w:val="004E2D39"/>
    <w:rsid w:val="004E2E2A"/>
    <w:rsid w:val="004E2E90"/>
    <w:rsid w:val="004E2E94"/>
    <w:rsid w:val="004E3031"/>
    <w:rsid w:val="004E30EE"/>
    <w:rsid w:val="004E3300"/>
    <w:rsid w:val="004E3474"/>
    <w:rsid w:val="004E34FA"/>
    <w:rsid w:val="004E355C"/>
    <w:rsid w:val="004E3579"/>
    <w:rsid w:val="004E3645"/>
    <w:rsid w:val="004E364F"/>
    <w:rsid w:val="004E3B00"/>
    <w:rsid w:val="004E3F8C"/>
    <w:rsid w:val="004E4053"/>
    <w:rsid w:val="004E4209"/>
    <w:rsid w:val="004E457C"/>
    <w:rsid w:val="004E46EA"/>
    <w:rsid w:val="004E47E3"/>
    <w:rsid w:val="004E4A73"/>
    <w:rsid w:val="004E4B05"/>
    <w:rsid w:val="004E4B7A"/>
    <w:rsid w:val="004E4C7A"/>
    <w:rsid w:val="004E4CD5"/>
    <w:rsid w:val="004E4CEE"/>
    <w:rsid w:val="004E4D26"/>
    <w:rsid w:val="004E4DCB"/>
    <w:rsid w:val="004E4E8B"/>
    <w:rsid w:val="004E5186"/>
    <w:rsid w:val="004E5277"/>
    <w:rsid w:val="004E530E"/>
    <w:rsid w:val="004E5689"/>
    <w:rsid w:val="004E5B96"/>
    <w:rsid w:val="004E6182"/>
    <w:rsid w:val="004E61D0"/>
    <w:rsid w:val="004E6466"/>
    <w:rsid w:val="004E6978"/>
    <w:rsid w:val="004E6B4D"/>
    <w:rsid w:val="004E6F76"/>
    <w:rsid w:val="004E7074"/>
    <w:rsid w:val="004E7205"/>
    <w:rsid w:val="004E720B"/>
    <w:rsid w:val="004E723A"/>
    <w:rsid w:val="004E747B"/>
    <w:rsid w:val="004E7485"/>
    <w:rsid w:val="004E754C"/>
    <w:rsid w:val="004E763A"/>
    <w:rsid w:val="004E7AD9"/>
    <w:rsid w:val="004E7C26"/>
    <w:rsid w:val="004E7C65"/>
    <w:rsid w:val="004E7DA2"/>
    <w:rsid w:val="004E7DFD"/>
    <w:rsid w:val="004E7FAF"/>
    <w:rsid w:val="004E7FDF"/>
    <w:rsid w:val="004F008F"/>
    <w:rsid w:val="004F0352"/>
    <w:rsid w:val="004F0361"/>
    <w:rsid w:val="004F0365"/>
    <w:rsid w:val="004F04FB"/>
    <w:rsid w:val="004F0505"/>
    <w:rsid w:val="004F08E1"/>
    <w:rsid w:val="004F0A09"/>
    <w:rsid w:val="004F0A13"/>
    <w:rsid w:val="004F0C6A"/>
    <w:rsid w:val="004F0DB4"/>
    <w:rsid w:val="004F1078"/>
    <w:rsid w:val="004F10C8"/>
    <w:rsid w:val="004F125A"/>
    <w:rsid w:val="004F13A6"/>
    <w:rsid w:val="004F1562"/>
    <w:rsid w:val="004F15F2"/>
    <w:rsid w:val="004F17E9"/>
    <w:rsid w:val="004F1B16"/>
    <w:rsid w:val="004F1BF8"/>
    <w:rsid w:val="004F232B"/>
    <w:rsid w:val="004F2412"/>
    <w:rsid w:val="004F25B0"/>
    <w:rsid w:val="004F274C"/>
    <w:rsid w:val="004F2A32"/>
    <w:rsid w:val="004F2B19"/>
    <w:rsid w:val="004F2C15"/>
    <w:rsid w:val="004F2D2E"/>
    <w:rsid w:val="004F2D33"/>
    <w:rsid w:val="004F2D65"/>
    <w:rsid w:val="004F2F06"/>
    <w:rsid w:val="004F2F35"/>
    <w:rsid w:val="004F310E"/>
    <w:rsid w:val="004F334C"/>
    <w:rsid w:val="004F346C"/>
    <w:rsid w:val="004F3571"/>
    <w:rsid w:val="004F3691"/>
    <w:rsid w:val="004F38D6"/>
    <w:rsid w:val="004F3E26"/>
    <w:rsid w:val="004F3F0B"/>
    <w:rsid w:val="004F3FE7"/>
    <w:rsid w:val="004F40CB"/>
    <w:rsid w:val="004F432E"/>
    <w:rsid w:val="004F43E6"/>
    <w:rsid w:val="004F472B"/>
    <w:rsid w:val="004F48C6"/>
    <w:rsid w:val="004F48EE"/>
    <w:rsid w:val="004F4D32"/>
    <w:rsid w:val="004F4DE8"/>
    <w:rsid w:val="004F4E89"/>
    <w:rsid w:val="004F4FB1"/>
    <w:rsid w:val="004F508D"/>
    <w:rsid w:val="004F520B"/>
    <w:rsid w:val="004F528F"/>
    <w:rsid w:val="004F560E"/>
    <w:rsid w:val="004F5711"/>
    <w:rsid w:val="004F577C"/>
    <w:rsid w:val="004F57C2"/>
    <w:rsid w:val="004F5897"/>
    <w:rsid w:val="004F58A0"/>
    <w:rsid w:val="004F58B7"/>
    <w:rsid w:val="004F5972"/>
    <w:rsid w:val="004F5B32"/>
    <w:rsid w:val="004F5BE8"/>
    <w:rsid w:val="004F5C05"/>
    <w:rsid w:val="004F5CC0"/>
    <w:rsid w:val="004F5D5C"/>
    <w:rsid w:val="004F5DCB"/>
    <w:rsid w:val="004F5F30"/>
    <w:rsid w:val="004F6185"/>
    <w:rsid w:val="004F61E7"/>
    <w:rsid w:val="004F63E2"/>
    <w:rsid w:val="004F6471"/>
    <w:rsid w:val="004F655B"/>
    <w:rsid w:val="004F668F"/>
    <w:rsid w:val="004F6757"/>
    <w:rsid w:val="004F6894"/>
    <w:rsid w:val="004F6A05"/>
    <w:rsid w:val="004F6A3D"/>
    <w:rsid w:val="004F6A47"/>
    <w:rsid w:val="004F6D08"/>
    <w:rsid w:val="004F6EFC"/>
    <w:rsid w:val="004F6F2F"/>
    <w:rsid w:val="004F6FDA"/>
    <w:rsid w:val="004F70FB"/>
    <w:rsid w:val="004F727E"/>
    <w:rsid w:val="004F72B5"/>
    <w:rsid w:val="004F73EB"/>
    <w:rsid w:val="004F78E8"/>
    <w:rsid w:val="004F790F"/>
    <w:rsid w:val="004F79A9"/>
    <w:rsid w:val="004F7A3E"/>
    <w:rsid w:val="004F7C1A"/>
    <w:rsid w:val="004F7C5B"/>
    <w:rsid w:val="004F7DB5"/>
    <w:rsid w:val="004F7F3C"/>
    <w:rsid w:val="004F7F5A"/>
    <w:rsid w:val="0050000D"/>
    <w:rsid w:val="005001C0"/>
    <w:rsid w:val="0050034B"/>
    <w:rsid w:val="0050039E"/>
    <w:rsid w:val="0050040C"/>
    <w:rsid w:val="00500776"/>
    <w:rsid w:val="0050086F"/>
    <w:rsid w:val="005008D8"/>
    <w:rsid w:val="00500A16"/>
    <w:rsid w:val="00500B8B"/>
    <w:rsid w:val="00500BAC"/>
    <w:rsid w:val="00500D36"/>
    <w:rsid w:val="00500DAE"/>
    <w:rsid w:val="0050109F"/>
    <w:rsid w:val="00501105"/>
    <w:rsid w:val="0050128E"/>
    <w:rsid w:val="005012C3"/>
    <w:rsid w:val="0050195F"/>
    <w:rsid w:val="00501966"/>
    <w:rsid w:val="00501BB1"/>
    <w:rsid w:val="00501CB6"/>
    <w:rsid w:val="00501DB4"/>
    <w:rsid w:val="00502114"/>
    <w:rsid w:val="00502294"/>
    <w:rsid w:val="005025EC"/>
    <w:rsid w:val="00502617"/>
    <w:rsid w:val="00502832"/>
    <w:rsid w:val="005029EF"/>
    <w:rsid w:val="00502B07"/>
    <w:rsid w:val="00502C55"/>
    <w:rsid w:val="00502EF9"/>
    <w:rsid w:val="00502F0C"/>
    <w:rsid w:val="00503040"/>
    <w:rsid w:val="005031A3"/>
    <w:rsid w:val="005032F0"/>
    <w:rsid w:val="0050364F"/>
    <w:rsid w:val="0050365F"/>
    <w:rsid w:val="005036DC"/>
    <w:rsid w:val="0050371B"/>
    <w:rsid w:val="0050372A"/>
    <w:rsid w:val="00503765"/>
    <w:rsid w:val="00503777"/>
    <w:rsid w:val="00503955"/>
    <w:rsid w:val="00503A44"/>
    <w:rsid w:val="00503A7C"/>
    <w:rsid w:val="005041AA"/>
    <w:rsid w:val="00504498"/>
    <w:rsid w:val="005044DB"/>
    <w:rsid w:val="0050455A"/>
    <w:rsid w:val="0050474A"/>
    <w:rsid w:val="005047C2"/>
    <w:rsid w:val="00504A36"/>
    <w:rsid w:val="00504AF9"/>
    <w:rsid w:val="00504CE6"/>
    <w:rsid w:val="00504E74"/>
    <w:rsid w:val="00504FF7"/>
    <w:rsid w:val="005050ED"/>
    <w:rsid w:val="0050524F"/>
    <w:rsid w:val="00505665"/>
    <w:rsid w:val="005056F6"/>
    <w:rsid w:val="00505894"/>
    <w:rsid w:val="005059FD"/>
    <w:rsid w:val="00505A14"/>
    <w:rsid w:val="00505A6B"/>
    <w:rsid w:val="00505C24"/>
    <w:rsid w:val="00505C79"/>
    <w:rsid w:val="00505CF3"/>
    <w:rsid w:val="00505ED6"/>
    <w:rsid w:val="00506216"/>
    <w:rsid w:val="005064F5"/>
    <w:rsid w:val="00506694"/>
    <w:rsid w:val="005067D7"/>
    <w:rsid w:val="005067FF"/>
    <w:rsid w:val="00506889"/>
    <w:rsid w:val="00506937"/>
    <w:rsid w:val="00506D75"/>
    <w:rsid w:val="00506E65"/>
    <w:rsid w:val="00506F29"/>
    <w:rsid w:val="0050732F"/>
    <w:rsid w:val="0050736C"/>
    <w:rsid w:val="00507373"/>
    <w:rsid w:val="005074F9"/>
    <w:rsid w:val="00507561"/>
    <w:rsid w:val="005075CC"/>
    <w:rsid w:val="0050766C"/>
    <w:rsid w:val="0050766F"/>
    <w:rsid w:val="005077AA"/>
    <w:rsid w:val="00507A34"/>
    <w:rsid w:val="00507AA2"/>
    <w:rsid w:val="00507ACF"/>
    <w:rsid w:val="00507B0A"/>
    <w:rsid w:val="00507B55"/>
    <w:rsid w:val="00507B75"/>
    <w:rsid w:val="00510136"/>
    <w:rsid w:val="00510211"/>
    <w:rsid w:val="0051039B"/>
    <w:rsid w:val="00510606"/>
    <w:rsid w:val="00510881"/>
    <w:rsid w:val="00510AE3"/>
    <w:rsid w:val="00510DCE"/>
    <w:rsid w:val="00510F23"/>
    <w:rsid w:val="00510F36"/>
    <w:rsid w:val="00511027"/>
    <w:rsid w:val="00511050"/>
    <w:rsid w:val="00511366"/>
    <w:rsid w:val="00511440"/>
    <w:rsid w:val="00511495"/>
    <w:rsid w:val="00511755"/>
    <w:rsid w:val="00511899"/>
    <w:rsid w:val="00511C5E"/>
    <w:rsid w:val="00511DCB"/>
    <w:rsid w:val="00511E3B"/>
    <w:rsid w:val="00511E5A"/>
    <w:rsid w:val="00511ECB"/>
    <w:rsid w:val="00511FCB"/>
    <w:rsid w:val="005122C9"/>
    <w:rsid w:val="00512398"/>
    <w:rsid w:val="0051249C"/>
    <w:rsid w:val="0051266D"/>
    <w:rsid w:val="005127C8"/>
    <w:rsid w:val="005128F9"/>
    <w:rsid w:val="00512C00"/>
    <w:rsid w:val="00512C2F"/>
    <w:rsid w:val="00512EF5"/>
    <w:rsid w:val="005130A6"/>
    <w:rsid w:val="00513385"/>
    <w:rsid w:val="005134DB"/>
    <w:rsid w:val="00513651"/>
    <w:rsid w:val="005136C4"/>
    <w:rsid w:val="00513708"/>
    <w:rsid w:val="00513751"/>
    <w:rsid w:val="00513898"/>
    <w:rsid w:val="00513A5F"/>
    <w:rsid w:val="00513B23"/>
    <w:rsid w:val="00513C56"/>
    <w:rsid w:val="00513E1C"/>
    <w:rsid w:val="005145AD"/>
    <w:rsid w:val="005145E5"/>
    <w:rsid w:val="0051472A"/>
    <w:rsid w:val="00514732"/>
    <w:rsid w:val="0051499A"/>
    <w:rsid w:val="005149D5"/>
    <w:rsid w:val="00514B84"/>
    <w:rsid w:val="00514BA6"/>
    <w:rsid w:val="00514D83"/>
    <w:rsid w:val="00514E5C"/>
    <w:rsid w:val="00514F70"/>
    <w:rsid w:val="00514FF4"/>
    <w:rsid w:val="005150BE"/>
    <w:rsid w:val="005152F7"/>
    <w:rsid w:val="005154F3"/>
    <w:rsid w:val="00515529"/>
    <w:rsid w:val="00515556"/>
    <w:rsid w:val="00515A78"/>
    <w:rsid w:val="00515C94"/>
    <w:rsid w:val="00515D89"/>
    <w:rsid w:val="00515DEA"/>
    <w:rsid w:val="0051637B"/>
    <w:rsid w:val="00516850"/>
    <w:rsid w:val="005168F3"/>
    <w:rsid w:val="00516923"/>
    <w:rsid w:val="005169D8"/>
    <w:rsid w:val="00516B8C"/>
    <w:rsid w:val="00516C58"/>
    <w:rsid w:val="00516D10"/>
    <w:rsid w:val="00516DAF"/>
    <w:rsid w:val="00516E44"/>
    <w:rsid w:val="00516F1C"/>
    <w:rsid w:val="00517044"/>
    <w:rsid w:val="00517092"/>
    <w:rsid w:val="00517229"/>
    <w:rsid w:val="005172D8"/>
    <w:rsid w:val="00517354"/>
    <w:rsid w:val="005173EF"/>
    <w:rsid w:val="00517726"/>
    <w:rsid w:val="0051783B"/>
    <w:rsid w:val="00517B05"/>
    <w:rsid w:val="00517CCC"/>
    <w:rsid w:val="00517D8D"/>
    <w:rsid w:val="00517F2C"/>
    <w:rsid w:val="00517F3C"/>
    <w:rsid w:val="00520250"/>
    <w:rsid w:val="0052044B"/>
    <w:rsid w:val="005204FF"/>
    <w:rsid w:val="00520545"/>
    <w:rsid w:val="0052066E"/>
    <w:rsid w:val="00520728"/>
    <w:rsid w:val="00520952"/>
    <w:rsid w:val="00520AA9"/>
    <w:rsid w:val="00520B6C"/>
    <w:rsid w:val="00520BE4"/>
    <w:rsid w:val="00520CB7"/>
    <w:rsid w:val="00520E1A"/>
    <w:rsid w:val="00520F0D"/>
    <w:rsid w:val="00520F55"/>
    <w:rsid w:val="00520FC7"/>
    <w:rsid w:val="00521005"/>
    <w:rsid w:val="0052151A"/>
    <w:rsid w:val="0052166F"/>
    <w:rsid w:val="005217A9"/>
    <w:rsid w:val="00521881"/>
    <w:rsid w:val="0052189B"/>
    <w:rsid w:val="005218BE"/>
    <w:rsid w:val="005218CB"/>
    <w:rsid w:val="00521A82"/>
    <w:rsid w:val="00521A93"/>
    <w:rsid w:val="00521AF9"/>
    <w:rsid w:val="00521C53"/>
    <w:rsid w:val="00521C87"/>
    <w:rsid w:val="00521EA3"/>
    <w:rsid w:val="00522156"/>
    <w:rsid w:val="005223A0"/>
    <w:rsid w:val="00522701"/>
    <w:rsid w:val="005227F2"/>
    <w:rsid w:val="00522822"/>
    <w:rsid w:val="00522B87"/>
    <w:rsid w:val="00522B9D"/>
    <w:rsid w:val="00522BEC"/>
    <w:rsid w:val="00522C50"/>
    <w:rsid w:val="00522E24"/>
    <w:rsid w:val="005231B7"/>
    <w:rsid w:val="005231D1"/>
    <w:rsid w:val="005231DE"/>
    <w:rsid w:val="0052323D"/>
    <w:rsid w:val="00523507"/>
    <w:rsid w:val="0052367C"/>
    <w:rsid w:val="005236ED"/>
    <w:rsid w:val="0052370A"/>
    <w:rsid w:val="00523CB9"/>
    <w:rsid w:val="00523D80"/>
    <w:rsid w:val="00524017"/>
    <w:rsid w:val="005242D6"/>
    <w:rsid w:val="005242F9"/>
    <w:rsid w:val="00524349"/>
    <w:rsid w:val="00524380"/>
    <w:rsid w:val="00524498"/>
    <w:rsid w:val="005244F8"/>
    <w:rsid w:val="005245B7"/>
    <w:rsid w:val="00524662"/>
    <w:rsid w:val="005246C9"/>
    <w:rsid w:val="00524788"/>
    <w:rsid w:val="005247E7"/>
    <w:rsid w:val="005248C5"/>
    <w:rsid w:val="00524905"/>
    <w:rsid w:val="00524918"/>
    <w:rsid w:val="00524C2F"/>
    <w:rsid w:val="005252B8"/>
    <w:rsid w:val="005252EB"/>
    <w:rsid w:val="005252F6"/>
    <w:rsid w:val="005257E4"/>
    <w:rsid w:val="00525980"/>
    <w:rsid w:val="00525AC3"/>
    <w:rsid w:val="00525B36"/>
    <w:rsid w:val="00525E3B"/>
    <w:rsid w:val="00525F73"/>
    <w:rsid w:val="00526218"/>
    <w:rsid w:val="005263AE"/>
    <w:rsid w:val="0052644B"/>
    <w:rsid w:val="005264D8"/>
    <w:rsid w:val="0052654A"/>
    <w:rsid w:val="005267B8"/>
    <w:rsid w:val="00526899"/>
    <w:rsid w:val="0052689B"/>
    <w:rsid w:val="00526A08"/>
    <w:rsid w:val="00526B84"/>
    <w:rsid w:val="00526BE5"/>
    <w:rsid w:val="00526C86"/>
    <w:rsid w:val="00526EDD"/>
    <w:rsid w:val="0052701B"/>
    <w:rsid w:val="00527383"/>
    <w:rsid w:val="005275F5"/>
    <w:rsid w:val="00527844"/>
    <w:rsid w:val="00527913"/>
    <w:rsid w:val="00527C40"/>
    <w:rsid w:val="00527D0B"/>
    <w:rsid w:val="00527DFE"/>
    <w:rsid w:val="00527ED8"/>
    <w:rsid w:val="00527F80"/>
    <w:rsid w:val="005301BA"/>
    <w:rsid w:val="005301CD"/>
    <w:rsid w:val="0053049F"/>
    <w:rsid w:val="00530672"/>
    <w:rsid w:val="005306C3"/>
    <w:rsid w:val="0053072A"/>
    <w:rsid w:val="005307A6"/>
    <w:rsid w:val="00530A65"/>
    <w:rsid w:val="00530AEC"/>
    <w:rsid w:val="00530CF6"/>
    <w:rsid w:val="00530FAD"/>
    <w:rsid w:val="005310FE"/>
    <w:rsid w:val="0053116C"/>
    <w:rsid w:val="00531334"/>
    <w:rsid w:val="00531433"/>
    <w:rsid w:val="0053148D"/>
    <w:rsid w:val="0053184C"/>
    <w:rsid w:val="005318C5"/>
    <w:rsid w:val="00531A3E"/>
    <w:rsid w:val="00531B91"/>
    <w:rsid w:val="00532349"/>
    <w:rsid w:val="0053245D"/>
    <w:rsid w:val="005324C7"/>
    <w:rsid w:val="005325E8"/>
    <w:rsid w:val="0053272D"/>
    <w:rsid w:val="005327D8"/>
    <w:rsid w:val="005328AE"/>
    <w:rsid w:val="00532C66"/>
    <w:rsid w:val="00532D6C"/>
    <w:rsid w:val="00532EC6"/>
    <w:rsid w:val="0053306C"/>
    <w:rsid w:val="00533112"/>
    <w:rsid w:val="00533174"/>
    <w:rsid w:val="005331F4"/>
    <w:rsid w:val="0053346E"/>
    <w:rsid w:val="005334BF"/>
    <w:rsid w:val="0053354E"/>
    <w:rsid w:val="00533893"/>
    <w:rsid w:val="00533A56"/>
    <w:rsid w:val="00533BE4"/>
    <w:rsid w:val="00533DD6"/>
    <w:rsid w:val="00533E16"/>
    <w:rsid w:val="00534160"/>
    <w:rsid w:val="00534238"/>
    <w:rsid w:val="005342A9"/>
    <w:rsid w:val="005345D3"/>
    <w:rsid w:val="005346CC"/>
    <w:rsid w:val="00534792"/>
    <w:rsid w:val="005347AA"/>
    <w:rsid w:val="005348C1"/>
    <w:rsid w:val="00534D19"/>
    <w:rsid w:val="00534DE5"/>
    <w:rsid w:val="00534E08"/>
    <w:rsid w:val="00534E3E"/>
    <w:rsid w:val="00535054"/>
    <w:rsid w:val="00535106"/>
    <w:rsid w:val="005352BD"/>
    <w:rsid w:val="00535385"/>
    <w:rsid w:val="005353A2"/>
    <w:rsid w:val="0053583A"/>
    <w:rsid w:val="00535C37"/>
    <w:rsid w:val="00535E74"/>
    <w:rsid w:val="00535EA4"/>
    <w:rsid w:val="00536140"/>
    <w:rsid w:val="0053624D"/>
    <w:rsid w:val="005362D8"/>
    <w:rsid w:val="005363DD"/>
    <w:rsid w:val="005364A9"/>
    <w:rsid w:val="0053653A"/>
    <w:rsid w:val="00536712"/>
    <w:rsid w:val="00536775"/>
    <w:rsid w:val="00536876"/>
    <w:rsid w:val="00536899"/>
    <w:rsid w:val="0053693C"/>
    <w:rsid w:val="005369E3"/>
    <w:rsid w:val="00536BEE"/>
    <w:rsid w:val="00537017"/>
    <w:rsid w:val="005370E8"/>
    <w:rsid w:val="005371E8"/>
    <w:rsid w:val="00537296"/>
    <w:rsid w:val="0053734A"/>
    <w:rsid w:val="005376E0"/>
    <w:rsid w:val="00537803"/>
    <w:rsid w:val="00537953"/>
    <w:rsid w:val="00537AE0"/>
    <w:rsid w:val="00537B47"/>
    <w:rsid w:val="00537C27"/>
    <w:rsid w:val="00537C39"/>
    <w:rsid w:val="00537CBC"/>
    <w:rsid w:val="005400ED"/>
    <w:rsid w:val="005402AD"/>
    <w:rsid w:val="00540490"/>
    <w:rsid w:val="005405CD"/>
    <w:rsid w:val="0054064F"/>
    <w:rsid w:val="00540659"/>
    <w:rsid w:val="0054067E"/>
    <w:rsid w:val="005406E9"/>
    <w:rsid w:val="00540770"/>
    <w:rsid w:val="00540972"/>
    <w:rsid w:val="005409A0"/>
    <w:rsid w:val="00540A23"/>
    <w:rsid w:val="00540B24"/>
    <w:rsid w:val="0054106E"/>
    <w:rsid w:val="005413AE"/>
    <w:rsid w:val="00541551"/>
    <w:rsid w:val="0054160B"/>
    <w:rsid w:val="00541705"/>
    <w:rsid w:val="00541708"/>
    <w:rsid w:val="00541B28"/>
    <w:rsid w:val="00541B95"/>
    <w:rsid w:val="00541CE3"/>
    <w:rsid w:val="00541CE7"/>
    <w:rsid w:val="00541F16"/>
    <w:rsid w:val="005422B0"/>
    <w:rsid w:val="00542336"/>
    <w:rsid w:val="00542365"/>
    <w:rsid w:val="0054238C"/>
    <w:rsid w:val="005427EC"/>
    <w:rsid w:val="00542883"/>
    <w:rsid w:val="005428AB"/>
    <w:rsid w:val="00542B4C"/>
    <w:rsid w:val="00542D1C"/>
    <w:rsid w:val="00542DAB"/>
    <w:rsid w:val="00542DE0"/>
    <w:rsid w:val="00542FAE"/>
    <w:rsid w:val="00543143"/>
    <w:rsid w:val="005431E8"/>
    <w:rsid w:val="005432C6"/>
    <w:rsid w:val="005433A3"/>
    <w:rsid w:val="0054343A"/>
    <w:rsid w:val="005436FC"/>
    <w:rsid w:val="00543D43"/>
    <w:rsid w:val="00543E19"/>
    <w:rsid w:val="00543EF7"/>
    <w:rsid w:val="005440E1"/>
    <w:rsid w:val="00544203"/>
    <w:rsid w:val="00544238"/>
    <w:rsid w:val="00544244"/>
    <w:rsid w:val="005446FB"/>
    <w:rsid w:val="00544840"/>
    <w:rsid w:val="00544927"/>
    <w:rsid w:val="00544A1A"/>
    <w:rsid w:val="00544B1E"/>
    <w:rsid w:val="005451B5"/>
    <w:rsid w:val="005452EB"/>
    <w:rsid w:val="0054542C"/>
    <w:rsid w:val="005454F2"/>
    <w:rsid w:val="005454FE"/>
    <w:rsid w:val="00545508"/>
    <w:rsid w:val="00545618"/>
    <w:rsid w:val="00545654"/>
    <w:rsid w:val="005458A7"/>
    <w:rsid w:val="00545A5E"/>
    <w:rsid w:val="00545A8C"/>
    <w:rsid w:val="00545B09"/>
    <w:rsid w:val="00545C8E"/>
    <w:rsid w:val="00545CEE"/>
    <w:rsid w:val="00545D55"/>
    <w:rsid w:val="00545D93"/>
    <w:rsid w:val="00545D94"/>
    <w:rsid w:val="00545D9D"/>
    <w:rsid w:val="00545F20"/>
    <w:rsid w:val="0054604F"/>
    <w:rsid w:val="005460A9"/>
    <w:rsid w:val="005461A6"/>
    <w:rsid w:val="0054651F"/>
    <w:rsid w:val="00546848"/>
    <w:rsid w:val="00546A42"/>
    <w:rsid w:val="00546BAE"/>
    <w:rsid w:val="00546EF5"/>
    <w:rsid w:val="00546F79"/>
    <w:rsid w:val="00546F9E"/>
    <w:rsid w:val="00547146"/>
    <w:rsid w:val="00547226"/>
    <w:rsid w:val="005472F9"/>
    <w:rsid w:val="00547760"/>
    <w:rsid w:val="00547963"/>
    <w:rsid w:val="00547A8E"/>
    <w:rsid w:val="00547B84"/>
    <w:rsid w:val="00547B88"/>
    <w:rsid w:val="00547B9C"/>
    <w:rsid w:val="00547DF7"/>
    <w:rsid w:val="00547F27"/>
    <w:rsid w:val="00547FD7"/>
    <w:rsid w:val="0055013B"/>
    <w:rsid w:val="005502E2"/>
    <w:rsid w:val="0055083B"/>
    <w:rsid w:val="0055095E"/>
    <w:rsid w:val="00550B62"/>
    <w:rsid w:val="00550CE7"/>
    <w:rsid w:val="00550CF3"/>
    <w:rsid w:val="00550E5C"/>
    <w:rsid w:val="00551147"/>
    <w:rsid w:val="0055151A"/>
    <w:rsid w:val="005519A6"/>
    <w:rsid w:val="00551A7E"/>
    <w:rsid w:val="00551CEE"/>
    <w:rsid w:val="005520E7"/>
    <w:rsid w:val="0055210F"/>
    <w:rsid w:val="005523C3"/>
    <w:rsid w:val="00552568"/>
    <w:rsid w:val="00552627"/>
    <w:rsid w:val="005526FB"/>
    <w:rsid w:val="0055271F"/>
    <w:rsid w:val="00552734"/>
    <w:rsid w:val="00552736"/>
    <w:rsid w:val="00552A89"/>
    <w:rsid w:val="00552C15"/>
    <w:rsid w:val="005531B4"/>
    <w:rsid w:val="00553436"/>
    <w:rsid w:val="00553493"/>
    <w:rsid w:val="005535B9"/>
    <w:rsid w:val="0055380B"/>
    <w:rsid w:val="00553889"/>
    <w:rsid w:val="005539EF"/>
    <w:rsid w:val="00553D60"/>
    <w:rsid w:val="00553DD5"/>
    <w:rsid w:val="00553ED7"/>
    <w:rsid w:val="00553FF9"/>
    <w:rsid w:val="0055404B"/>
    <w:rsid w:val="005543DC"/>
    <w:rsid w:val="005549D4"/>
    <w:rsid w:val="005549E2"/>
    <w:rsid w:val="00554A26"/>
    <w:rsid w:val="00554CB0"/>
    <w:rsid w:val="00554CD7"/>
    <w:rsid w:val="00554D14"/>
    <w:rsid w:val="00554D1B"/>
    <w:rsid w:val="00554EC1"/>
    <w:rsid w:val="0055520A"/>
    <w:rsid w:val="00555297"/>
    <w:rsid w:val="0055545E"/>
    <w:rsid w:val="0055550E"/>
    <w:rsid w:val="005555C9"/>
    <w:rsid w:val="005557A6"/>
    <w:rsid w:val="00555AD5"/>
    <w:rsid w:val="00555B37"/>
    <w:rsid w:val="00555CD9"/>
    <w:rsid w:val="0055619C"/>
    <w:rsid w:val="005562A5"/>
    <w:rsid w:val="005563C3"/>
    <w:rsid w:val="005564F9"/>
    <w:rsid w:val="0055653D"/>
    <w:rsid w:val="0055654B"/>
    <w:rsid w:val="00556583"/>
    <w:rsid w:val="0055675B"/>
    <w:rsid w:val="00556776"/>
    <w:rsid w:val="005567A0"/>
    <w:rsid w:val="0055685C"/>
    <w:rsid w:val="0055687D"/>
    <w:rsid w:val="00556961"/>
    <w:rsid w:val="00556A34"/>
    <w:rsid w:val="00556C05"/>
    <w:rsid w:val="00556C8A"/>
    <w:rsid w:val="00556C9A"/>
    <w:rsid w:val="00556E28"/>
    <w:rsid w:val="00556E66"/>
    <w:rsid w:val="00556F9D"/>
    <w:rsid w:val="00557241"/>
    <w:rsid w:val="005573DF"/>
    <w:rsid w:val="0055746C"/>
    <w:rsid w:val="00557482"/>
    <w:rsid w:val="005574E8"/>
    <w:rsid w:val="00557555"/>
    <w:rsid w:val="0055764F"/>
    <w:rsid w:val="00557688"/>
    <w:rsid w:val="00557824"/>
    <w:rsid w:val="00557A60"/>
    <w:rsid w:val="00557B52"/>
    <w:rsid w:val="00557B55"/>
    <w:rsid w:val="00557C18"/>
    <w:rsid w:val="00557C4F"/>
    <w:rsid w:val="00557CFA"/>
    <w:rsid w:val="00557D40"/>
    <w:rsid w:val="00557D4E"/>
    <w:rsid w:val="00557DA6"/>
    <w:rsid w:val="00557E14"/>
    <w:rsid w:val="005602A1"/>
    <w:rsid w:val="00560404"/>
    <w:rsid w:val="005605A6"/>
    <w:rsid w:val="00560B6C"/>
    <w:rsid w:val="00560CD0"/>
    <w:rsid w:val="00560D2C"/>
    <w:rsid w:val="00560F6E"/>
    <w:rsid w:val="0056103A"/>
    <w:rsid w:val="00561318"/>
    <w:rsid w:val="005617E8"/>
    <w:rsid w:val="00561B12"/>
    <w:rsid w:val="00561B56"/>
    <w:rsid w:val="00561BCB"/>
    <w:rsid w:val="00561C17"/>
    <w:rsid w:val="00561D46"/>
    <w:rsid w:val="0056218B"/>
    <w:rsid w:val="00562398"/>
    <w:rsid w:val="005626CF"/>
    <w:rsid w:val="00562753"/>
    <w:rsid w:val="00562A33"/>
    <w:rsid w:val="00562B1E"/>
    <w:rsid w:val="00562D36"/>
    <w:rsid w:val="00562DDC"/>
    <w:rsid w:val="00562FF4"/>
    <w:rsid w:val="00563350"/>
    <w:rsid w:val="00563453"/>
    <w:rsid w:val="005634D1"/>
    <w:rsid w:val="005634EE"/>
    <w:rsid w:val="0056371E"/>
    <w:rsid w:val="00563971"/>
    <w:rsid w:val="00563CED"/>
    <w:rsid w:val="00563D1D"/>
    <w:rsid w:val="00563E1F"/>
    <w:rsid w:val="00563F02"/>
    <w:rsid w:val="00563F2C"/>
    <w:rsid w:val="00563FBE"/>
    <w:rsid w:val="0056437E"/>
    <w:rsid w:val="0056451D"/>
    <w:rsid w:val="005649DA"/>
    <w:rsid w:val="00564AAD"/>
    <w:rsid w:val="00564B17"/>
    <w:rsid w:val="00564D21"/>
    <w:rsid w:val="00564D67"/>
    <w:rsid w:val="00565100"/>
    <w:rsid w:val="0056512A"/>
    <w:rsid w:val="00565315"/>
    <w:rsid w:val="005653B8"/>
    <w:rsid w:val="0056548C"/>
    <w:rsid w:val="0056577F"/>
    <w:rsid w:val="00565789"/>
    <w:rsid w:val="005658E0"/>
    <w:rsid w:val="0056596D"/>
    <w:rsid w:val="00565C06"/>
    <w:rsid w:val="00565CB6"/>
    <w:rsid w:val="00565DFD"/>
    <w:rsid w:val="0056603D"/>
    <w:rsid w:val="00566225"/>
    <w:rsid w:val="0056638D"/>
    <w:rsid w:val="00566453"/>
    <w:rsid w:val="0056650E"/>
    <w:rsid w:val="0056651B"/>
    <w:rsid w:val="005667A3"/>
    <w:rsid w:val="0056686E"/>
    <w:rsid w:val="0056692E"/>
    <w:rsid w:val="00566981"/>
    <w:rsid w:val="00566B16"/>
    <w:rsid w:val="00566C15"/>
    <w:rsid w:val="00566CEC"/>
    <w:rsid w:val="00566D21"/>
    <w:rsid w:val="00566DC6"/>
    <w:rsid w:val="00566E0C"/>
    <w:rsid w:val="00566EDB"/>
    <w:rsid w:val="00566F74"/>
    <w:rsid w:val="0056703A"/>
    <w:rsid w:val="00567101"/>
    <w:rsid w:val="00567310"/>
    <w:rsid w:val="0056749D"/>
    <w:rsid w:val="00567542"/>
    <w:rsid w:val="00567591"/>
    <w:rsid w:val="00567657"/>
    <w:rsid w:val="005677B6"/>
    <w:rsid w:val="005677EF"/>
    <w:rsid w:val="00567823"/>
    <w:rsid w:val="0056796C"/>
    <w:rsid w:val="005679A1"/>
    <w:rsid w:val="00567A61"/>
    <w:rsid w:val="00567A97"/>
    <w:rsid w:val="00567EEB"/>
    <w:rsid w:val="00567F05"/>
    <w:rsid w:val="005703FB"/>
    <w:rsid w:val="00570430"/>
    <w:rsid w:val="005704DB"/>
    <w:rsid w:val="005704E3"/>
    <w:rsid w:val="0057062A"/>
    <w:rsid w:val="0057071B"/>
    <w:rsid w:val="0057080D"/>
    <w:rsid w:val="00570B89"/>
    <w:rsid w:val="00570D68"/>
    <w:rsid w:val="00570DD1"/>
    <w:rsid w:val="00570EFA"/>
    <w:rsid w:val="0057103B"/>
    <w:rsid w:val="00571093"/>
    <w:rsid w:val="005711FB"/>
    <w:rsid w:val="00571585"/>
    <w:rsid w:val="0057174F"/>
    <w:rsid w:val="0057189F"/>
    <w:rsid w:val="005719C2"/>
    <w:rsid w:val="00571B75"/>
    <w:rsid w:val="00571C03"/>
    <w:rsid w:val="00571C1B"/>
    <w:rsid w:val="00571C47"/>
    <w:rsid w:val="00571C80"/>
    <w:rsid w:val="00571D81"/>
    <w:rsid w:val="00571DD0"/>
    <w:rsid w:val="00571E16"/>
    <w:rsid w:val="00571E1D"/>
    <w:rsid w:val="00572127"/>
    <w:rsid w:val="0057222C"/>
    <w:rsid w:val="00572612"/>
    <w:rsid w:val="005729B1"/>
    <w:rsid w:val="005729DF"/>
    <w:rsid w:val="00572DD9"/>
    <w:rsid w:val="00572DFE"/>
    <w:rsid w:val="00573032"/>
    <w:rsid w:val="00573047"/>
    <w:rsid w:val="005731F0"/>
    <w:rsid w:val="00573317"/>
    <w:rsid w:val="0057352B"/>
    <w:rsid w:val="0057364D"/>
    <w:rsid w:val="005736A0"/>
    <w:rsid w:val="0057395A"/>
    <w:rsid w:val="00573A0F"/>
    <w:rsid w:val="00573B7D"/>
    <w:rsid w:val="00573B80"/>
    <w:rsid w:val="00573E49"/>
    <w:rsid w:val="00573ECE"/>
    <w:rsid w:val="00573FAA"/>
    <w:rsid w:val="005740CE"/>
    <w:rsid w:val="00574180"/>
    <w:rsid w:val="005741D5"/>
    <w:rsid w:val="005743BC"/>
    <w:rsid w:val="00574423"/>
    <w:rsid w:val="005745EF"/>
    <w:rsid w:val="0057469E"/>
    <w:rsid w:val="00574988"/>
    <w:rsid w:val="00574ABB"/>
    <w:rsid w:val="00574AD7"/>
    <w:rsid w:val="00574C1C"/>
    <w:rsid w:val="00574C79"/>
    <w:rsid w:val="0057504C"/>
    <w:rsid w:val="005750FF"/>
    <w:rsid w:val="005751DE"/>
    <w:rsid w:val="005751E8"/>
    <w:rsid w:val="00575306"/>
    <w:rsid w:val="005754B3"/>
    <w:rsid w:val="00575A25"/>
    <w:rsid w:val="00575A4C"/>
    <w:rsid w:val="00575B84"/>
    <w:rsid w:val="00575BC7"/>
    <w:rsid w:val="00575FFA"/>
    <w:rsid w:val="00576123"/>
    <w:rsid w:val="005763EF"/>
    <w:rsid w:val="005765C1"/>
    <w:rsid w:val="0057664C"/>
    <w:rsid w:val="005766F7"/>
    <w:rsid w:val="005769B0"/>
    <w:rsid w:val="00576B54"/>
    <w:rsid w:val="00576C49"/>
    <w:rsid w:val="00576D01"/>
    <w:rsid w:val="00576E7C"/>
    <w:rsid w:val="00576FC3"/>
    <w:rsid w:val="00577102"/>
    <w:rsid w:val="005771BD"/>
    <w:rsid w:val="005774A3"/>
    <w:rsid w:val="0057756C"/>
    <w:rsid w:val="00577980"/>
    <w:rsid w:val="00577A43"/>
    <w:rsid w:val="00577C09"/>
    <w:rsid w:val="00577D2C"/>
    <w:rsid w:val="00577E43"/>
    <w:rsid w:val="00577ED8"/>
    <w:rsid w:val="00580101"/>
    <w:rsid w:val="0058017B"/>
    <w:rsid w:val="0058037A"/>
    <w:rsid w:val="005805E1"/>
    <w:rsid w:val="0058079F"/>
    <w:rsid w:val="00580878"/>
    <w:rsid w:val="005808AC"/>
    <w:rsid w:val="00580E34"/>
    <w:rsid w:val="00580E50"/>
    <w:rsid w:val="00580E91"/>
    <w:rsid w:val="00580F61"/>
    <w:rsid w:val="00581357"/>
    <w:rsid w:val="00581479"/>
    <w:rsid w:val="0058167D"/>
    <w:rsid w:val="0058199E"/>
    <w:rsid w:val="00581A26"/>
    <w:rsid w:val="00581D29"/>
    <w:rsid w:val="00581DC7"/>
    <w:rsid w:val="00581E34"/>
    <w:rsid w:val="00581EC7"/>
    <w:rsid w:val="00582084"/>
    <w:rsid w:val="005821C4"/>
    <w:rsid w:val="0058228E"/>
    <w:rsid w:val="00582344"/>
    <w:rsid w:val="00582404"/>
    <w:rsid w:val="0058244B"/>
    <w:rsid w:val="0058258E"/>
    <w:rsid w:val="0058264B"/>
    <w:rsid w:val="005828E4"/>
    <w:rsid w:val="005829CE"/>
    <w:rsid w:val="00582B2A"/>
    <w:rsid w:val="00582F03"/>
    <w:rsid w:val="00582F29"/>
    <w:rsid w:val="005830C8"/>
    <w:rsid w:val="00583178"/>
    <w:rsid w:val="005832FD"/>
    <w:rsid w:val="005833AF"/>
    <w:rsid w:val="00583537"/>
    <w:rsid w:val="00583679"/>
    <w:rsid w:val="005838D1"/>
    <w:rsid w:val="00583B00"/>
    <w:rsid w:val="0058412D"/>
    <w:rsid w:val="00584585"/>
    <w:rsid w:val="005846ED"/>
    <w:rsid w:val="00584817"/>
    <w:rsid w:val="005848F0"/>
    <w:rsid w:val="00584D6B"/>
    <w:rsid w:val="005852BD"/>
    <w:rsid w:val="005853EA"/>
    <w:rsid w:val="00585947"/>
    <w:rsid w:val="005859A8"/>
    <w:rsid w:val="00585A36"/>
    <w:rsid w:val="00585BC3"/>
    <w:rsid w:val="00585BF4"/>
    <w:rsid w:val="00585C6D"/>
    <w:rsid w:val="00585E92"/>
    <w:rsid w:val="00585ED6"/>
    <w:rsid w:val="00586281"/>
    <w:rsid w:val="00586391"/>
    <w:rsid w:val="005863BD"/>
    <w:rsid w:val="005867EF"/>
    <w:rsid w:val="00586A82"/>
    <w:rsid w:val="00586AC3"/>
    <w:rsid w:val="00586BA0"/>
    <w:rsid w:val="005870F5"/>
    <w:rsid w:val="0058711A"/>
    <w:rsid w:val="00587392"/>
    <w:rsid w:val="00587477"/>
    <w:rsid w:val="005874B4"/>
    <w:rsid w:val="005875AC"/>
    <w:rsid w:val="0058794D"/>
    <w:rsid w:val="00587B38"/>
    <w:rsid w:val="00587B5F"/>
    <w:rsid w:val="00587BD7"/>
    <w:rsid w:val="00587E15"/>
    <w:rsid w:val="00587E2F"/>
    <w:rsid w:val="00587EE6"/>
    <w:rsid w:val="00590005"/>
    <w:rsid w:val="005900A0"/>
    <w:rsid w:val="005900ED"/>
    <w:rsid w:val="00590379"/>
    <w:rsid w:val="005904B0"/>
    <w:rsid w:val="005906E9"/>
    <w:rsid w:val="00590859"/>
    <w:rsid w:val="0059088E"/>
    <w:rsid w:val="005908B9"/>
    <w:rsid w:val="00590B7A"/>
    <w:rsid w:val="00590C15"/>
    <w:rsid w:val="00590ECF"/>
    <w:rsid w:val="00591043"/>
    <w:rsid w:val="005910D9"/>
    <w:rsid w:val="00591107"/>
    <w:rsid w:val="005911FB"/>
    <w:rsid w:val="0059127C"/>
    <w:rsid w:val="00591398"/>
    <w:rsid w:val="005914D9"/>
    <w:rsid w:val="005916FE"/>
    <w:rsid w:val="0059171D"/>
    <w:rsid w:val="0059177B"/>
    <w:rsid w:val="0059189B"/>
    <w:rsid w:val="00591C49"/>
    <w:rsid w:val="00592302"/>
    <w:rsid w:val="00592383"/>
    <w:rsid w:val="0059242F"/>
    <w:rsid w:val="005924A6"/>
    <w:rsid w:val="005929E5"/>
    <w:rsid w:val="00592BF5"/>
    <w:rsid w:val="00592D1F"/>
    <w:rsid w:val="00592D24"/>
    <w:rsid w:val="00592DBC"/>
    <w:rsid w:val="00592DE7"/>
    <w:rsid w:val="00592ED0"/>
    <w:rsid w:val="00592F25"/>
    <w:rsid w:val="00592FA4"/>
    <w:rsid w:val="0059317B"/>
    <w:rsid w:val="00593187"/>
    <w:rsid w:val="0059354A"/>
    <w:rsid w:val="005936EA"/>
    <w:rsid w:val="00593911"/>
    <w:rsid w:val="005939CC"/>
    <w:rsid w:val="00593AFC"/>
    <w:rsid w:val="00593CEF"/>
    <w:rsid w:val="00593F5A"/>
    <w:rsid w:val="00594184"/>
    <w:rsid w:val="00594275"/>
    <w:rsid w:val="005942D4"/>
    <w:rsid w:val="0059483C"/>
    <w:rsid w:val="00594922"/>
    <w:rsid w:val="0059496A"/>
    <w:rsid w:val="0059499B"/>
    <w:rsid w:val="00594B35"/>
    <w:rsid w:val="00594C41"/>
    <w:rsid w:val="00594CAB"/>
    <w:rsid w:val="00594CF1"/>
    <w:rsid w:val="00594D14"/>
    <w:rsid w:val="00594FF9"/>
    <w:rsid w:val="00595030"/>
    <w:rsid w:val="005950B7"/>
    <w:rsid w:val="00595278"/>
    <w:rsid w:val="0059541F"/>
    <w:rsid w:val="005954AA"/>
    <w:rsid w:val="005954D8"/>
    <w:rsid w:val="0059551F"/>
    <w:rsid w:val="005955D4"/>
    <w:rsid w:val="00595708"/>
    <w:rsid w:val="0059573B"/>
    <w:rsid w:val="0059589F"/>
    <w:rsid w:val="005959AB"/>
    <w:rsid w:val="00595A48"/>
    <w:rsid w:val="00595B58"/>
    <w:rsid w:val="00595C88"/>
    <w:rsid w:val="00595DD9"/>
    <w:rsid w:val="00596121"/>
    <w:rsid w:val="00596193"/>
    <w:rsid w:val="005965F2"/>
    <w:rsid w:val="0059670F"/>
    <w:rsid w:val="00596803"/>
    <w:rsid w:val="0059680A"/>
    <w:rsid w:val="00596A31"/>
    <w:rsid w:val="00596A5A"/>
    <w:rsid w:val="00596BA9"/>
    <w:rsid w:val="00596CCC"/>
    <w:rsid w:val="005970CE"/>
    <w:rsid w:val="00597660"/>
    <w:rsid w:val="00597985"/>
    <w:rsid w:val="00597A5E"/>
    <w:rsid w:val="00597A68"/>
    <w:rsid w:val="00597DCD"/>
    <w:rsid w:val="00597EB9"/>
    <w:rsid w:val="005A001A"/>
    <w:rsid w:val="005A01F8"/>
    <w:rsid w:val="005A0256"/>
    <w:rsid w:val="005A02FC"/>
    <w:rsid w:val="005A03A1"/>
    <w:rsid w:val="005A08E0"/>
    <w:rsid w:val="005A09DC"/>
    <w:rsid w:val="005A0A48"/>
    <w:rsid w:val="005A0AE1"/>
    <w:rsid w:val="005A0AEF"/>
    <w:rsid w:val="005A0DC2"/>
    <w:rsid w:val="005A0EC2"/>
    <w:rsid w:val="005A12E6"/>
    <w:rsid w:val="005A137D"/>
    <w:rsid w:val="005A1466"/>
    <w:rsid w:val="005A16C9"/>
    <w:rsid w:val="005A1779"/>
    <w:rsid w:val="005A17E7"/>
    <w:rsid w:val="005A1846"/>
    <w:rsid w:val="005A19CE"/>
    <w:rsid w:val="005A1C98"/>
    <w:rsid w:val="005A1E2E"/>
    <w:rsid w:val="005A1E92"/>
    <w:rsid w:val="005A1FC3"/>
    <w:rsid w:val="005A2022"/>
    <w:rsid w:val="005A207E"/>
    <w:rsid w:val="005A2337"/>
    <w:rsid w:val="005A245A"/>
    <w:rsid w:val="005A2533"/>
    <w:rsid w:val="005A2AD9"/>
    <w:rsid w:val="005A2BC8"/>
    <w:rsid w:val="005A2DE8"/>
    <w:rsid w:val="005A2F6C"/>
    <w:rsid w:val="005A2FF0"/>
    <w:rsid w:val="005A3333"/>
    <w:rsid w:val="005A3549"/>
    <w:rsid w:val="005A3804"/>
    <w:rsid w:val="005A3957"/>
    <w:rsid w:val="005A3AC1"/>
    <w:rsid w:val="005A3D97"/>
    <w:rsid w:val="005A3DD8"/>
    <w:rsid w:val="005A40F2"/>
    <w:rsid w:val="005A41B3"/>
    <w:rsid w:val="005A41CA"/>
    <w:rsid w:val="005A4334"/>
    <w:rsid w:val="005A4680"/>
    <w:rsid w:val="005A46D9"/>
    <w:rsid w:val="005A47FC"/>
    <w:rsid w:val="005A4A6B"/>
    <w:rsid w:val="005A4ABF"/>
    <w:rsid w:val="005A4E83"/>
    <w:rsid w:val="005A511B"/>
    <w:rsid w:val="005A545D"/>
    <w:rsid w:val="005A556D"/>
    <w:rsid w:val="005A57B5"/>
    <w:rsid w:val="005A595A"/>
    <w:rsid w:val="005A5A52"/>
    <w:rsid w:val="005A5BA2"/>
    <w:rsid w:val="005A5BF1"/>
    <w:rsid w:val="005A5DB2"/>
    <w:rsid w:val="005A5F0F"/>
    <w:rsid w:val="005A6024"/>
    <w:rsid w:val="005A68A1"/>
    <w:rsid w:val="005A69A5"/>
    <w:rsid w:val="005A6B4F"/>
    <w:rsid w:val="005A6C7A"/>
    <w:rsid w:val="005A6C97"/>
    <w:rsid w:val="005A6DFF"/>
    <w:rsid w:val="005A6EA7"/>
    <w:rsid w:val="005A6F8B"/>
    <w:rsid w:val="005A713C"/>
    <w:rsid w:val="005A7182"/>
    <w:rsid w:val="005A7237"/>
    <w:rsid w:val="005A7277"/>
    <w:rsid w:val="005A734A"/>
    <w:rsid w:val="005A75EE"/>
    <w:rsid w:val="005A7772"/>
    <w:rsid w:val="005A77B5"/>
    <w:rsid w:val="005A7924"/>
    <w:rsid w:val="005A79AF"/>
    <w:rsid w:val="005A7AA6"/>
    <w:rsid w:val="005A7B90"/>
    <w:rsid w:val="005A7C0E"/>
    <w:rsid w:val="005A7D05"/>
    <w:rsid w:val="005A7D22"/>
    <w:rsid w:val="005A7EA9"/>
    <w:rsid w:val="005A7EB6"/>
    <w:rsid w:val="005A7F5D"/>
    <w:rsid w:val="005B005C"/>
    <w:rsid w:val="005B00BD"/>
    <w:rsid w:val="005B026B"/>
    <w:rsid w:val="005B043D"/>
    <w:rsid w:val="005B046F"/>
    <w:rsid w:val="005B0849"/>
    <w:rsid w:val="005B08FD"/>
    <w:rsid w:val="005B0A33"/>
    <w:rsid w:val="005B0AD3"/>
    <w:rsid w:val="005B0BD7"/>
    <w:rsid w:val="005B0E08"/>
    <w:rsid w:val="005B0E5C"/>
    <w:rsid w:val="005B0E97"/>
    <w:rsid w:val="005B0FA9"/>
    <w:rsid w:val="005B12BC"/>
    <w:rsid w:val="005B137E"/>
    <w:rsid w:val="005B152B"/>
    <w:rsid w:val="005B1898"/>
    <w:rsid w:val="005B1ACF"/>
    <w:rsid w:val="005B1D7E"/>
    <w:rsid w:val="005B206D"/>
    <w:rsid w:val="005B2070"/>
    <w:rsid w:val="005B2275"/>
    <w:rsid w:val="005B22FE"/>
    <w:rsid w:val="005B2306"/>
    <w:rsid w:val="005B24F2"/>
    <w:rsid w:val="005B2634"/>
    <w:rsid w:val="005B28F7"/>
    <w:rsid w:val="005B2ACA"/>
    <w:rsid w:val="005B2CEE"/>
    <w:rsid w:val="005B2E18"/>
    <w:rsid w:val="005B2E1B"/>
    <w:rsid w:val="005B2F57"/>
    <w:rsid w:val="005B2F70"/>
    <w:rsid w:val="005B3034"/>
    <w:rsid w:val="005B30BA"/>
    <w:rsid w:val="005B3267"/>
    <w:rsid w:val="005B35D6"/>
    <w:rsid w:val="005B3720"/>
    <w:rsid w:val="005B37B5"/>
    <w:rsid w:val="005B3843"/>
    <w:rsid w:val="005B3931"/>
    <w:rsid w:val="005B3A34"/>
    <w:rsid w:val="005B3AAE"/>
    <w:rsid w:val="005B3BAB"/>
    <w:rsid w:val="005B3D0B"/>
    <w:rsid w:val="005B3DAA"/>
    <w:rsid w:val="005B4147"/>
    <w:rsid w:val="005B43E4"/>
    <w:rsid w:val="005B450D"/>
    <w:rsid w:val="005B4556"/>
    <w:rsid w:val="005B45BF"/>
    <w:rsid w:val="005B487C"/>
    <w:rsid w:val="005B4B86"/>
    <w:rsid w:val="005B4BB3"/>
    <w:rsid w:val="005B4E64"/>
    <w:rsid w:val="005B536E"/>
    <w:rsid w:val="005B5479"/>
    <w:rsid w:val="005B58F8"/>
    <w:rsid w:val="005B5AEB"/>
    <w:rsid w:val="005B5B54"/>
    <w:rsid w:val="005B5BE5"/>
    <w:rsid w:val="005B60BB"/>
    <w:rsid w:val="005B6236"/>
    <w:rsid w:val="005B6389"/>
    <w:rsid w:val="005B639D"/>
    <w:rsid w:val="005B6436"/>
    <w:rsid w:val="005B64DE"/>
    <w:rsid w:val="005B64F9"/>
    <w:rsid w:val="005B67CE"/>
    <w:rsid w:val="005B6958"/>
    <w:rsid w:val="005B6BA1"/>
    <w:rsid w:val="005B6C02"/>
    <w:rsid w:val="005B7010"/>
    <w:rsid w:val="005B71B2"/>
    <w:rsid w:val="005B7543"/>
    <w:rsid w:val="005B761D"/>
    <w:rsid w:val="005B7669"/>
    <w:rsid w:val="005B76D5"/>
    <w:rsid w:val="005B7BD7"/>
    <w:rsid w:val="005B7D37"/>
    <w:rsid w:val="005B7D8D"/>
    <w:rsid w:val="005B7EEB"/>
    <w:rsid w:val="005C0212"/>
    <w:rsid w:val="005C03FA"/>
    <w:rsid w:val="005C0436"/>
    <w:rsid w:val="005C0437"/>
    <w:rsid w:val="005C0674"/>
    <w:rsid w:val="005C0874"/>
    <w:rsid w:val="005C0889"/>
    <w:rsid w:val="005C08D2"/>
    <w:rsid w:val="005C0AB6"/>
    <w:rsid w:val="005C0AD3"/>
    <w:rsid w:val="005C0C2C"/>
    <w:rsid w:val="005C0DEB"/>
    <w:rsid w:val="005C0E6E"/>
    <w:rsid w:val="005C0F70"/>
    <w:rsid w:val="005C11A1"/>
    <w:rsid w:val="005C12AF"/>
    <w:rsid w:val="005C13C9"/>
    <w:rsid w:val="005C1467"/>
    <w:rsid w:val="005C1471"/>
    <w:rsid w:val="005C148D"/>
    <w:rsid w:val="005C14BB"/>
    <w:rsid w:val="005C15E8"/>
    <w:rsid w:val="005C1669"/>
    <w:rsid w:val="005C1834"/>
    <w:rsid w:val="005C18C7"/>
    <w:rsid w:val="005C1969"/>
    <w:rsid w:val="005C1A82"/>
    <w:rsid w:val="005C1AD5"/>
    <w:rsid w:val="005C1B2D"/>
    <w:rsid w:val="005C1B3F"/>
    <w:rsid w:val="005C1B41"/>
    <w:rsid w:val="005C1B6B"/>
    <w:rsid w:val="005C1B8D"/>
    <w:rsid w:val="005C1CD4"/>
    <w:rsid w:val="005C1DBB"/>
    <w:rsid w:val="005C1E30"/>
    <w:rsid w:val="005C1E84"/>
    <w:rsid w:val="005C204A"/>
    <w:rsid w:val="005C21E1"/>
    <w:rsid w:val="005C2247"/>
    <w:rsid w:val="005C244E"/>
    <w:rsid w:val="005C2470"/>
    <w:rsid w:val="005C24B3"/>
    <w:rsid w:val="005C254E"/>
    <w:rsid w:val="005C25EC"/>
    <w:rsid w:val="005C282A"/>
    <w:rsid w:val="005C28CE"/>
    <w:rsid w:val="005C2902"/>
    <w:rsid w:val="005C2BB4"/>
    <w:rsid w:val="005C2BBA"/>
    <w:rsid w:val="005C2D92"/>
    <w:rsid w:val="005C3226"/>
    <w:rsid w:val="005C32F3"/>
    <w:rsid w:val="005C3337"/>
    <w:rsid w:val="005C3608"/>
    <w:rsid w:val="005C3A04"/>
    <w:rsid w:val="005C3E72"/>
    <w:rsid w:val="005C3FC8"/>
    <w:rsid w:val="005C40B5"/>
    <w:rsid w:val="005C40CF"/>
    <w:rsid w:val="005C42CD"/>
    <w:rsid w:val="005C4332"/>
    <w:rsid w:val="005C44A5"/>
    <w:rsid w:val="005C44C8"/>
    <w:rsid w:val="005C45EA"/>
    <w:rsid w:val="005C46E1"/>
    <w:rsid w:val="005C482C"/>
    <w:rsid w:val="005C4B46"/>
    <w:rsid w:val="005C4B56"/>
    <w:rsid w:val="005C4E4C"/>
    <w:rsid w:val="005C4F73"/>
    <w:rsid w:val="005C5067"/>
    <w:rsid w:val="005C591B"/>
    <w:rsid w:val="005C5927"/>
    <w:rsid w:val="005C5F97"/>
    <w:rsid w:val="005C605A"/>
    <w:rsid w:val="005C60B9"/>
    <w:rsid w:val="005C622C"/>
    <w:rsid w:val="005C6261"/>
    <w:rsid w:val="005C62E0"/>
    <w:rsid w:val="005C6398"/>
    <w:rsid w:val="005C63E6"/>
    <w:rsid w:val="005C6592"/>
    <w:rsid w:val="005C684D"/>
    <w:rsid w:val="005C68DE"/>
    <w:rsid w:val="005C6A22"/>
    <w:rsid w:val="005C6CA2"/>
    <w:rsid w:val="005C6D69"/>
    <w:rsid w:val="005C6E59"/>
    <w:rsid w:val="005C6F37"/>
    <w:rsid w:val="005C705C"/>
    <w:rsid w:val="005C7136"/>
    <w:rsid w:val="005C7147"/>
    <w:rsid w:val="005C7304"/>
    <w:rsid w:val="005C73A2"/>
    <w:rsid w:val="005C73A5"/>
    <w:rsid w:val="005C7561"/>
    <w:rsid w:val="005C79E0"/>
    <w:rsid w:val="005C7B31"/>
    <w:rsid w:val="005C7BA3"/>
    <w:rsid w:val="005C7C47"/>
    <w:rsid w:val="005C7D24"/>
    <w:rsid w:val="005C7E8D"/>
    <w:rsid w:val="005D0054"/>
    <w:rsid w:val="005D0069"/>
    <w:rsid w:val="005D0087"/>
    <w:rsid w:val="005D0095"/>
    <w:rsid w:val="005D011A"/>
    <w:rsid w:val="005D0324"/>
    <w:rsid w:val="005D04CE"/>
    <w:rsid w:val="005D05AC"/>
    <w:rsid w:val="005D0763"/>
    <w:rsid w:val="005D0AAF"/>
    <w:rsid w:val="005D0B72"/>
    <w:rsid w:val="005D0BEA"/>
    <w:rsid w:val="005D1158"/>
    <w:rsid w:val="005D1412"/>
    <w:rsid w:val="005D1445"/>
    <w:rsid w:val="005D149B"/>
    <w:rsid w:val="005D14C4"/>
    <w:rsid w:val="005D1927"/>
    <w:rsid w:val="005D1AE1"/>
    <w:rsid w:val="005D1B7A"/>
    <w:rsid w:val="005D1B8F"/>
    <w:rsid w:val="005D1D46"/>
    <w:rsid w:val="005D1E8E"/>
    <w:rsid w:val="005D21BD"/>
    <w:rsid w:val="005D230F"/>
    <w:rsid w:val="005D232D"/>
    <w:rsid w:val="005D2387"/>
    <w:rsid w:val="005D25BA"/>
    <w:rsid w:val="005D25F9"/>
    <w:rsid w:val="005D260F"/>
    <w:rsid w:val="005D28C3"/>
    <w:rsid w:val="005D2A20"/>
    <w:rsid w:val="005D2AE2"/>
    <w:rsid w:val="005D2C02"/>
    <w:rsid w:val="005D2C04"/>
    <w:rsid w:val="005D2C4A"/>
    <w:rsid w:val="005D2CB3"/>
    <w:rsid w:val="005D2E34"/>
    <w:rsid w:val="005D2E5B"/>
    <w:rsid w:val="005D3248"/>
    <w:rsid w:val="005D33B8"/>
    <w:rsid w:val="005D35FF"/>
    <w:rsid w:val="005D39DE"/>
    <w:rsid w:val="005D3C3D"/>
    <w:rsid w:val="005D3C55"/>
    <w:rsid w:val="005D3CA4"/>
    <w:rsid w:val="005D3D77"/>
    <w:rsid w:val="005D3E0E"/>
    <w:rsid w:val="005D3E82"/>
    <w:rsid w:val="005D3F40"/>
    <w:rsid w:val="005D425A"/>
    <w:rsid w:val="005D4378"/>
    <w:rsid w:val="005D43E5"/>
    <w:rsid w:val="005D450D"/>
    <w:rsid w:val="005D45CB"/>
    <w:rsid w:val="005D4842"/>
    <w:rsid w:val="005D48B2"/>
    <w:rsid w:val="005D49A5"/>
    <w:rsid w:val="005D4C4F"/>
    <w:rsid w:val="005D4D2C"/>
    <w:rsid w:val="005D4DD7"/>
    <w:rsid w:val="005D4DDE"/>
    <w:rsid w:val="005D4E27"/>
    <w:rsid w:val="005D503A"/>
    <w:rsid w:val="005D5ADF"/>
    <w:rsid w:val="005D5C2C"/>
    <w:rsid w:val="005D5E31"/>
    <w:rsid w:val="005D640C"/>
    <w:rsid w:val="005D655F"/>
    <w:rsid w:val="005D6597"/>
    <w:rsid w:val="005D66BA"/>
    <w:rsid w:val="005D6811"/>
    <w:rsid w:val="005D695F"/>
    <w:rsid w:val="005D69F0"/>
    <w:rsid w:val="005D6A25"/>
    <w:rsid w:val="005D6CBD"/>
    <w:rsid w:val="005D6D23"/>
    <w:rsid w:val="005D6E57"/>
    <w:rsid w:val="005D6ECA"/>
    <w:rsid w:val="005D6F8C"/>
    <w:rsid w:val="005D76B6"/>
    <w:rsid w:val="005D76D7"/>
    <w:rsid w:val="005D77FC"/>
    <w:rsid w:val="005D7BC1"/>
    <w:rsid w:val="005D7E99"/>
    <w:rsid w:val="005D7F3C"/>
    <w:rsid w:val="005E0274"/>
    <w:rsid w:val="005E02D5"/>
    <w:rsid w:val="005E02D9"/>
    <w:rsid w:val="005E0412"/>
    <w:rsid w:val="005E0746"/>
    <w:rsid w:val="005E093C"/>
    <w:rsid w:val="005E0A0E"/>
    <w:rsid w:val="005E121C"/>
    <w:rsid w:val="005E14BB"/>
    <w:rsid w:val="005E187B"/>
    <w:rsid w:val="005E19CA"/>
    <w:rsid w:val="005E1A24"/>
    <w:rsid w:val="005E1A86"/>
    <w:rsid w:val="005E1ADB"/>
    <w:rsid w:val="005E1D81"/>
    <w:rsid w:val="005E21D2"/>
    <w:rsid w:val="005E2296"/>
    <w:rsid w:val="005E22FA"/>
    <w:rsid w:val="005E23F6"/>
    <w:rsid w:val="005E25C3"/>
    <w:rsid w:val="005E26C7"/>
    <w:rsid w:val="005E2762"/>
    <w:rsid w:val="005E2847"/>
    <w:rsid w:val="005E2A96"/>
    <w:rsid w:val="005E2CAE"/>
    <w:rsid w:val="005E3099"/>
    <w:rsid w:val="005E3205"/>
    <w:rsid w:val="005E3493"/>
    <w:rsid w:val="005E35CB"/>
    <w:rsid w:val="005E36FD"/>
    <w:rsid w:val="005E3B26"/>
    <w:rsid w:val="005E3C96"/>
    <w:rsid w:val="005E4104"/>
    <w:rsid w:val="005E4643"/>
    <w:rsid w:val="005E4687"/>
    <w:rsid w:val="005E484B"/>
    <w:rsid w:val="005E4941"/>
    <w:rsid w:val="005E4A20"/>
    <w:rsid w:val="005E4ABB"/>
    <w:rsid w:val="005E4E71"/>
    <w:rsid w:val="005E5382"/>
    <w:rsid w:val="005E54D9"/>
    <w:rsid w:val="005E5628"/>
    <w:rsid w:val="005E576D"/>
    <w:rsid w:val="005E5BF7"/>
    <w:rsid w:val="005E5CA1"/>
    <w:rsid w:val="005E5DEF"/>
    <w:rsid w:val="005E662B"/>
    <w:rsid w:val="005E68E6"/>
    <w:rsid w:val="005E6D6A"/>
    <w:rsid w:val="005E6D81"/>
    <w:rsid w:val="005E6DF1"/>
    <w:rsid w:val="005E6FFB"/>
    <w:rsid w:val="005E7292"/>
    <w:rsid w:val="005E79B4"/>
    <w:rsid w:val="005E7AC7"/>
    <w:rsid w:val="005E7B13"/>
    <w:rsid w:val="005E7B36"/>
    <w:rsid w:val="005E7D28"/>
    <w:rsid w:val="005F0121"/>
    <w:rsid w:val="005F027F"/>
    <w:rsid w:val="005F0321"/>
    <w:rsid w:val="005F03B4"/>
    <w:rsid w:val="005F046E"/>
    <w:rsid w:val="005F05DB"/>
    <w:rsid w:val="005F0740"/>
    <w:rsid w:val="005F0A78"/>
    <w:rsid w:val="005F0B96"/>
    <w:rsid w:val="005F0BBE"/>
    <w:rsid w:val="005F0C63"/>
    <w:rsid w:val="005F0D96"/>
    <w:rsid w:val="005F0DE3"/>
    <w:rsid w:val="005F0DE6"/>
    <w:rsid w:val="005F0E75"/>
    <w:rsid w:val="005F124E"/>
    <w:rsid w:val="005F15BA"/>
    <w:rsid w:val="005F175F"/>
    <w:rsid w:val="005F1781"/>
    <w:rsid w:val="005F1816"/>
    <w:rsid w:val="005F1C67"/>
    <w:rsid w:val="005F268E"/>
    <w:rsid w:val="005F2741"/>
    <w:rsid w:val="005F2864"/>
    <w:rsid w:val="005F2CE5"/>
    <w:rsid w:val="005F2DB4"/>
    <w:rsid w:val="005F2DFB"/>
    <w:rsid w:val="005F2FA6"/>
    <w:rsid w:val="005F3336"/>
    <w:rsid w:val="005F358F"/>
    <w:rsid w:val="005F3650"/>
    <w:rsid w:val="005F3957"/>
    <w:rsid w:val="005F3973"/>
    <w:rsid w:val="005F3C90"/>
    <w:rsid w:val="005F3E10"/>
    <w:rsid w:val="005F3E79"/>
    <w:rsid w:val="005F3F18"/>
    <w:rsid w:val="005F3F41"/>
    <w:rsid w:val="005F3F82"/>
    <w:rsid w:val="005F41C4"/>
    <w:rsid w:val="005F4208"/>
    <w:rsid w:val="005F4227"/>
    <w:rsid w:val="005F42E7"/>
    <w:rsid w:val="005F4339"/>
    <w:rsid w:val="005F4343"/>
    <w:rsid w:val="005F4432"/>
    <w:rsid w:val="005F48A3"/>
    <w:rsid w:val="005F4985"/>
    <w:rsid w:val="005F499C"/>
    <w:rsid w:val="005F49F9"/>
    <w:rsid w:val="005F4D28"/>
    <w:rsid w:val="005F4FC3"/>
    <w:rsid w:val="005F5084"/>
    <w:rsid w:val="005F5242"/>
    <w:rsid w:val="005F5305"/>
    <w:rsid w:val="005F5405"/>
    <w:rsid w:val="005F54AD"/>
    <w:rsid w:val="005F5774"/>
    <w:rsid w:val="005F5867"/>
    <w:rsid w:val="005F5A13"/>
    <w:rsid w:val="005F5A31"/>
    <w:rsid w:val="005F5B6C"/>
    <w:rsid w:val="005F5D5A"/>
    <w:rsid w:val="005F5E61"/>
    <w:rsid w:val="005F60B4"/>
    <w:rsid w:val="005F6215"/>
    <w:rsid w:val="005F63F8"/>
    <w:rsid w:val="005F655E"/>
    <w:rsid w:val="005F6571"/>
    <w:rsid w:val="005F67B6"/>
    <w:rsid w:val="005F6A35"/>
    <w:rsid w:val="005F6ACC"/>
    <w:rsid w:val="005F6AD3"/>
    <w:rsid w:val="005F6AE9"/>
    <w:rsid w:val="005F6C64"/>
    <w:rsid w:val="005F6DAE"/>
    <w:rsid w:val="005F7162"/>
    <w:rsid w:val="005F7275"/>
    <w:rsid w:val="005F73B3"/>
    <w:rsid w:val="005F73F1"/>
    <w:rsid w:val="005F7591"/>
    <w:rsid w:val="005F75A7"/>
    <w:rsid w:val="005F78E5"/>
    <w:rsid w:val="005F7AB4"/>
    <w:rsid w:val="005F7D30"/>
    <w:rsid w:val="005F7D52"/>
    <w:rsid w:val="005F7D57"/>
    <w:rsid w:val="005F7E13"/>
    <w:rsid w:val="005F7E6A"/>
    <w:rsid w:val="005F7EB4"/>
    <w:rsid w:val="005F7F6A"/>
    <w:rsid w:val="0060000D"/>
    <w:rsid w:val="00600021"/>
    <w:rsid w:val="00600302"/>
    <w:rsid w:val="00600460"/>
    <w:rsid w:val="00600748"/>
    <w:rsid w:val="0060097E"/>
    <w:rsid w:val="00600A33"/>
    <w:rsid w:val="00600D2A"/>
    <w:rsid w:val="00600DD4"/>
    <w:rsid w:val="00600E1F"/>
    <w:rsid w:val="00601211"/>
    <w:rsid w:val="0060126B"/>
    <w:rsid w:val="0060141B"/>
    <w:rsid w:val="00601525"/>
    <w:rsid w:val="00601528"/>
    <w:rsid w:val="0060156D"/>
    <w:rsid w:val="006015B1"/>
    <w:rsid w:val="0060170C"/>
    <w:rsid w:val="006018B3"/>
    <w:rsid w:val="00601931"/>
    <w:rsid w:val="006019D0"/>
    <w:rsid w:val="00601BBC"/>
    <w:rsid w:val="00601F77"/>
    <w:rsid w:val="006023B2"/>
    <w:rsid w:val="006024C3"/>
    <w:rsid w:val="00602984"/>
    <w:rsid w:val="00602B9D"/>
    <w:rsid w:val="00602BBA"/>
    <w:rsid w:val="00602F37"/>
    <w:rsid w:val="006031E4"/>
    <w:rsid w:val="00603383"/>
    <w:rsid w:val="00603416"/>
    <w:rsid w:val="0060364E"/>
    <w:rsid w:val="006038BD"/>
    <w:rsid w:val="00603BB4"/>
    <w:rsid w:val="00603DA2"/>
    <w:rsid w:val="006041E4"/>
    <w:rsid w:val="006042B7"/>
    <w:rsid w:val="006043D9"/>
    <w:rsid w:val="0060451B"/>
    <w:rsid w:val="006045EC"/>
    <w:rsid w:val="0060474F"/>
    <w:rsid w:val="00604766"/>
    <w:rsid w:val="0060477A"/>
    <w:rsid w:val="00604819"/>
    <w:rsid w:val="0060492C"/>
    <w:rsid w:val="00604EE0"/>
    <w:rsid w:val="006052F0"/>
    <w:rsid w:val="006054D0"/>
    <w:rsid w:val="0060582B"/>
    <w:rsid w:val="006058E7"/>
    <w:rsid w:val="00605B6A"/>
    <w:rsid w:val="00605BFB"/>
    <w:rsid w:val="00605CA7"/>
    <w:rsid w:val="00605E63"/>
    <w:rsid w:val="00605ECA"/>
    <w:rsid w:val="00605ECE"/>
    <w:rsid w:val="00605EF5"/>
    <w:rsid w:val="00605F46"/>
    <w:rsid w:val="0060603C"/>
    <w:rsid w:val="00606114"/>
    <w:rsid w:val="00606200"/>
    <w:rsid w:val="0060639D"/>
    <w:rsid w:val="006063B4"/>
    <w:rsid w:val="0060649A"/>
    <w:rsid w:val="00606564"/>
    <w:rsid w:val="006067C2"/>
    <w:rsid w:val="006067E6"/>
    <w:rsid w:val="00606B24"/>
    <w:rsid w:val="00606C37"/>
    <w:rsid w:val="00606C96"/>
    <w:rsid w:val="00606D03"/>
    <w:rsid w:val="00606E08"/>
    <w:rsid w:val="00606E57"/>
    <w:rsid w:val="00606EFF"/>
    <w:rsid w:val="00606FB0"/>
    <w:rsid w:val="00607185"/>
    <w:rsid w:val="006075C8"/>
    <w:rsid w:val="006078B9"/>
    <w:rsid w:val="00607903"/>
    <w:rsid w:val="0060790F"/>
    <w:rsid w:val="00607BC8"/>
    <w:rsid w:val="00607CFD"/>
    <w:rsid w:val="00607D6B"/>
    <w:rsid w:val="00607DE3"/>
    <w:rsid w:val="006100A0"/>
    <w:rsid w:val="006101C9"/>
    <w:rsid w:val="0061051F"/>
    <w:rsid w:val="00610522"/>
    <w:rsid w:val="00610565"/>
    <w:rsid w:val="006107EA"/>
    <w:rsid w:val="00610904"/>
    <w:rsid w:val="0061096D"/>
    <w:rsid w:val="006109DF"/>
    <w:rsid w:val="00610BAA"/>
    <w:rsid w:val="00610E74"/>
    <w:rsid w:val="00610EDD"/>
    <w:rsid w:val="00610F40"/>
    <w:rsid w:val="00611166"/>
    <w:rsid w:val="006111CF"/>
    <w:rsid w:val="006111D4"/>
    <w:rsid w:val="006114CD"/>
    <w:rsid w:val="00611546"/>
    <w:rsid w:val="00611560"/>
    <w:rsid w:val="00611583"/>
    <w:rsid w:val="00611837"/>
    <w:rsid w:val="0061186E"/>
    <w:rsid w:val="006118F7"/>
    <w:rsid w:val="00611993"/>
    <w:rsid w:val="00611CDA"/>
    <w:rsid w:val="00611ED8"/>
    <w:rsid w:val="00611EF1"/>
    <w:rsid w:val="00611EF4"/>
    <w:rsid w:val="00612347"/>
    <w:rsid w:val="00612367"/>
    <w:rsid w:val="006126B9"/>
    <w:rsid w:val="00612709"/>
    <w:rsid w:val="00612A6F"/>
    <w:rsid w:val="00612AE9"/>
    <w:rsid w:val="00612CF6"/>
    <w:rsid w:val="00612DC1"/>
    <w:rsid w:val="00612EC5"/>
    <w:rsid w:val="00612F07"/>
    <w:rsid w:val="00612F5D"/>
    <w:rsid w:val="00613423"/>
    <w:rsid w:val="00613686"/>
    <w:rsid w:val="006136EF"/>
    <w:rsid w:val="0061384B"/>
    <w:rsid w:val="0061398A"/>
    <w:rsid w:val="00613DC7"/>
    <w:rsid w:val="00613DCC"/>
    <w:rsid w:val="00613E64"/>
    <w:rsid w:val="00614156"/>
    <w:rsid w:val="006141F1"/>
    <w:rsid w:val="00614345"/>
    <w:rsid w:val="00614620"/>
    <w:rsid w:val="006147DA"/>
    <w:rsid w:val="006148B5"/>
    <w:rsid w:val="006148C5"/>
    <w:rsid w:val="00614C14"/>
    <w:rsid w:val="00614C82"/>
    <w:rsid w:val="00614E80"/>
    <w:rsid w:val="00614ECF"/>
    <w:rsid w:val="0061511B"/>
    <w:rsid w:val="0061531B"/>
    <w:rsid w:val="0061536A"/>
    <w:rsid w:val="00615406"/>
    <w:rsid w:val="006154BB"/>
    <w:rsid w:val="00615540"/>
    <w:rsid w:val="00615907"/>
    <w:rsid w:val="00616064"/>
    <w:rsid w:val="0061637C"/>
    <w:rsid w:val="006166DB"/>
    <w:rsid w:val="006167F7"/>
    <w:rsid w:val="00616857"/>
    <w:rsid w:val="00616C00"/>
    <w:rsid w:val="00616D35"/>
    <w:rsid w:val="006171A7"/>
    <w:rsid w:val="006173D5"/>
    <w:rsid w:val="00617563"/>
    <w:rsid w:val="006176E7"/>
    <w:rsid w:val="0061771D"/>
    <w:rsid w:val="00617DBA"/>
    <w:rsid w:val="00617DDA"/>
    <w:rsid w:val="00617E5A"/>
    <w:rsid w:val="00617FC2"/>
    <w:rsid w:val="00617FF7"/>
    <w:rsid w:val="00620842"/>
    <w:rsid w:val="00620952"/>
    <w:rsid w:val="006209A1"/>
    <w:rsid w:val="006209AA"/>
    <w:rsid w:val="00620B11"/>
    <w:rsid w:val="00620B35"/>
    <w:rsid w:val="00620EAA"/>
    <w:rsid w:val="006211A9"/>
    <w:rsid w:val="0062129E"/>
    <w:rsid w:val="006215E8"/>
    <w:rsid w:val="006216EA"/>
    <w:rsid w:val="00621AA9"/>
    <w:rsid w:val="00621C80"/>
    <w:rsid w:val="00621DE5"/>
    <w:rsid w:val="00621E72"/>
    <w:rsid w:val="0062208E"/>
    <w:rsid w:val="00622182"/>
    <w:rsid w:val="0062243F"/>
    <w:rsid w:val="0062267D"/>
    <w:rsid w:val="00622852"/>
    <w:rsid w:val="00622B2F"/>
    <w:rsid w:val="00622D2B"/>
    <w:rsid w:val="00622DD9"/>
    <w:rsid w:val="00622F7C"/>
    <w:rsid w:val="00622FAC"/>
    <w:rsid w:val="006232B0"/>
    <w:rsid w:val="0062399B"/>
    <w:rsid w:val="00623A77"/>
    <w:rsid w:val="00623C10"/>
    <w:rsid w:val="00623CD5"/>
    <w:rsid w:val="00623D82"/>
    <w:rsid w:val="00623EEC"/>
    <w:rsid w:val="006240B4"/>
    <w:rsid w:val="0062410A"/>
    <w:rsid w:val="00624269"/>
    <w:rsid w:val="0062426B"/>
    <w:rsid w:val="00624509"/>
    <w:rsid w:val="006245D5"/>
    <w:rsid w:val="006245E8"/>
    <w:rsid w:val="00624606"/>
    <w:rsid w:val="00624610"/>
    <w:rsid w:val="00624DE4"/>
    <w:rsid w:val="00624DEA"/>
    <w:rsid w:val="00624EC6"/>
    <w:rsid w:val="00624F10"/>
    <w:rsid w:val="00625393"/>
    <w:rsid w:val="0062556E"/>
    <w:rsid w:val="0062586A"/>
    <w:rsid w:val="00625B96"/>
    <w:rsid w:val="00625E1C"/>
    <w:rsid w:val="00625FB8"/>
    <w:rsid w:val="00626160"/>
    <w:rsid w:val="006262CB"/>
    <w:rsid w:val="006269D6"/>
    <w:rsid w:val="00626A91"/>
    <w:rsid w:val="00626B61"/>
    <w:rsid w:val="00626B95"/>
    <w:rsid w:val="00626BF1"/>
    <w:rsid w:val="00626C48"/>
    <w:rsid w:val="00626E90"/>
    <w:rsid w:val="00627127"/>
    <w:rsid w:val="00627915"/>
    <w:rsid w:val="0062797B"/>
    <w:rsid w:val="00627A44"/>
    <w:rsid w:val="00627A64"/>
    <w:rsid w:val="00627B18"/>
    <w:rsid w:val="00627CB0"/>
    <w:rsid w:val="00627CD1"/>
    <w:rsid w:val="0063001A"/>
    <w:rsid w:val="00630223"/>
    <w:rsid w:val="006303A7"/>
    <w:rsid w:val="00630444"/>
    <w:rsid w:val="00630649"/>
    <w:rsid w:val="0063066E"/>
    <w:rsid w:val="0063091E"/>
    <w:rsid w:val="006309DB"/>
    <w:rsid w:val="00630C9B"/>
    <w:rsid w:val="00630F64"/>
    <w:rsid w:val="0063108D"/>
    <w:rsid w:val="0063160E"/>
    <w:rsid w:val="00631612"/>
    <w:rsid w:val="00631706"/>
    <w:rsid w:val="00631737"/>
    <w:rsid w:val="0063179E"/>
    <w:rsid w:val="006317EE"/>
    <w:rsid w:val="00631871"/>
    <w:rsid w:val="00631B30"/>
    <w:rsid w:val="00631CC2"/>
    <w:rsid w:val="006321EF"/>
    <w:rsid w:val="006322FF"/>
    <w:rsid w:val="006323B4"/>
    <w:rsid w:val="006327C6"/>
    <w:rsid w:val="0063281D"/>
    <w:rsid w:val="00632BFB"/>
    <w:rsid w:val="00632D5F"/>
    <w:rsid w:val="00632DC6"/>
    <w:rsid w:val="00632E9B"/>
    <w:rsid w:val="00633036"/>
    <w:rsid w:val="006330CA"/>
    <w:rsid w:val="0063312A"/>
    <w:rsid w:val="00633192"/>
    <w:rsid w:val="006331D1"/>
    <w:rsid w:val="006332BE"/>
    <w:rsid w:val="0063333B"/>
    <w:rsid w:val="00633384"/>
    <w:rsid w:val="006334E4"/>
    <w:rsid w:val="006338C5"/>
    <w:rsid w:val="00633C90"/>
    <w:rsid w:val="00633E02"/>
    <w:rsid w:val="00633EF4"/>
    <w:rsid w:val="00633FD7"/>
    <w:rsid w:val="006341BC"/>
    <w:rsid w:val="00634229"/>
    <w:rsid w:val="006345A8"/>
    <w:rsid w:val="0063464A"/>
    <w:rsid w:val="006348C8"/>
    <w:rsid w:val="00634944"/>
    <w:rsid w:val="00634FA2"/>
    <w:rsid w:val="00634FD9"/>
    <w:rsid w:val="0063505E"/>
    <w:rsid w:val="00635358"/>
    <w:rsid w:val="006353C7"/>
    <w:rsid w:val="0063560C"/>
    <w:rsid w:val="00635684"/>
    <w:rsid w:val="00635735"/>
    <w:rsid w:val="006358C1"/>
    <w:rsid w:val="0063593A"/>
    <w:rsid w:val="00635AFF"/>
    <w:rsid w:val="00635BC4"/>
    <w:rsid w:val="00635EC9"/>
    <w:rsid w:val="00635EEB"/>
    <w:rsid w:val="00635EFC"/>
    <w:rsid w:val="0063639D"/>
    <w:rsid w:val="00636472"/>
    <w:rsid w:val="006368EC"/>
    <w:rsid w:val="006369C9"/>
    <w:rsid w:val="00636A50"/>
    <w:rsid w:val="00636A5E"/>
    <w:rsid w:val="00636BDA"/>
    <w:rsid w:val="00636C98"/>
    <w:rsid w:val="00636D89"/>
    <w:rsid w:val="00637196"/>
    <w:rsid w:val="00637419"/>
    <w:rsid w:val="0063761C"/>
    <w:rsid w:val="00637753"/>
    <w:rsid w:val="006378A0"/>
    <w:rsid w:val="006378E0"/>
    <w:rsid w:val="00637928"/>
    <w:rsid w:val="00637AF3"/>
    <w:rsid w:val="00637BEB"/>
    <w:rsid w:val="00637D64"/>
    <w:rsid w:val="006401B1"/>
    <w:rsid w:val="00640267"/>
    <w:rsid w:val="00640288"/>
    <w:rsid w:val="00640427"/>
    <w:rsid w:val="006405A6"/>
    <w:rsid w:val="0064087E"/>
    <w:rsid w:val="006408CC"/>
    <w:rsid w:val="006408F9"/>
    <w:rsid w:val="00640B4D"/>
    <w:rsid w:val="00640BCF"/>
    <w:rsid w:val="00640D02"/>
    <w:rsid w:val="00640DAB"/>
    <w:rsid w:val="00641166"/>
    <w:rsid w:val="00641371"/>
    <w:rsid w:val="0064140B"/>
    <w:rsid w:val="0064162E"/>
    <w:rsid w:val="006416C6"/>
    <w:rsid w:val="006417D8"/>
    <w:rsid w:val="00641843"/>
    <w:rsid w:val="00641A00"/>
    <w:rsid w:val="00641BFD"/>
    <w:rsid w:val="00641C22"/>
    <w:rsid w:val="00641C34"/>
    <w:rsid w:val="00641CDF"/>
    <w:rsid w:val="00641DAA"/>
    <w:rsid w:val="00641E97"/>
    <w:rsid w:val="00641F69"/>
    <w:rsid w:val="006420FA"/>
    <w:rsid w:val="00642225"/>
    <w:rsid w:val="006423EA"/>
    <w:rsid w:val="00642594"/>
    <w:rsid w:val="0064274E"/>
    <w:rsid w:val="0064278D"/>
    <w:rsid w:val="006427AA"/>
    <w:rsid w:val="00642903"/>
    <w:rsid w:val="00642936"/>
    <w:rsid w:val="00643379"/>
    <w:rsid w:val="00643832"/>
    <w:rsid w:val="00643C22"/>
    <w:rsid w:val="00643C24"/>
    <w:rsid w:val="00643EE6"/>
    <w:rsid w:val="006442BA"/>
    <w:rsid w:val="00644525"/>
    <w:rsid w:val="00644994"/>
    <w:rsid w:val="006449D6"/>
    <w:rsid w:val="00644CE8"/>
    <w:rsid w:val="006451C1"/>
    <w:rsid w:val="00645241"/>
    <w:rsid w:val="00645382"/>
    <w:rsid w:val="006454D0"/>
    <w:rsid w:val="00645611"/>
    <w:rsid w:val="0064568A"/>
    <w:rsid w:val="00645C4A"/>
    <w:rsid w:val="00646062"/>
    <w:rsid w:val="006461A2"/>
    <w:rsid w:val="00646336"/>
    <w:rsid w:val="00646404"/>
    <w:rsid w:val="00646680"/>
    <w:rsid w:val="0064669D"/>
    <w:rsid w:val="0064673A"/>
    <w:rsid w:val="00646839"/>
    <w:rsid w:val="00646875"/>
    <w:rsid w:val="00646950"/>
    <w:rsid w:val="0064696C"/>
    <w:rsid w:val="00646C88"/>
    <w:rsid w:val="00646D19"/>
    <w:rsid w:val="00646F0D"/>
    <w:rsid w:val="00646F5D"/>
    <w:rsid w:val="006470B7"/>
    <w:rsid w:val="006470F3"/>
    <w:rsid w:val="00647145"/>
    <w:rsid w:val="00647200"/>
    <w:rsid w:val="00647389"/>
    <w:rsid w:val="006473F9"/>
    <w:rsid w:val="0064749B"/>
    <w:rsid w:val="0064767A"/>
    <w:rsid w:val="006476D0"/>
    <w:rsid w:val="00647705"/>
    <w:rsid w:val="006477A9"/>
    <w:rsid w:val="00647997"/>
    <w:rsid w:val="006479BF"/>
    <w:rsid w:val="00647AA2"/>
    <w:rsid w:val="00647B6A"/>
    <w:rsid w:val="00647B6D"/>
    <w:rsid w:val="00647B71"/>
    <w:rsid w:val="00647E23"/>
    <w:rsid w:val="00647EBC"/>
    <w:rsid w:val="00647F90"/>
    <w:rsid w:val="00650179"/>
    <w:rsid w:val="006501E6"/>
    <w:rsid w:val="006502A3"/>
    <w:rsid w:val="006502EF"/>
    <w:rsid w:val="00650366"/>
    <w:rsid w:val="00650381"/>
    <w:rsid w:val="00650419"/>
    <w:rsid w:val="0065044B"/>
    <w:rsid w:val="0065057A"/>
    <w:rsid w:val="0065092B"/>
    <w:rsid w:val="00650A89"/>
    <w:rsid w:val="00650AA7"/>
    <w:rsid w:val="00650B85"/>
    <w:rsid w:val="00650BE0"/>
    <w:rsid w:val="00650D54"/>
    <w:rsid w:val="00650D8F"/>
    <w:rsid w:val="00650DA8"/>
    <w:rsid w:val="00650DDB"/>
    <w:rsid w:val="0065117E"/>
    <w:rsid w:val="006513A7"/>
    <w:rsid w:val="006513BD"/>
    <w:rsid w:val="00651401"/>
    <w:rsid w:val="0065156E"/>
    <w:rsid w:val="006516F7"/>
    <w:rsid w:val="006518F7"/>
    <w:rsid w:val="00651C80"/>
    <w:rsid w:val="00652180"/>
    <w:rsid w:val="006521AD"/>
    <w:rsid w:val="006522FD"/>
    <w:rsid w:val="00652422"/>
    <w:rsid w:val="0065246F"/>
    <w:rsid w:val="006528E6"/>
    <w:rsid w:val="00652A3E"/>
    <w:rsid w:val="00652BAB"/>
    <w:rsid w:val="00652C38"/>
    <w:rsid w:val="00652EEA"/>
    <w:rsid w:val="00653313"/>
    <w:rsid w:val="0065339C"/>
    <w:rsid w:val="006536C4"/>
    <w:rsid w:val="006536F0"/>
    <w:rsid w:val="00653860"/>
    <w:rsid w:val="00653916"/>
    <w:rsid w:val="00653A41"/>
    <w:rsid w:val="00653E8E"/>
    <w:rsid w:val="00653F24"/>
    <w:rsid w:val="00653F83"/>
    <w:rsid w:val="0065417F"/>
    <w:rsid w:val="00654204"/>
    <w:rsid w:val="0065449C"/>
    <w:rsid w:val="00654630"/>
    <w:rsid w:val="00654686"/>
    <w:rsid w:val="006547D7"/>
    <w:rsid w:val="006548F7"/>
    <w:rsid w:val="006548FE"/>
    <w:rsid w:val="0065493E"/>
    <w:rsid w:val="0065496E"/>
    <w:rsid w:val="00654AD4"/>
    <w:rsid w:val="00654D1E"/>
    <w:rsid w:val="00654FBC"/>
    <w:rsid w:val="00655289"/>
    <w:rsid w:val="006552A5"/>
    <w:rsid w:val="00655647"/>
    <w:rsid w:val="006558E7"/>
    <w:rsid w:val="00655A5F"/>
    <w:rsid w:val="00655B29"/>
    <w:rsid w:val="00656012"/>
    <w:rsid w:val="006561CD"/>
    <w:rsid w:val="0065624D"/>
    <w:rsid w:val="0065663A"/>
    <w:rsid w:val="00656850"/>
    <w:rsid w:val="00656981"/>
    <w:rsid w:val="00656A83"/>
    <w:rsid w:val="00656E38"/>
    <w:rsid w:val="00656E96"/>
    <w:rsid w:val="00656FD7"/>
    <w:rsid w:val="0065705E"/>
    <w:rsid w:val="006571BD"/>
    <w:rsid w:val="006571D1"/>
    <w:rsid w:val="006574C6"/>
    <w:rsid w:val="006574F8"/>
    <w:rsid w:val="00657734"/>
    <w:rsid w:val="006577F0"/>
    <w:rsid w:val="00657A95"/>
    <w:rsid w:val="00657EFF"/>
    <w:rsid w:val="00657F5A"/>
    <w:rsid w:val="00660117"/>
    <w:rsid w:val="00660224"/>
    <w:rsid w:val="0066037B"/>
    <w:rsid w:val="006603BF"/>
    <w:rsid w:val="006608A6"/>
    <w:rsid w:val="00660900"/>
    <w:rsid w:val="00660A62"/>
    <w:rsid w:val="00660BF1"/>
    <w:rsid w:val="00660C45"/>
    <w:rsid w:val="00660E05"/>
    <w:rsid w:val="00660FD0"/>
    <w:rsid w:val="00661097"/>
    <w:rsid w:val="006610D8"/>
    <w:rsid w:val="00661228"/>
    <w:rsid w:val="006612D3"/>
    <w:rsid w:val="00661536"/>
    <w:rsid w:val="006615E5"/>
    <w:rsid w:val="006616F6"/>
    <w:rsid w:val="00661A4E"/>
    <w:rsid w:val="00661B57"/>
    <w:rsid w:val="00661DEF"/>
    <w:rsid w:val="00661FD0"/>
    <w:rsid w:val="00662095"/>
    <w:rsid w:val="006622F4"/>
    <w:rsid w:val="00662396"/>
    <w:rsid w:val="0066244E"/>
    <w:rsid w:val="006625E5"/>
    <w:rsid w:val="00662809"/>
    <w:rsid w:val="00662A6C"/>
    <w:rsid w:val="00662E67"/>
    <w:rsid w:val="0066302A"/>
    <w:rsid w:val="00663248"/>
    <w:rsid w:val="00663255"/>
    <w:rsid w:val="0066325D"/>
    <w:rsid w:val="006632BD"/>
    <w:rsid w:val="00663576"/>
    <w:rsid w:val="006639B7"/>
    <w:rsid w:val="006639D6"/>
    <w:rsid w:val="006639F7"/>
    <w:rsid w:val="00663AEC"/>
    <w:rsid w:val="00663BA9"/>
    <w:rsid w:val="00663C52"/>
    <w:rsid w:val="00664202"/>
    <w:rsid w:val="0066495A"/>
    <w:rsid w:val="00664990"/>
    <w:rsid w:val="00664A6C"/>
    <w:rsid w:val="00664A85"/>
    <w:rsid w:val="00664B28"/>
    <w:rsid w:val="00664BA2"/>
    <w:rsid w:val="00664CEA"/>
    <w:rsid w:val="00664D4F"/>
    <w:rsid w:val="00664D60"/>
    <w:rsid w:val="00664E67"/>
    <w:rsid w:val="00664FD1"/>
    <w:rsid w:val="0066501A"/>
    <w:rsid w:val="0066507A"/>
    <w:rsid w:val="00665579"/>
    <w:rsid w:val="006657BD"/>
    <w:rsid w:val="0066590E"/>
    <w:rsid w:val="0066598F"/>
    <w:rsid w:val="00665BD4"/>
    <w:rsid w:val="00665DFB"/>
    <w:rsid w:val="00665E95"/>
    <w:rsid w:val="00665EB4"/>
    <w:rsid w:val="0066603B"/>
    <w:rsid w:val="00666076"/>
    <w:rsid w:val="006660AE"/>
    <w:rsid w:val="00666474"/>
    <w:rsid w:val="006665DB"/>
    <w:rsid w:val="00666708"/>
    <w:rsid w:val="00666B46"/>
    <w:rsid w:val="00666DB0"/>
    <w:rsid w:val="00666EE2"/>
    <w:rsid w:val="0066714A"/>
    <w:rsid w:val="006671E2"/>
    <w:rsid w:val="00667759"/>
    <w:rsid w:val="00667874"/>
    <w:rsid w:val="00667953"/>
    <w:rsid w:val="00667987"/>
    <w:rsid w:val="00667AC3"/>
    <w:rsid w:val="00667C3E"/>
    <w:rsid w:val="00667DF6"/>
    <w:rsid w:val="00667E1E"/>
    <w:rsid w:val="00667E93"/>
    <w:rsid w:val="00667EC1"/>
    <w:rsid w:val="00667FC9"/>
    <w:rsid w:val="0067026F"/>
    <w:rsid w:val="00670293"/>
    <w:rsid w:val="0067031C"/>
    <w:rsid w:val="006703D7"/>
    <w:rsid w:val="0067048E"/>
    <w:rsid w:val="00670553"/>
    <w:rsid w:val="0067055D"/>
    <w:rsid w:val="0067056D"/>
    <w:rsid w:val="006706FB"/>
    <w:rsid w:val="0067071C"/>
    <w:rsid w:val="00670776"/>
    <w:rsid w:val="00670ADF"/>
    <w:rsid w:val="00670C5A"/>
    <w:rsid w:val="00670E1F"/>
    <w:rsid w:val="00670EC4"/>
    <w:rsid w:val="00670F39"/>
    <w:rsid w:val="00670F58"/>
    <w:rsid w:val="00671140"/>
    <w:rsid w:val="00671388"/>
    <w:rsid w:val="006713E0"/>
    <w:rsid w:val="006715DB"/>
    <w:rsid w:val="00671602"/>
    <w:rsid w:val="00671649"/>
    <w:rsid w:val="00671685"/>
    <w:rsid w:val="00671892"/>
    <w:rsid w:val="006719A1"/>
    <w:rsid w:val="006719B5"/>
    <w:rsid w:val="00671B7E"/>
    <w:rsid w:val="00672143"/>
    <w:rsid w:val="0067232B"/>
    <w:rsid w:val="006723DF"/>
    <w:rsid w:val="00672437"/>
    <w:rsid w:val="00672583"/>
    <w:rsid w:val="006725E7"/>
    <w:rsid w:val="006726E7"/>
    <w:rsid w:val="00672F50"/>
    <w:rsid w:val="00672FCF"/>
    <w:rsid w:val="0067337C"/>
    <w:rsid w:val="00673477"/>
    <w:rsid w:val="0067357C"/>
    <w:rsid w:val="00673710"/>
    <w:rsid w:val="006738D5"/>
    <w:rsid w:val="00673957"/>
    <w:rsid w:val="00673A98"/>
    <w:rsid w:val="00673AF1"/>
    <w:rsid w:val="00673BAC"/>
    <w:rsid w:val="00673D2E"/>
    <w:rsid w:val="00673E1B"/>
    <w:rsid w:val="00673EE7"/>
    <w:rsid w:val="00673FC7"/>
    <w:rsid w:val="00674088"/>
    <w:rsid w:val="0067410D"/>
    <w:rsid w:val="00674170"/>
    <w:rsid w:val="006741CD"/>
    <w:rsid w:val="006741D5"/>
    <w:rsid w:val="006746CD"/>
    <w:rsid w:val="00674864"/>
    <w:rsid w:val="006748F2"/>
    <w:rsid w:val="00674A3D"/>
    <w:rsid w:val="00674B24"/>
    <w:rsid w:val="00674C16"/>
    <w:rsid w:val="00674CEA"/>
    <w:rsid w:val="00674F08"/>
    <w:rsid w:val="00674FDF"/>
    <w:rsid w:val="00675004"/>
    <w:rsid w:val="00675099"/>
    <w:rsid w:val="00675147"/>
    <w:rsid w:val="00675158"/>
    <w:rsid w:val="0067515D"/>
    <w:rsid w:val="006751EF"/>
    <w:rsid w:val="006752C1"/>
    <w:rsid w:val="006754E1"/>
    <w:rsid w:val="00675507"/>
    <w:rsid w:val="006758A5"/>
    <w:rsid w:val="006759CE"/>
    <w:rsid w:val="00675BBD"/>
    <w:rsid w:val="00675E85"/>
    <w:rsid w:val="00675E97"/>
    <w:rsid w:val="00675EDE"/>
    <w:rsid w:val="00676277"/>
    <w:rsid w:val="00676698"/>
    <w:rsid w:val="00676974"/>
    <w:rsid w:val="006769DA"/>
    <w:rsid w:val="00676A24"/>
    <w:rsid w:val="00676D46"/>
    <w:rsid w:val="00676F6D"/>
    <w:rsid w:val="00676F7E"/>
    <w:rsid w:val="00677008"/>
    <w:rsid w:val="0067727A"/>
    <w:rsid w:val="0067769D"/>
    <w:rsid w:val="00677863"/>
    <w:rsid w:val="006778C9"/>
    <w:rsid w:val="00677C57"/>
    <w:rsid w:val="00677CF2"/>
    <w:rsid w:val="00677DBA"/>
    <w:rsid w:val="00677DCF"/>
    <w:rsid w:val="006800D2"/>
    <w:rsid w:val="00680402"/>
    <w:rsid w:val="00680442"/>
    <w:rsid w:val="00680684"/>
    <w:rsid w:val="00680856"/>
    <w:rsid w:val="00680972"/>
    <w:rsid w:val="0068099F"/>
    <w:rsid w:val="00680A4F"/>
    <w:rsid w:val="00680B92"/>
    <w:rsid w:val="00680CB5"/>
    <w:rsid w:val="00680D35"/>
    <w:rsid w:val="006810FA"/>
    <w:rsid w:val="0068112B"/>
    <w:rsid w:val="00681615"/>
    <w:rsid w:val="006816F2"/>
    <w:rsid w:val="00681723"/>
    <w:rsid w:val="00681782"/>
    <w:rsid w:val="00681935"/>
    <w:rsid w:val="0068197C"/>
    <w:rsid w:val="00681A39"/>
    <w:rsid w:val="00681A7F"/>
    <w:rsid w:val="00681ABF"/>
    <w:rsid w:val="00681AEE"/>
    <w:rsid w:val="00681B37"/>
    <w:rsid w:val="00681BD7"/>
    <w:rsid w:val="00681C09"/>
    <w:rsid w:val="00681C1E"/>
    <w:rsid w:val="00681CD8"/>
    <w:rsid w:val="00681E9F"/>
    <w:rsid w:val="00681F22"/>
    <w:rsid w:val="00681F6B"/>
    <w:rsid w:val="00682233"/>
    <w:rsid w:val="006823F7"/>
    <w:rsid w:val="0068240B"/>
    <w:rsid w:val="006824F9"/>
    <w:rsid w:val="006825D9"/>
    <w:rsid w:val="0068272E"/>
    <w:rsid w:val="00682935"/>
    <w:rsid w:val="00682977"/>
    <w:rsid w:val="006829DD"/>
    <w:rsid w:val="00682EC4"/>
    <w:rsid w:val="00682F70"/>
    <w:rsid w:val="00683036"/>
    <w:rsid w:val="00683400"/>
    <w:rsid w:val="00683462"/>
    <w:rsid w:val="006834CE"/>
    <w:rsid w:val="00683510"/>
    <w:rsid w:val="006835A6"/>
    <w:rsid w:val="006835E2"/>
    <w:rsid w:val="006835E4"/>
    <w:rsid w:val="006835E7"/>
    <w:rsid w:val="006836E3"/>
    <w:rsid w:val="006838A2"/>
    <w:rsid w:val="00683948"/>
    <w:rsid w:val="00683B75"/>
    <w:rsid w:val="00683BB3"/>
    <w:rsid w:val="00683E28"/>
    <w:rsid w:val="00683F71"/>
    <w:rsid w:val="006841A1"/>
    <w:rsid w:val="0068422C"/>
    <w:rsid w:val="00684288"/>
    <w:rsid w:val="006842E8"/>
    <w:rsid w:val="00684634"/>
    <w:rsid w:val="0068467C"/>
    <w:rsid w:val="00684682"/>
    <w:rsid w:val="006846E1"/>
    <w:rsid w:val="00684A82"/>
    <w:rsid w:val="00684B4B"/>
    <w:rsid w:val="00684C56"/>
    <w:rsid w:val="00684C5E"/>
    <w:rsid w:val="00684E52"/>
    <w:rsid w:val="00684FF0"/>
    <w:rsid w:val="006852A0"/>
    <w:rsid w:val="0068531C"/>
    <w:rsid w:val="00685384"/>
    <w:rsid w:val="0068555B"/>
    <w:rsid w:val="006857E9"/>
    <w:rsid w:val="00685AFE"/>
    <w:rsid w:val="00685B31"/>
    <w:rsid w:val="00685BA5"/>
    <w:rsid w:val="00685BAF"/>
    <w:rsid w:val="00686018"/>
    <w:rsid w:val="006860D9"/>
    <w:rsid w:val="0068623E"/>
    <w:rsid w:val="006862F3"/>
    <w:rsid w:val="00686396"/>
    <w:rsid w:val="0068644F"/>
    <w:rsid w:val="006865CB"/>
    <w:rsid w:val="0068668A"/>
    <w:rsid w:val="006867EF"/>
    <w:rsid w:val="00686811"/>
    <w:rsid w:val="0068696A"/>
    <w:rsid w:val="00686971"/>
    <w:rsid w:val="00686A14"/>
    <w:rsid w:val="00686BFF"/>
    <w:rsid w:val="00686C46"/>
    <w:rsid w:val="00686CC2"/>
    <w:rsid w:val="00686DB9"/>
    <w:rsid w:val="0068707C"/>
    <w:rsid w:val="00687216"/>
    <w:rsid w:val="006875EA"/>
    <w:rsid w:val="006876F4"/>
    <w:rsid w:val="00687981"/>
    <w:rsid w:val="00687A0C"/>
    <w:rsid w:val="00687B31"/>
    <w:rsid w:val="00687B4D"/>
    <w:rsid w:val="00687B73"/>
    <w:rsid w:val="00687D04"/>
    <w:rsid w:val="00687D78"/>
    <w:rsid w:val="00687DDD"/>
    <w:rsid w:val="00687F98"/>
    <w:rsid w:val="006901B1"/>
    <w:rsid w:val="0069028C"/>
    <w:rsid w:val="006903A6"/>
    <w:rsid w:val="0069040F"/>
    <w:rsid w:val="00690482"/>
    <w:rsid w:val="00690589"/>
    <w:rsid w:val="0069064A"/>
    <w:rsid w:val="006906F1"/>
    <w:rsid w:val="00690758"/>
    <w:rsid w:val="0069077F"/>
    <w:rsid w:val="006908E6"/>
    <w:rsid w:val="00690ACE"/>
    <w:rsid w:val="00690C95"/>
    <w:rsid w:val="00690F4B"/>
    <w:rsid w:val="00690F52"/>
    <w:rsid w:val="00691042"/>
    <w:rsid w:val="006910A8"/>
    <w:rsid w:val="006913F4"/>
    <w:rsid w:val="006914B0"/>
    <w:rsid w:val="006914BD"/>
    <w:rsid w:val="0069158F"/>
    <w:rsid w:val="00691601"/>
    <w:rsid w:val="00691788"/>
    <w:rsid w:val="0069185E"/>
    <w:rsid w:val="006918CF"/>
    <w:rsid w:val="00691956"/>
    <w:rsid w:val="00691AC0"/>
    <w:rsid w:val="00691C13"/>
    <w:rsid w:val="0069278A"/>
    <w:rsid w:val="006927E7"/>
    <w:rsid w:val="00692A8F"/>
    <w:rsid w:val="00692EA5"/>
    <w:rsid w:val="00692ECB"/>
    <w:rsid w:val="00692FD1"/>
    <w:rsid w:val="00692FED"/>
    <w:rsid w:val="00692FFC"/>
    <w:rsid w:val="00693151"/>
    <w:rsid w:val="0069336C"/>
    <w:rsid w:val="0069356D"/>
    <w:rsid w:val="00693798"/>
    <w:rsid w:val="00693A16"/>
    <w:rsid w:val="00693D5C"/>
    <w:rsid w:val="00693DF3"/>
    <w:rsid w:val="006941E5"/>
    <w:rsid w:val="00694205"/>
    <w:rsid w:val="006944F1"/>
    <w:rsid w:val="00694839"/>
    <w:rsid w:val="006948ED"/>
    <w:rsid w:val="00694996"/>
    <w:rsid w:val="00694ACC"/>
    <w:rsid w:val="00694BA2"/>
    <w:rsid w:val="00694E08"/>
    <w:rsid w:val="00694EF5"/>
    <w:rsid w:val="00694F90"/>
    <w:rsid w:val="0069539F"/>
    <w:rsid w:val="00695752"/>
    <w:rsid w:val="0069593E"/>
    <w:rsid w:val="00695981"/>
    <w:rsid w:val="00695AF3"/>
    <w:rsid w:val="00695B00"/>
    <w:rsid w:val="00695F95"/>
    <w:rsid w:val="00696456"/>
    <w:rsid w:val="006965FF"/>
    <w:rsid w:val="006966BF"/>
    <w:rsid w:val="00696859"/>
    <w:rsid w:val="006969D5"/>
    <w:rsid w:val="006969DB"/>
    <w:rsid w:val="006969F5"/>
    <w:rsid w:val="00696C03"/>
    <w:rsid w:val="00696C1A"/>
    <w:rsid w:val="00696D53"/>
    <w:rsid w:val="00696DBD"/>
    <w:rsid w:val="00696F5C"/>
    <w:rsid w:val="006972CE"/>
    <w:rsid w:val="00697597"/>
    <w:rsid w:val="006979BF"/>
    <w:rsid w:val="00697A11"/>
    <w:rsid w:val="00697C6F"/>
    <w:rsid w:val="00697D1A"/>
    <w:rsid w:val="00697D93"/>
    <w:rsid w:val="00697DA6"/>
    <w:rsid w:val="00697DEA"/>
    <w:rsid w:val="00697EFD"/>
    <w:rsid w:val="006A0020"/>
    <w:rsid w:val="006A00F4"/>
    <w:rsid w:val="006A0116"/>
    <w:rsid w:val="006A01BE"/>
    <w:rsid w:val="006A0252"/>
    <w:rsid w:val="006A0649"/>
    <w:rsid w:val="006A0922"/>
    <w:rsid w:val="006A0982"/>
    <w:rsid w:val="006A0985"/>
    <w:rsid w:val="006A09C7"/>
    <w:rsid w:val="006A0A6B"/>
    <w:rsid w:val="006A0AC5"/>
    <w:rsid w:val="006A0AD7"/>
    <w:rsid w:val="006A0C09"/>
    <w:rsid w:val="006A0EAD"/>
    <w:rsid w:val="006A1381"/>
    <w:rsid w:val="006A13DA"/>
    <w:rsid w:val="006A16DD"/>
    <w:rsid w:val="006A184B"/>
    <w:rsid w:val="006A1864"/>
    <w:rsid w:val="006A18A7"/>
    <w:rsid w:val="006A1C40"/>
    <w:rsid w:val="006A1C55"/>
    <w:rsid w:val="006A1C6C"/>
    <w:rsid w:val="006A1D32"/>
    <w:rsid w:val="006A1D6B"/>
    <w:rsid w:val="006A1DAB"/>
    <w:rsid w:val="006A1EAB"/>
    <w:rsid w:val="006A1F9A"/>
    <w:rsid w:val="006A201E"/>
    <w:rsid w:val="006A2057"/>
    <w:rsid w:val="006A2082"/>
    <w:rsid w:val="006A23A8"/>
    <w:rsid w:val="006A26AA"/>
    <w:rsid w:val="006A2819"/>
    <w:rsid w:val="006A2C84"/>
    <w:rsid w:val="006A2D37"/>
    <w:rsid w:val="006A2EC7"/>
    <w:rsid w:val="006A3033"/>
    <w:rsid w:val="006A3132"/>
    <w:rsid w:val="006A3298"/>
    <w:rsid w:val="006A34C1"/>
    <w:rsid w:val="006A355E"/>
    <w:rsid w:val="006A370C"/>
    <w:rsid w:val="006A3808"/>
    <w:rsid w:val="006A3DC6"/>
    <w:rsid w:val="006A3DEE"/>
    <w:rsid w:val="006A3E5A"/>
    <w:rsid w:val="006A3FAA"/>
    <w:rsid w:val="006A42E4"/>
    <w:rsid w:val="006A46EC"/>
    <w:rsid w:val="006A498C"/>
    <w:rsid w:val="006A4CB1"/>
    <w:rsid w:val="006A4E63"/>
    <w:rsid w:val="006A5257"/>
    <w:rsid w:val="006A5278"/>
    <w:rsid w:val="006A52EC"/>
    <w:rsid w:val="006A54C6"/>
    <w:rsid w:val="006A55EA"/>
    <w:rsid w:val="006A59F2"/>
    <w:rsid w:val="006A5A7A"/>
    <w:rsid w:val="006A5AB9"/>
    <w:rsid w:val="006A5B77"/>
    <w:rsid w:val="006A5C0B"/>
    <w:rsid w:val="006A5E98"/>
    <w:rsid w:val="006A6107"/>
    <w:rsid w:val="006A650B"/>
    <w:rsid w:val="006A65A0"/>
    <w:rsid w:val="006A68B9"/>
    <w:rsid w:val="006A68C3"/>
    <w:rsid w:val="006A6934"/>
    <w:rsid w:val="006A697F"/>
    <w:rsid w:val="006A6FD6"/>
    <w:rsid w:val="006A70D9"/>
    <w:rsid w:val="006A7108"/>
    <w:rsid w:val="006A736E"/>
    <w:rsid w:val="006A7500"/>
    <w:rsid w:val="006A7591"/>
    <w:rsid w:val="006A75D4"/>
    <w:rsid w:val="006A7A24"/>
    <w:rsid w:val="006A7B42"/>
    <w:rsid w:val="006A7C17"/>
    <w:rsid w:val="006B016D"/>
    <w:rsid w:val="006B025E"/>
    <w:rsid w:val="006B0417"/>
    <w:rsid w:val="006B057F"/>
    <w:rsid w:val="006B066F"/>
    <w:rsid w:val="006B0714"/>
    <w:rsid w:val="006B086C"/>
    <w:rsid w:val="006B0892"/>
    <w:rsid w:val="006B0B0B"/>
    <w:rsid w:val="006B0D78"/>
    <w:rsid w:val="006B0F87"/>
    <w:rsid w:val="006B0FA4"/>
    <w:rsid w:val="006B0FBC"/>
    <w:rsid w:val="006B133F"/>
    <w:rsid w:val="006B1452"/>
    <w:rsid w:val="006B18DB"/>
    <w:rsid w:val="006B1A56"/>
    <w:rsid w:val="006B1B96"/>
    <w:rsid w:val="006B1CD5"/>
    <w:rsid w:val="006B225E"/>
    <w:rsid w:val="006B22EB"/>
    <w:rsid w:val="006B2337"/>
    <w:rsid w:val="006B24F0"/>
    <w:rsid w:val="006B2547"/>
    <w:rsid w:val="006B25E4"/>
    <w:rsid w:val="006B2604"/>
    <w:rsid w:val="006B26D7"/>
    <w:rsid w:val="006B2713"/>
    <w:rsid w:val="006B2765"/>
    <w:rsid w:val="006B27A9"/>
    <w:rsid w:val="006B29A8"/>
    <w:rsid w:val="006B2C00"/>
    <w:rsid w:val="006B2D87"/>
    <w:rsid w:val="006B320C"/>
    <w:rsid w:val="006B330B"/>
    <w:rsid w:val="006B3393"/>
    <w:rsid w:val="006B36AC"/>
    <w:rsid w:val="006B39DE"/>
    <w:rsid w:val="006B3A31"/>
    <w:rsid w:val="006B3A37"/>
    <w:rsid w:val="006B3A7C"/>
    <w:rsid w:val="006B3B15"/>
    <w:rsid w:val="006B3B2B"/>
    <w:rsid w:val="006B3DF0"/>
    <w:rsid w:val="006B3EDD"/>
    <w:rsid w:val="006B400F"/>
    <w:rsid w:val="006B421E"/>
    <w:rsid w:val="006B4666"/>
    <w:rsid w:val="006B47D1"/>
    <w:rsid w:val="006B4A03"/>
    <w:rsid w:val="006B4AF8"/>
    <w:rsid w:val="006B4DC3"/>
    <w:rsid w:val="006B4E50"/>
    <w:rsid w:val="006B4E51"/>
    <w:rsid w:val="006B4F53"/>
    <w:rsid w:val="006B4FD2"/>
    <w:rsid w:val="006B5155"/>
    <w:rsid w:val="006B532B"/>
    <w:rsid w:val="006B557B"/>
    <w:rsid w:val="006B5747"/>
    <w:rsid w:val="006B58B8"/>
    <w:rsid w:val="006B59E8"/>
    <w:rsid w:val="006B5BAB"/>
    <w:rsid w:val="006B5BCE"/>
    <w:rsid w:val="006B5BEE"/>
    <w:rsid w:val="006B5DE6"/>
    <w:rsid w:val="006B5F48"/>
    <w:rsid w:val="006B6131"/>
    <w:rsid w:val="006B63B0"/>
    <w:rsid w:val="006B6495"/>
    <w:rsid w:val="006B658C"/>
    <w:rsid w:val="006B67B8"/>
    <w:rsid w:val="006B6932"/>
    <w:rsid w:val="006B6A30"/>
    <w:rsid w:val="006B6B82"/>
    <w:rsid w:val="006B6C66"/>
    <w:rsid w:val="006B706E"/>
    <w:rsid w:val="006B7129"/>
    <w:rsid w:val="006B7196"/>
    <w:rsid w:val="006B72F5"/>
    <w:rsid w:val="006B7336"/>
    <w:rsid w:val="006B77B8"/>
    <w:rsid w:val="006B783B"/>
    <w:rsid w:val="006B79CC"/>
    <w:rsid w:val="006B7A0F"/>
    <w:rsid w:val="006B7A37"/>
    <w:rsid w:val="006B7ACC"/>
    <w:rsid w:val="006B7DFF"/>
    <w:rsid w:val="006B7E5B"/>
    <w:rsid w:val="006B7EC0"/>
    <w:rsid w:val="006C0048"/>
    <w:rsid w:val="006C0125"/>
    <w:rsid w:val="006C025B"/>
    <w:rsid w:val="006C0340"/>
    <w:rsid w:val="006C048E"/>
    <w:rsid w:val="006C04A3"/>
    <w:rsid w:val="006C057A"/>
    <w:rsid w:val="006C05F1"/>
    <w:rsid w:val="006C0858"/>
    <w:rsid w:val="006C09BE"/>
    <w:rsid w:val="006C0B33"/>
    <w:rsid w:val="006C0C11"/>
    <w:rsid w:val="006C0D56"/>
    <w:rsid w:val="006C0E74"/>
    <w:rsid w:val="006C1078"/>
    <w:rsid w:val="006C10A1"/>
    <w:rsid w:val="006C10C1"/>
    <w:rsid w:val="006C10FE"/>
    <w:rsid w:val="006C12DC"/>
    <w:rsid w:val="006C1334"/>
    <w:rsid w:val="006C1340"/>
    <w:rsid w:val="006C1384"/>
    <w:rsid w:val="006C13F0"/>
    <w:rsid w:val="006C15D8"/>
    <w:rsid w:val="006C1A04"/>
    <w:rsid w:val="006C1AAB"/>
    <w:rsid w:val="006C1D20"/>
    <w:rsid w:val="006C1DAF"/>
    <w:rsid w:val="006C1ECB"/>
    <w:rsid w:val="006C20DE"/>
    <w:rsid w:val="006C20F4"/>
    <w:rsid w:val="006C22B4"/>
    <w:rsid w:val="006C2305"/>
    <w:rsid w:val="006C268B"/>
    <w:rsid w:val="006C280D"/>
    <w:rsid w:val="006C2A16"/>
    <w:rsid w:val="006C2F85"/>
    <w:rsid w:val="006C335E"/>
    <w:rsid w:val="006C360F"/>
    <w:rsid w:val="006C36F8"/>
    <w:rsid w:val="006C3909"/>
    <w:rsid w:val="006C391C"/>
    <w:rsid w:val="006C39AD"/>
    <w:rsid w:val="006C39EC"/>
    <w:rsid w:val="006C3BF7"/>
    <w:rsid w:val="006C3DDD"/>
    <w:rsid w:val="006C4135"/>
    <w:rsid w:val="006C418A"/>
    <w:rsid w:val="006C41E1"/>
    <w:rsid w:val="006C426F"/>
    <w:rsid w:val="006C4416"/>
    <w:rsid w:val="006C445A"/>
    <w:rsid w:val="006C4789"/>
    <w:rsid w:val="006C4856"/>
    <w:rsid w:val="006C48BD"/>
    <w:rsid w:val="006C4A1B"/>
    <w:rsid w:val="006C4A78"/>
    <w:rsid w:val="006C4AD8"/>
    <w:rsid w:val="006C4FAE"/>
    <w:rsid w:val="006C5018"/>
    <w:rsid w:val="006C5348"/>
    <w:rsid w:val="006C5586"/>
    <w:rsid w:val="006C566D"/>
    <w:rsid w:val="006C5712"/>
    <w:rsid w:val="006C577D"/>
    <w:rsid w:val="006C586C"/>
    <w:rsid w:val="006C5A6F"/>
    <w:rsid w:val="006C5C95"/>
    <w:rsid w:val="006C5DB1"/>
    <w:rsid w:val="006C5E06"/>
    <w:rsid w:val="006C5F93"/>
    <w:rsid w:val="006C60BD"/>
    <w:rsid w:val="006C610C"/>
    <w:rsid w:val="006C6193"/>
    <w:rsid w:val="006C64CE"/>
    <w:rsid w:val="006C6525"/>
    <w:rsid w:val="006C6615"/>
    <w:rsid w:val="006C6669"/>
    <w:rsid w:val="006C6720"/>
    <w:rsid w:val="006C6967"/>
    <w:rsid w:val="006C6B3F"/>
    <w:rsid w:val="006C6C05"/>
    <w:rsid w:val="006C6C5E"/>
    <w:rsid w:val="006C6C79"/>
    <w:rsid w:val="006C6D44"/>
    <w:rsid w:val="006C712D"/>
    <w:rsid w:val="006C72A0"/>
    <w:rsid w:val="006C75BD"/>
    <w:rsid w:val="006C764B"/>
    <w:rsid w:val="006C787C"/>
    <w:rsid w:val="006C792D"/>
    <w:rsid w:val="006C7EFD"/>
    <w:rsid w:val="006C7F3B"/>
    <w:rsid w:val="006C7FDD"/>
    <w:rsid w:val="006D00FB"/>
    <w:rsid w:val="006D06A7"/>
    <w:rsid w:val="006D06ED"/>
    <w:rsid w:val="006D07AF"/>
    <w:rsid w:val="006D0869"/>
    <w:rsid w:val="006D0881"/>
    <w:rsid w:val="006D088F"/>
    <w:rsid w:val="006D08D5"/>
    <w:rsid w:val="006D0A08"/>
    <w:rsid w:val="006D0BA4"/>
    <w:rsid w:val="006D0FC0"/>
    <w:rsid w:val="006D124F"/>
    <w:rsid w:val="006D1375"/>
    <w:rsid w:val="006D137D"/>
    <w:rsid w:val="006D1438"/>
    <w:rsid w:val="006D144F"/>
    <w:rsid w:val="006D15A7"/>
    <w:rsid w:val="006D184A"/>
    <w:rsid w:val="006D194E"/>
    <w:rsid w:val="006D1E9E"/>
    <w:rsid w:val="006D20EA"/>
    <w:rsid w:val="006D20EE"/>
    <w:rsid w:val="006D2120"/>
    <w:rsid w:val="006D2140"/>
    <w:rsid w:val="006D21B2"/>
    <w:rsid w:val="006D220D"/>
    <w:rsid w:val="006D2227"/>
    <w:rsid w:val="006D23B2"/>
    <w:rsid w:val="006D252E"/>
    <w:rsid w:val="006D274D"/>
    <w:rsid w:val="006D2C6C"/>
    <w:rsid w:val="006D2DBC"/>
    <w:rsid w:val="006D2DD9"/>
    <w:rsid w:val="006D2E2E"/>
    <w:rsid w:val="006D2FCE"/>
    <w:rsid w:val="006D2FD5"/>
    <w:rsid w:val="006D2FDE"/>
    <w:rsid w:val="006D2FE4"/>
    <w:rsid w:val="006D3009"/>
    <w:rsid w:val="006D30E9"/>
    <w:rsid w:val="006D30F7"/>
    <w:rsid w:val="006D3525"/>
    <w:rsid w:val="006D35CB"/>
    <w:rsid w:val="006D37AB"/>
    <w:rsid w:val="006D3964"/>
    <w:rsid w:val="006D3B08"/>
    <w:rsid w:val="006D3B5E"/>
    <w:rsid w:val="006D3EB6"/>
    <w:rsid w:val="006D3EFA"/>
    <w:rsid w:val="006D41AC"/>
    <w:rsid w:val="006D428F"/>
    <w:rsid w:val="006D4364"/>
    <w:rsid w:val="006D4403"/>
    <w:rsid w:val="006D4A31"/>
    <w:rsid w:val="006D4D0E"/>
    <w:rsid w:val="006D4D12"/>
    <w:rsid w:val="006D4DCA"/>
    <w:rsid w:val="006D4DDA"/>
    <w:rsid w:val="006D500A"/>
    <w:rsid w:val="006D501A"/>
    <w:rsid w:val="006D510A"/>
    <w:rsid w:val="006D5143"/>
    <w:rsid w:val="006D5187"/>
    <w:rsid w:val="006D5361"/>
    <w:rsid w:val="006D55B2"/>
    <w:rsid w:val="006D5729"/>
    <w:rsid w:val="006D5766"/>
    <w:rsid w:val="006D582A"/>
    <w:rsid w:val="006D591B"/>
    <w:rsid w:val="006D5945"/>
    <w:rsid w:val="006D5A53"/>
    <w:rsid w:val="006D5A80"/>
    <w:rsid w:val="006D5DFD"/>
    <w:rsid w:val="006D5E68"/>
    <w:rsid w:val="006D5F54"/>
    <w:rsid w:val="006D5FD3"/>
    <w:rsid w:val="006D5FFE"/>
    <w:rsid w:val="006D63BF"/>
    <w:rsid w:val="006D66D0"/>
    <w:rsid w:val="006D66D1"/>
    <w:rsid w:val="006D6749"/>
    <w:rsid w:val="006D69CF"/>
    <w:rsid w:val="006D6A0E"/>
    <w:rsid w:val="006D6A50"/>
    <w:rsid w:val="006D6D90"/>
    <w:rsid w:val="006D6F79"/>
    <w:rsid w:val="006D700F"/>
    <w:rsid w:val="006D705F"/>
    <w:rsid w:val="006D741C"/>
    <w:rsid w:val="006D767D"/>
    <w:rsid w:val="006D77F0"/>
    <w:rsid w:val="006D7978"/>
    <w:rsid w:val="006D79B6"/>
    <w:rsid w:val="006D7D17"/>
    <w:rsid w:val="006D7E27"/>
    <w:rsid w:val="006D7EDE"/>
    <w:rsid w:val="006E00D0"/>
    <w:rsid w:val="006E05CC"/>
    <w:rsid w:val="006E0920"/>
    <w:rsid w:val="006E0A26"/>
    <w:rsid w:val="006E0A8A"/>
    <w:rsid w:val="006E0B32"/>
    <w:rsid w:val="006E0B73"/>
    <w:rsid w:val="006E0F30"/>
    <w:rsid w:val="006E10BE"/>
    <w:rsid w:val="006E1431"/>
    <w:rsid w:val="006E16CF"/>
    <w:rsid w:val="006E17F4"/>
    <w:rsid w:val="006E188F"/>
    <w:rsid w:val="006E1924"/>
    <w:rsid w:val="006E1B4C"/>
    <w:rsid w:val="006E1BA3"/>
    <w:rsid w:val="006E1C75"/>
    <w:rsid w:val="006E21CA"/>
    <w:rsid w:val="006E247F"/>
    <w:rsid w:val="006E2484"/>
    <w:rsid w:val="006E2594"/>
    <w:rsid w:val="006E2603"/>
    <w:rsid w:val="006E2689"/>
    <w:rsid w:val="006E2AC4"/>
    <w:rsid w:val="006E2B85"/>
    <w:rsid w:val="006E2C0A"/>
    <w:rsid w:val="006E312E"/>
    <w:rsid w:val="006E33F8"/>
    <w:rsid w:val="006E3430"/>
    <w:rsid w:val="006E35FF"/>
    <w:rsid w:val="006E3682"/>
    <w:rsid w:val="006E3959"/>
    <w:rsid w:val="006E395B"/>
    <w:rsid w:val="006E3BA9"/>
    <w:rsid w:val="006E3E79"/>
    <w:rsid w:val="006E40D6"/>
    <w:rsid w:val="006E428E"/>
    <w:rsid w:val="006E4312"/>
    <w:rsid w:val="006E436A"/>
    <w:rsid w:val="006E44B7"/>
    <w:rsid w:val="006E44D5"/>
    <w:rsid w:val="006E45C8"/>
    <w:rsid w:val="006E49CD"/>
    <w:rsid w:val="006E50B0"/>
    <w:rsid w:val="006E5118"/>
    <w:rsid w:val="006E526C"/>
    <w:rsid w:val="006E53D7"/>
    <w:rsid w:val="006E5413"/>
    <w:rsid w:val="006E5532"/>
    <w:rsid w:val="006E5665"/>
    <w:rsid w:val="006E577F"/>
    <w:rsid w:val="006E5855"/>
    <w:rsid w:val="006E5AFB"/>
    <w:rsid w:val="006E5B5F"/>
    <w:rsid w:val="006E5B86"/>
    <w:rsid w:val="006E5CFC"/>
    <w:rsid w:val="006E63F0"/>
    <w:rsid w:val="006E65DD"/>
    <w:rsid w:val="006E67E3"/>
    <w:rsid w:val="006E6C09"/>
    <w:rsid w:val="006E6C6D"/>
    <w:rsid w:val="006E6CDC"/>
    <w:rsid w:val="006E6D6B"/>
    <w:rsid w:val="006E6D72"/>
    <w:rsid w:val="006E6DF3"/>
    <w:rsid w:val="006E6E22"/>
    <w:rsid w:val="006E6E67"/>
    <w:rsid w:val="006E6FBB"/>
    <w:rsid w:val="006E73DC"/>
    <w:rsid w:val="006E74A4"/>
    <w:rsid w:val="006E74CE"/>
    <w:rsid w:val="006E75EE"/>
    <w:rsid w:val="006E76D2"/>
    <w:rsid w:val="006E774F"/>
    <w:rsid w:val="006E77BD"/>
    <w:rsid w:val="006E79D6"/>
    <w:rsid w:val="006E7A3B"/>
    <w:rsid w:val="006E7CC0"/>
    <w:rsid w:val="006E7DC1"/>
    <w:rsid w:val="006F01CC"/>
    <w:rsid w:val="006F057E"/>
    <w:rsid w:val="006F06A2"/>
    <w:rsid w:val="006F06BB"/>
    <w:rsid w:val="006F092B"/>
    <w:rsid w:val="006F0C2A"/>
    <w:rsid w:val="006F0CA5"/>
    <w:rsid w:val="006F0CF6"/>
    <w:rsid w:val="006F0E61"/>
    <w:rsid w:val="006F0F5F"/>
    <w:rsid w:val="006F1152"/>
    <w:rsid w:val="006F120D"/>
    <w:rsid w:val="006F13D5"/>
    <w:rsid w:val="006F13E7"/>
    <w:rsid w:val="006F14AC"/>
    <w:rsid w:val="006F16A2"/>
    <w:rsid w:val="006F19D4"/>
    <w:rsid w:val="006F1BAC"/>
    <w:rsid w:val="006F1D7F"/>
    <w:rsid w:val="006F1E01"/>
    <w:rsid w:val="006F2002"/>
    <w:rsid w:val="006F2034"/>
    <w:rsid w:val="006F2280"/>
    <w:rsid w:val="006F2492"/>
    <w:rsid w:val="006F25C1"/>
    <w:rsid w:val="006F27BE"/>
    <w:rsid w:val="006F291A"/>
    <w:rsid w:val="006F2A1D"/>
    <w:rsid w:val="006F2B2D"/>
    <w:rsid w:val="006F2B9E"/>
    <w:rsid w:val="006F2DBE"/>
    <w:rsid w:val="006F2E4E"/>
    <w:rsid w:val="006F3227"/>
    <w:rsid w:val="006F329E"/>
    <w:rsid w:val="006F362A"/>
    <w:rsid w:val="006F38CA"/>
    <w:rsid w:val="006F39A0"/>
    <w:rsid w:val="006F3A79"/>
    <w:rsid w:val="006F3BE5"/>
    <w:rsid w:val="006F3D89"/>
    <w:rsid w:val="006F3F0F"/>
    <w:rsid w:val="006F4082"/>
    <w:rsid w:val="006F4185"/>
    <w:rsid w:val="006F4235"/>
    <w:rsid w:val="006F4880"/>
    <w:rsid w:val="006F4896"/>
    <w:rsid w:val="006F48C1"/>
    <w:rsid w:val="006F4F53"/>
    <w:rsid w:val="006F5248"/>
    <w:rsid w:val="006F58A3"/>
    <w:rsid w:val="006F59E5"/>
    <w:rsid w:val="006F5C77"/>
    <w:rsid w:val="006F5E1F"/>
    <w:rsid w:val="006F5E4F"/>
    <w:rsid w:val="006F5E6A"/>
    <w:rsid w:val="006F5F7E"/>
    <w:rsid w:val="006F5FD2"/>
    <w:rsid w:val="006F60EE"/>
    <w:rsid w:val="006F616E"/>
    <w:rsid w:val="006F6288"/>
    <w:rsid w:val="006F6292"/>
    <w:rsid w:val="006F66F0"/>
    <w:rsid w:val="006F674B"/>
    <w:rsid w:val="006F69AB"/>
    <w:rsid w:val="006F6B1C"/>
    <w:rsid w:val="006F6B49"/>
    <w:rsid w:val="006F6BCE"/>
    <w:rsid w:val="006F6C58"/>
    <w:rsid w:val="006F6DD4"/>
    <w:rsid w:val="006F6E0F"/>
    <w:rsid w:val="006F6E8E"/>
    <w:rsid w:val="006F6FDF"/>
    <w:rsid w:val="006F701D"/>
    <w:rsid w:val="006F7023"/>
    <w:rsid w:val="006F70AE"/>
    <w:rsid w:val="006F74CA"/>
    <w:rsid w:val="006F76A6"/>
    <w:rsid w:val="006F76D6"/>
    <w:rsid w:val="006F7A9B"/>
    <w:rsid w:val="006F7ED1"/>
    <w:rsid w:val="006F7F1E"/>
    <w:rsid w:val="006F7F38"/>
    <w:rsid w:val="006F7F70"/>
    <w:rsid w:val="006F7FE2"/>
    <w:rsid w:val="0070063F"/>
    <w:rsid w:val="00700707"/>
    <w:rsid w:val="00700931"/>
    <w:rsid w:val="00700AD8"/>
    <w:rsid w:val="00700E50"/>
    <w:rsid w:val="00700ED4"/>
    <w:rsid w:val="00700F52"/>
    <w:rsid w:val="007012AA"/>
    <w:rsid w:val="007012EC"/>
    <w:rsid w:val="00701435"/>
    <w:rsid w:val="00701671"/>
    <w:rsid w:val="00701A36"/>
    <w:rsid w:val="00701D77"/>
    <w:rsid w:val="00701E30"/>
    <w:rsid w:val="00701EB0"/>
    <w:rsid w:val="00701EEF"/>
    <w:rsid w:val="00702042"/>
    <w:rsid w:val="0070220B"/>
    <w:rsid w:val="007024C2"/>
    <w:rsid w:val="00702549"/>
    <w:rsid w:val="00702BBB"/>
    <w:rsid w:val="00702D31"/>
    <w:rsid w:val="00702D7E"/>
    <w:rsid w:val="00702DE0"/>
    <w:rsid w:val="00702E02"/>
    <w:rsid w:val="00703044"/>
    <w:rsid w:val="00703079"/>
    <w:rsid w:val="00703097"/>
    <w:rsid w:val="00703337"/>
    <w:rsid w:val="00703390"/>
    <w:rsid w:val="0070339E"/>
    <w:rsid w:val="007036CD"/>
    <w:rsid w:val="00703852"/>
    <w:rsid w:val="00703916"/>
    <w:rsid w:val="00703A44"/>
    <w:rsid w:val="00703AAE"/>
    <w:rsid w:val="00703B16"/>
    <w:rsid w:val="00703BB7"/>
    <w:rsid w:val="00703BBF"/>
    <w:rsid w:val="00703BC5"/>
    <w:rsid w:val="00703D42"/>
    <w:rsid w:val="00703D5A"/>
    <w:rsid w:val="00703D5C"/>
    <w:rsid w:val="00703D77"/>
    <w:rsid w:val="00704024"/>
    <w:rsid w:val="0070409B"/>
    <w:rsid w:val="007040D3"/>
    <w:rsid w:val="007042BF"/>
    <w:rsid w:val="00704398"/>
    <w:rsid w:val="007046E8"/>
    <w:rsid w:val="00704836"/>
    <w:rsid w:val="00704862"/>
    <w:rsid w:val="00704A93"/>
    <w:rsid w:val="00704C90"/>
    <w:rsid w:val="00704CCA"/>
    <w:rsid w:val="00704D29"/>
    <w:rsid w:val="00704E4E"/>
    <w:rsid w:val="0070529F"/>
    <w:rsid w:val="007053C3"/>
    <w:rsid w:val="00705539"/>
    <w:rsid w:val="00705583"/>
    <w:rsid w:val="00705631"/>
    <w:rsid w:val="0070594E"/>
    <w:rsid w:val="007059E7"/>
    <w:rsid w:val="00705AC5"/>
    <w:rsid w:val="00705B0C"/>
    <w:rsid w:val="00705B8E"/>
    <w:rsid w:val="00705BD6"/>
    <w:rsid w:val="00705CDB"/>
    <w:rsid w:val="00705F86"/>
    <w:rsid w:val="00705F9C"/>
    <w:rsid w:val="00705FF4"/>
    <w:rsid w:val="0070608D"/>
    <w:rsid w:val="007061D3"/>
    <w:rsid w:val="00706249"/>
    <w:rsid w:val="007062CE"/>
    <w:rsid w:val="0070641C"/>
    <w:rsid w:val="007064EA"/>
    <w:rsid w:val="007065D1"/>
    <w:rsid w:val="0070664B"/>
    <w:rsid w:val="00706998"/>
    <w:rsid w:val="00706BC0"/>
    <w:rsid w:val="00706F91"/>
    <w:rsid w:val="00706FDA"/>
    <w:rsid w:val="007071F5"/>
    <w:rsid w:val="00707246"/>
    <w:rsid w:val="0070734F"/>
    <w:rsid w:val="0070743E"/>
    <w:rsid w:val="00707451"/>
    <w:rsid w:val="00707633"/>
    <w:rsid w:val="00707966"/>
    <w:rsid w:val="00707AEC"/>
    <w:rsid w:val="00707C1F"/>
    <w:rsid w:val="00707F90"/>
    <w:rsid w:val="00707FA2"/>
    <w:rsid w:val="00707FA6"/>
    <w:rsid w:val="00710271"/>
    <w:rsid w:val="007104D6"/>
    <w:rsid w:val="00710720"/>
    <w:rsid w:val="00710736"/>
    <w:rsid w:val="007107B3"/>
    <w:rsid w:val="00710986"/>
    <w:rsid w:val="00710EB1"/>
    <w:rsid w:val="00711057"/>
    <w:rsid w:val="00711308"/>
    <w:rsid w:val="00711340"/>
    <w:rsid w:val="007115BB"/>
    <w:rsid w:val="007116CB"/>
    <w:rsid w:val="00711977"/>
    <w:rsid w:val="007119F0"/>
    <w:rsid w:val="00711A6C"/>
    <w:rsid w:val="00711DB1"/>
    <w:rsid w:val="00712073"/>
    <w:rsid w:val="007121CD"/>
    <w:rsid w:val="007121D5"/>
    <w:rsid w:val="0071243D"/>
    <w:rsid w:val="00712489"/>
    <w:rsid w:val="00712611"/>
    <w:rsid w:val="00712648"/>
    <w:rsid w:val="007127DD"/>
    <w:rsid w:val="00712880"/>
    <w:rsid w:val="00712FFD"/>
    <w:rsid w:val="007131AD"/>
    <w:rsid w:val="007132C0"/>
    <w:rsid w:val="007133BF"/>
    <w:rsid w:val="007136C1"/>
    <w:rsid w:val="00713785"/>
    <w:rsid w:val="007137A4"/>
    <w:rsid w:val="0071383B"/>
    <w:rsid w:val="007139CD"/>
    <w:rsid w:val="00713A1E"/>
    <w:rsid w:val="00713C7A"/>
    <w:rsid w:val="00713D06"/>
    <w:rsid w:val="00713F70"/>
    <w:rsid w:val="00714018"/>
    <w:rsid w:val="007140A1"/>
    <w:rsid w:val="0071466C"/>
    <w:rsid w:val="00714822"/>
    <w:rsid w:val="0071486F"/>
    <w:rsid w:val="00714905"/>
    <w:rsid w:val="00714B70"/>
    <w:rsid w:val="00714D01"/>
    <w:rsid w:val="00715048"/>
    <w:rsid w:val="00715162"/>
    <w:rsid w:val="007152EA"/>
    <w:rsid w:val="007152FF"/>
    <w:rsid w:val="00715339"/>
    <w:rsid w:val="00715425"/>
    <w:rsid w:val="007154CB"/>
    <w:rsid w:val="0071553C"/>
    <w:rsid w:val="0071572D"/>
    <w:rsid w:val="007157FE"/>
    <w:rsid w:val="00715C8A"/>
    <w:rsid w:val="00715D52"/>
    <w:rsid w:val="00715E04"/>
    <w:rsid w:val="00716086"/>
    <w:rsid w:val="007160E7"/>
    <w:rsid w:val="007161A6"/>
    <w:rsid w:val="007161BB"/>
    <w:rsid w:val="0071622A"/>
    <w:rsid w:val="00716362"/>
    <w:rsid w:val="007163E7"/>
    <w:rsid w:val="00716583"/>
    <w:rsid w:val="00716650"/>
    <w:rsid w:val="0071673A"/>
    <w:rsid w:val="00716873"/>
    <w:rsid w:val="00716995"/>
    <w:rsid w:val="00716A77"/>
    <w:rsid w:val="00716C87"/>
    <w:rsid w:val="00716DF3"/>
    <w:rsid w:val="00716EE2"/>
    <w:rsid w:val="00716FC5"/>
    <w:rsid w:val="00717047"/>
    <w:rsid w:val="007170C5"/>
    <w:rsid w:val="007171EF"/>
    <w:rsid w:val="007171F0"/>
    <w:rsid w:val="0071733F"/>
    <w:rsid w:val="00717C02"/>
    <w:rsid w:val="00717C91"/>
    <w:rsid w:val="007201E5"/>
    <w:rsid w:val="00720324"/>
    <w:rsid w:val="0072033D"/>
    <w:rsid w:val="0072038F"/>
    <w:rsid w:val="00720503"/>
    <w:rsid w:val="007205B4"/>
    <w:rsid w:val="00720605"/>
    <w:rsid w:val="0072079D"/>
    <w:rsid w:val="007208D6"/>
    <w:rsid w:val="00720954"/>
    <w:rsid w:val="00720F1C"/>
    <w:rsid w:val="00720FCD"/>
    <w:rsid w:val="007211B3"/>
    <w:rsid w:val="007212FA"/>
    <w:rsid w:val="007213BE"/>
    <w:rsid w:val="0072145F"/>
    <w:rsid w:val="00721469"/>
    <w:rsid w:val="00721476"/>
    <w:rsid w:val="007214DE"/>
    <w:rsid w:val="00721770"/>
    <w:rsid w:val="007217FB"/>
    <w:rsid w:val="007219FD"/>
    <w:rsid w:val="00721DDF"/>
    <w:rsid w:val="00721E0A"/>
    <w:rsid w:val="00721ED3"/>
    <w:rsid w:val="00722283"/>
    <w:rsid w:val="007222EC"/>
    <w:rsid w:val="00722351"/>
    <w:rsid w:val="00722609"/>
    <w:rsid w:val="007226B1"/>
    <w:rsid w:val="007226BB"/>
    <w:rsid w:val="00722B2A"/>
    <w:rsid w:val="00722B57"/>
    <w:rsid w:val="00722BCB"/>
    <w:rsid w:val="00722D83"/>
    <w:rsid w:val="00723054"/>
    <w:rsid w:val="00723180"/>
    <w:rsid w:val="0072357B"/>
    <w:rsid w:val="00723598"/>
    <w:rsid w:val="007235DA"/>
    <w:rsid w:val="007238A0"/>
    <w:rsid w:val="007238B4"/>
    <w:rsid w:val="007238BB"/>
    <w:rsid w:val="007239C9"/>
    <w:rsid w:val="007239F6"/>
    <w:rsid w:val="00723A17"/>
    <w:rsid w:val="00723A25"/>
    <w:rsid w:val="00723A3B"/>
    <w:rsid w:val="00723AFE"/>
    <w:rsid w:val="00723C4E"/>
    <w:rsid w:val="00723F87"/>
    <w:rsid w:val="007240F6"/>
    <w:rsid w:val="007241B6"/>
    <w:rsid w:val="00724406"/>
    <w:rsid w:val="007244A2"/>
    <w:rsid w:val="007244D1"/>
    <w:rsid w:val="00724A71"/>
    <w:rsid w:val="00724B2A"/>
    <w:rsid w:val="00724B4C"/>
    <w:rsid w:val="00724C0F"/>
    <w:rsid w:val="00724CA2"/>
    <w:rsid w:val="00724E11"/>
    <w:rsid w:val="00725096"/>
    <w:rsid w:val="0072520B"/>
    <w:rsid w:val="007252A7"/>
    <w:rsid w:val="007252CA"/>
    <w:rsid w:val="0072534A"/>
    <w:rsid w:val="00725A3D"/>
    <w:rsid w:val="00725ACA"/>
    <w:rsid w:val="00725AD2"/>
    <w:rsid w:val="00725BD0"/>
    <w:rsid w:val="00725D86"/>
    <w:rsid w:val="00725FF0"/>
    <w:rsid w:val="00726171"/>
    <w:rsid w:val="007261D7"/>
    <w:rsid w:val="007261FC"/>
    <w:rsid w:val="00726340"/>
    <w:rsid w:val="00726404"/>
    <w:rsid w:val="0072648B"/>
    <w:rsid w:val="00726604"/>
    <w:rsid w:val="00726C92"/>
    <w:rsid w:val="00726E98"/>
    <w:rsid w:val="007271AB"/>
    <w:rsid w:val="007277AD"/>
    <w:rsid w:val="007278D0"/>
    <w:rsid w:val="00727BFA"/>
    <w:rsid w:val="00727CB2"/>
    <w:rsid w:val="00727E4E"/>
    <w:rsid w:val="00727E84"/>
    <w:rsid w:val="00730000"/>
    <w:rsid w:val="00730181"/>
    <w:rsid w:val="007301AD"/>
    <w:rsid w:val="00730378"/>
    <w:rsid w:val="007304BB"/>
    <w:rsid w:val="007305C4"/>
    <w:rsid w:val="007306DD"/>
    <w:rsid w:val="007308D3"/>
    <w:rsid w:val="0073090B"/>
    <w:rsid w:val="00730997"/>
    <w:rsid w:val="007309B3"/>
    <w:rsid w:val="00730CA4"/>
    <w:rsid w:val="00730D5D"/>
    <w:rsid w:val="00730EC2"/>
    <w:rsid w:val="00731030"/>
    <w:rsid w:val="0073115B"/>
    <w:rsid w:val="0073116A"/>
    <w:rsid w:val="0073153E"/>
    <w:rsid w:val="00731563"/>
    <w:rsid w:val="00731BC1"/>
    <w:rsid w:val="00731BFF"/>
    <w:rsid w:val="00731C67"/>
    <w:rsid w:val="00731D19"/>
    <w:rsid w:val="00731DC5"/>
    <w:rsid w:val="007329B0"/>
    <w:rsid w:val="007329B8"/>
    <w:rsid w:val="007329C2"/>
    <w:rsid w:val="00732A9F"/>
    <w:rsid w:val="00732ABD"/>
    <w:rsid w:val="00732AC6"/>
    <w:rsid w:val="00732BA5"/>
    <w:rsid w:val="00732EA8"/>
    <w:rsid w:val="007330A4"/>
    <w:rsid w:val="00733374"/>
    <w:rsid w:val="007333D8"/>
    <w:rsid w:val="007333DC"/>
    <w:rsid w:val="0073348C"/>
    <w:rsid w:val="00733692"/>
    <w:rsid w:val="00733762"/>
    <w:rsid w:val="007337AC"/>
    <w:rsid w:val="007337DB"/>
    <w:rsid w:val="00733873"/>
    <w:rsid w:val="007339FA"/>
    <w:rsid w:val="00733DE3"/>
    <w:rsid w:val="0073416D"/>
    <w:rsid w:val="007343B2"/>
    <w:rsid w:val="007344B7"/>
    <w:rsid w:val="0073462A"/>
    <w:rsid w:val="00734653"/>
    <w:rsid w:val="00734844"/>
    <w:rsid w:val="00734908"/>
    <w:rsid w:val="007349C0"/>
    <w:rsid w:val="00734CF4"/>
    <w:rsid w:val="00734E78"/>
    <w:rsid w:val="007350A9"/>
    <w:rsid w:val="00735211"/>
    <w:rsid w:val="0073521E"/>
    <w:rsid w:val="00735258"/>
    <w:rsid w:val="007357EE"/>
    <w:rsid w:val="00735A14"/>
    <w:rsid w:val="00735A27"/>
    <w:rsid w:val="00735A69"/>
    <w:rsid w:val="00735D32"/>
    <w:rsid w:val="00735D5B"/>
    <w:rsid w:val="00735DD6"/>
    <w:rsid w:val="00735FB9"/>
    <w:rsid w:val="00736488"/>
    <w:rsid w:val="00736557"/>
    <w:rsid w:val="0073670A"/>
    <w:rsid w:val="00736739"/>
    <w:rsid w:val="00736990"/>
    <w:rsid w:val="007369FC"/>
    <w:rsid w:val="00736A7D"/>
    <w:rsid w:val="00736BBF"/>
    <w:rsid w:val="00736BD0"/>
    <w:rsid w:val="00736C13"/>
    <w:rsid w:val="00736C59"/>
    <w:rsid w:val="00736F71"/>
    <w:rsid w:val="00736FBD"/>
    <w:rsid w:val="0073713D"/>
    <w:rsid w:val="00737280"/>
    <w:rsid w:val="00737545"/>
    <w:rsid w:val="00737630"/>
    <w:rsid w:val="00737831"/>
    <w:rsid w:val="007378C7"/>
    <w:rsid w:val="007379F9"/>
    <w:rsid w:val="00737C51"/>
    <w:rsid w:val="00737D49"/>
    <w:rsid w:val="00737F74"/>
    <w:rsid w:val="007400A5"/>
    <w:rsid w:val="00740301"/>
    <w:rsid w:val="0074042D"/>
    <w:rsid w:val="00740588"/>
    <w:rsid w:val="00740DBB"/>
    <w:rsid w:val="00740EF0"/>
    <w:rsid w:val="0074102B"/>
    <w:rsid w:val="00741049"/>
    <w:rsid w:val="007410A9"/>
    <w:rsid w:val="0074136D"/>
    <w:rsid w:val="00741392"/>
    <w:rsid w:val="007413D7"/>
    <w:rsid w:val="007414F6"/>
    <w:rsid w:val="00741668"/>
    <w:rsid w:val="00741786"/>
    <w:rsid w:val="007417AD"/>
    <w:rsid w:val="007417E5"/>
    <w:rsid w:val="00741940"/>
    <w:rsid w:val="00741981"/>
    <w:rsid w:val="00741A0C"/>
    <w:rsid w:val="00741A3D"/>
    <w:rsid w:val="00741FD8"/>
    <w:rsid w:val="007420B7"/>
    <w:rsid w:val="007421E8"/>
    <w:rsid w:val="007423DC"/>
    <w:rsid w:val="0074252A"/>
    <w:rsid w:val="00742662"/>
    <w:rsid w:val="007428DE"/>
    <w:rsid w:val="00742A35"/>
    <w:rsid w:val="00742C40"/>
    <w:rsid w:val="00742C73"/>
    <w:rsid w:val="00742EE0"/>
    <w:rsid w:val="00742FC0"/>
    <w:rsid w:val="007430A0"/>
    <w:rsid w:val="007430A7"/>
    <w:rsid w:val="00743112"/>
    <w:rsid w:val="00743116"/>
    <w:rsid w:val="007435A0"/>
    <w:rsid w:val="0074366C"/>
    <w:rsid w:val="007436D2"/>
    <w:rsid w:val="00743D23"/>
    <w:rsid w:val="00743F53"/>
    <w:rsid w:val="00743F55"/>
    <w:rsid w:val="007441AE"/>
    <w:rsid w:val="007442F3"/>
    <w:rsid w:val="007443EE"/>
    <w:rsid w:val="0074455B"/>
    <w:rsid w:val="00744584"/>
    <w:rsid w:val="00744657"/>
    <w:rsid w:val="00744B0B"/>
    <w:rsid w:val="00745024"/>
    <w:rsid w:val="00745308"/>
    <w:rsid w:val="00745512"/>
    <w:rsid w:val="00745525"/>
    <w:rsid w:val="007455DF"/>
    <w:rsid w:val="00745751"/>
    <w:rsid w:val="00745796"/>
    <w:rsid w:val="007458D4"/>
    <w:rsid w:val="00745A18"/>
    <w:rsid w:val="00745B35"/>
    <w:rsid w:val="00745D31"/>
    <w:rsid w:val="00745E68"/>
    <w:rsid w:val="00745FA5"/>
    <w:rsid w:val="00746023"/>
    <w:rsid w:val="00746124"/>
    <w:rsid w:val="007463A2"/>
    <w:rsid w:val="007463F0"/>
    <w:rsid w:val="0074646E"/>
    <w:rsid w:val="0074697A"/>
    <w:rsid w:val="00746988"/>
    <w:rsid w:val="0074699F"/>
    <w:rsid w:val="00746C73"/>
    <w:rsid w:val="00746D86"/>
    <w:rsid w:val="00746DF6"/>
    <w:rsid w:val="00746E0A"/>
    <w:rsid w:val="00746ED2"/>
    <w:rsid w:val="00747136"/>
    <w:rsid w:val="00747433"/>
    <w:rsid w:val="00747465"/>
    <w:rsid w:val="007474DF"/>
    <w:rsid w:val="0074756D"/>
    <w:rsid w:val="00747663"/>
    <w:rsid w:val="007476B1"/>
    <w:rsid w:val="00747B7A"/>
    <w:rsid w:val="00747F39"/>
    <w:rsid w:val="007503C8"/>
    <w:rsid w:val="007504D8"/>
    <w:rsid w:val="00750521"/>
    <w:rsid w:val="007506DC"/>
    <w:rsid w:val="0075076C"/>
    <w:rsid w:val="0075080E"/>
    <w:rsid w:val="0075089D"/>
    <w:rsid w:val="00750A27"/>
    <w:rsid w:val="00750AAF"/>
    <w:rsid w:val="00750DE7"/>
    <w:rsid w:val="007510F2"/>
    <w:rsid w:val="00751233"/>
    <w:rsid w:val="007514C2"/>
    <w:rsid w:val="007515B8"/>
    <w:rsid w:val="0075168C"/>
    <w:rsid w:val="00751836"/>
    <w:rsid w:val="00751A39"/>
    <w:rsid w:val="007521ED"/>
    <w:rsid w:val="007524E8"/>
    <w:rsid w:val="007525AB"/>
    <w:rsid w:val="00752D53"/>
    <w:rsid w:val="00752F7B"/>
    <w:rsid w:val="00753061"/>
    <w:rsid w:val="00753117"/>
    <w:rsid w:val="007531AF"/>
    <w:rsid w:val="007531B1"/>
    <w:rsid w:val="007532AC"/>
    <w:rsid w:val="00753334"/>
    <w:rsid w:val="007534FD"/>
    <w:rsid w:val="007535C4"/>
    <w:rsid w:val="00753B4E"/>
    <w:rsid w:val="00753C09"/>
    <w:rsid w:val="00753DD3"/>
    <w:rsid w:val="00753ED2"/>
    <w:rsid w:val="00753EE3"/>
    <w:rsid w:val="00753FBA"/>
    <w:rsid w:val="00754002"/>
    <w:rsid w:val="007541C4"/>
    <w:rsid w:val="007543B8"/>
    <w:rsid w:val="0075446E"/>
    <w:rsid w:val="00754484"/>
    <w:rsid w:val="007544D3"/>
    <w:rsid w:val="00754700"/>
    <w:rsid w:val="00754861"/>
    <w:rsid w:val="0075491E"/>
    <w:rsid w:val="00754AA2"/>
    <w:rsid w:val="00754B54"/>
    <w:rsid w:val="00754C4E"/>
    <w:rsid w:val="00754DE4"/>
    <w:rsid w:val="00754ECF"/>
    <w:rsid w:val="007553B1"/>
    <w:rsid w:val="00755515"/>
    <w:rsid w:val="007557D7"/>
    <w:rsid w:val="007557D8"/>
    <w:rsid w:val="007558C9"/>
    <w:rsid w:val="00755C97"/>
    <w:rsid w:val="00756239"/>
    <w:rsid w:val="007563C1"/>
    <w:rsid w:val="00756439"/>
    <w:rsid w:val="0075643B"/>
    <w:rsid w:val="00756485"/>
    <w:rsid w:val="00756543"/>
    <w:rsid w:val="00756706"/>
    <w:rsid w:val="0075673A"/>
    <w:rsid w:val="00756AD1"/>
    <w:rsid w:val="00756CC0"/>
    <w:rsid w:val="00756F03"/>
    <w:rsid w:val="00756FC3"/>
    <w:rsid w:val="007570C2"/>
    <w:rsid w:val="007573F1"/>
    <w:rsid w:val="007574EF"/>
    <w:rsid w:val="00757595"/>
    <w:rsid w:val="0075768B"/>
    <w:rsid w:val="00757712"/>
    <w:rsid w:val="0075774C"/>
    <w:rsid w:val="0075775A"/>
    <w:rsid w:val="007579B0"/>
    <w:rsid w:val="00757A04"/>
    <w:rsid w:val="00757B2E"/>
    <w:rsid w:val="00757CEE"/>
    <w:rsid w:val="00757D94"/>
    <w:rsid w:val="00757DC9"/>
    <w:rsid w:val="00757F7A"/>
    <w:rsid w:val="00760083"/>
    <w:rsid w:val="00760103"/>
    <w:rsid w:val="007601BA"/>
    <w:rsid w:val="00760251"/>
    <w:rsid w:val="007602B2"/>
    <w:rsid w:val="007603C7"/>
    <w:rsid w:val="007605E1"/>
    <w:rsid w:val="00760780"/>
    <w:rsid w:val="00760988"/>
    <w:rsid w:val="00760C1F"/>
    <w:rsid w:val="00760E14"/>
    <w:rsid w:val="00760EC3"/>
    <w:rsid w:val="007612AE"/>
    <w:rsid w:val="007612E2"/>
    <w:rsid w:val="00761371"/>
    <w:rsid w:val="00761440"/>
    <w:rsid w:val="00761848"/>
    <w:rsid w:val="007618C1"/>
    <w:rsid w:val="00761A28"/>
    <w:rsid w:val="00761F80"/>
    <w:rsid w:val="00762055"/>
    <w:rsid w:val="00762081"/>
    <w:rsid w:val="007620EB"/>
    <w:rsid w:val="007621C6"/>
    <w:rsid w:val="0076232F"/>
    <w:rsid w:val="007624ED"/>
    <w:rsid w:val="00762590"/>
    <w:rsid w:val="00762599"/>
    <w:rsid w:val="007625E6"/>
    <w:rsid w:val="0076264D"/>
    <w:rsid w:val="00762703"/>
    <w:rsid w:val="00762EEA"/>
    <w:rsid w:val="00762F34"/>
    <w:rsid w:val="00762FD4"/>
    <w:rsid w:val="00763039"/>
    <w:rsid w:val="0076323D"/>
    <w:rsid w:val="00763680"/>
    <w:rsid w:val="0076387E"/>
    <w:rsid w:val="007638F1"/>
    <w:rsid w:val="00763ACB"/>
    <w:rsid w:val="00763C1D"/>
    <w:rsid w:val="00763CFC"/>
    <w:rsid w:val="00763E22"/>
    <w:rsid w:val="00763F85"/>
    <w:rsid w:val="007643BA"/>
    <w:rsid w:val="007643E1"/>
    <w:rsid w:val="007643FB"/>
    <w:rsid w:val="007644E0"/>
    <w:rsid w:val="00764528"/>
    <w:rsid w:val="00764722"/>
    <w:rsid w:val="0076478D"/>
    <w:rsid w:val="00764845"/>
    <w:rsid w:val="0076492B"/>
    <w:rsid w:val="00764A07"/>
    <w:rsid w:val="00764B83"/>
    <w:rsid w:val="00764BA5"/>
    <w:rsid w:val="00764BE9"/>
    <w:rsid w:val="00764D9B"/>
    <w:rsid w:val="00764E8C"/>
    <w:rsid w:val="007653DE"/>
    <w:rsid w:val="007655FA"/>
    <w:rsid w:val="00765743"/>
    <w:rsid w:val="0076584C"/>
    <w:rsid w:val="007658C1"/>
    <w:rsid w:val="0076598B"/>
    <w:rsid w:val="00765A1E"/>
    <w:rsid w:val="00765A7E"/>
    <w:rsid w:val="00765C4A"/>
    <w:rsid w:val="00765D2D"/>
    <w:rsid w:val="00765D36"/>
    <w:rsid w:val="00766DDA"/>
    <w:rsid w:val="007670EF"/>
    <w:rsid w:val="007674E2"/>
    <w:rsid w:val="00767910"/>
    <w:rsid w:val="00767ACE"/>
    <w:rsid w:val="00767B27"/>
    <w:rsid w:val="00767B44"/>
    <w:rsid w:val="00767C41"/>
    <w:rsid w:val="00767CD7"/>
    <w:rsid w:val="00767DFA"/>
    <w:rsid w:val="00767E5B"/>
    <w:rsid w:val="00770055"/>
    <w:rsid w:val="0077058C"/>
    <w:rsid w:val="007705B1"/>
    <w:rsid w:val="00770608"/>
    <w:rsid w:val="00770BC6"/>
    <w:rsid w:val="00770C2D"/>
    <w:rsid w:val="00770C89"/>
    <w:rsid w:val="00770CBA"/>
    <w:rsid w:val="00770F17"/>
    <w:rsid w:val="00770FFB"/>
    <w:rsid w:val="00771079"/>
    <w:rsid w:val="007713A4"/>
    <w:rsid w:val="0077140A"/>
    <w:rsid w:val="00771682"/>
    <w:rsid w:val="007716CF"/>
    <w:rsid w:val="007719A6"/>
    <w:rsid w:val="007719DF"/>
    <w:rsid w:val="00771CA6"/>
    <w:rsid w:val="00771D7D"/>
    <w:rsid w:val="00771E38"/>
    <w:rsid w:val="00771E3C"/>
    <w:rsid w:val="00771F2C"/>
    <w:rsid w:val="007720AA"/>
    <w:rsid w:val="00772234"/>
    <w:rsid w:val="007722A8"/>
    <w:rsid w:val="007723FA"/>
    <w:rsid w:val="00772883"/>
    <w:rsid w:val="00772BA4"/>
    <w:rsid w:val="00772E1F"/>
    <w:rsid w:val="00772E38"/>
    <w:rsid w:val="00772EAA"/>
    <w:rsid w:val="0077365C"/>
    <w:rsid w:val="007736D6"/>
    <w:rsid w:val="00773742"/>
    <w:rsid w:val="007737BE"/>
    <w:rsid w:val="00773DF2"/>
    <w:rsid w:val="00774077"/>
    <w:rsid w:val="0077410F"/>
    <w:rsid w:val="00774366"/>
    <w:rsid w:val="007745F0"/>
    <w:rsid w:val="00774632"/>
    <w:rsid w:val="00774669"/>
    <w:rsid w:val="00774799"/>
    <w:rsid w:val="0077488E"/>
    <w:rsid w:val="00774892"/>
    <w:rsid w:val="007748EA"/>
    <w:rsid w:val="00774B8D"/>
    <w:rsid w:val="00774C64"/>
    <w:rsid w:val="00774D0B"/>
    <w:rsid w:val="00774E84"/>
    <w:rsid w:val="007750F1"/>
    <w:rsid w:val="0077541B"/>
    <w:rsid w:val="007754C5"/>
    <w:rsid w:val="00775517"/>
    <w:rsid w:val="00775877"/>
    <w:rsid w:val="007758D9"/>
    <w:rsid w:val="0077592B"/>
    <w:rsid w:val="00775CEE"/>
    <w:rsid w:val="00775DD7"/>
    <w:rsid w:val="00775E4F"/>
    <w:rsid w:val="00775EA3"/>
    <w:rsid w:val="00775EEF"/>
    <w:rsid w:val="0077601B"/>
    <w:rsid w:val="00776065"/>
    <w:rsid w:val="0077629B"/>
    <w:rsid w:val="0077643E"/>
    <w:rsid w:val="00776514"/>
    <w:rsid w:val="0077652A"/>
    <w:rsid w:val="00776677"/>
    <w:rsid w:val="007768EF"/>
    <w:rsid w:val="00776B1B"/>
    <w:rsid w:val="00776CC8"/>
    <w:rsid w:val="00776E27"/>
    <w:rsid w:val="00776FA0"/>
    <w:rsid w:val="007771A2"/>
    <w:rsid w:val="007772BB"/>
    <w:rsid w:val="007776AD"/>
    <w:rsid w:val="007777A3"/>
    <w:rsid w:val="0077783B"/>
    <w:rsid w:val="00777886"/>
    <w:rsid w:val="007778BA"/>
    <w:rsid w:val="00777AB3"/>
    <w:rsid w:val="00777B94"/>
    <w:rsid w:val="00777D93"/>
    <w:rsid w:val="00777FD9"/>
    <w:rsid w:val="00780088"/>
    <w:rsid w:val="007800DA"/>
    <w:rsid w:val="00780251"/>
    <w:rsid w:val="0078027E"/>
    <w:rsid w:val="007802AB"/>
    <w:rsid w:val="00780337"/>
    <w:rsid w:val="0078045B"/>
    <w:rsid w:val="0078048D"/>
    <w:rsid w:val="00780699"/>
    <w:rsid w:val="007809A8"/>
    <w:rsid w:val="00780A1B"/>
    <w:rsid w:val="00780A1C"/>
    <w:rsid w:val="00780BED"/>
    <w:rsid w:val="00780DC1"/>
    <w:rsid w:val="00780F23"/>
    <w:rsid w:val="00781034"/>
    <w:rsid w:val="00781186"/>
    <w:rsid w:val="00781319"/>
    <w:rsid w:val="00781383"/>
    <w:rsid w:val="0078199E"/>
    <w:rsid w:val="00781AB4"/>
    <w:rsid w:val="00781AD7"/>
    <w:rsid w:val="00781B58"/>
    <w:rsid w:val="00781E8E"/>
    <w:rsid w:val="00781F3B"/>
    <w:rsid w:val="00781FB0"/>
    <w:rsid w:val="00782089"/>
    <w:rsid w:val="007820F8"/>
    <w:rsid w:val="0078222A"/>
    <w:rsid w:val="00782321"/>
    <w:rsid w:val="00782350"/>
    <w:rsid w:val="007824DC"/>
    <w:rsid w:val="00782587"/>
    <w:rsid w:val="00782805"/>
    <w:rsid w:val="0078299E"/>
    <w:rsid w:val="00782B8B"/>
    <w:rsid w:val="00782BB3"/>
    <w:rsid w:val="00782C42"/>
    <w:rsid w:val="00782E95"/>
    <w:rsid w:val="00782FFB"/>
    <w:rsid w:val="0078313B"/>
    <w:rsid w:val="0078353F"/>
    <w:rsid w:val="00783694"/>
    <w:rsid w:val="007836AF"/>
    <w:rsid w:val="0078380B"/>
    <w:rsid w:val="0078389C"/>
    <w:rsid w:val="007838C7"/>
    <w:rsid w:val="00783931"/>
    <w:rsid w:val="00783AFC"/>
    <w:rsid w:val="00783CB0"/>
    <w:rsid w:val="00783D60"/>
    <w:rsid w:val="00783D9E"/>
    <w:rsid w:val="00784269"/>
    <w:rsid w:val="007842DF"/>
    <w:rsid w:val="00784746"/>
    <w:rsid w:val="00784822"/>
    <w:rsid w:val="00784836"/>
    <w:rsid w:val="007849DE"/>
    <w:rsid w:val="00784B86"/>
    <w:rsid w:val="00784C4A"/>
    <w:rsid w:val="00784CBE"/>
    <w:rsid w:val="00784E9A"/>
    <w:rsid w:val="00784F35"/>
    <w:rsid w:val="00784F54"/>
    <w:rsid w:val="00785089"/>
    <w:rsid w:val="00785215"/>
    <w:rsid w:val="007856B3"/>
    <w:rsid w:val="00785974"/>
    <w:rsid w:val="0078597A"/>
    <w:rsid w:val="00785C4B"/>
    <w:rsid w:val="00785CF7"/>
    <w:rsid w:val="00785E50"/>
    <w:rsid w:val="00785F9E"/>
    <w:rsid w:val="00786580"/>
    <w:rsid w:val="00786634"/>
    <w:rsid w:val="00786870"/>
    <w:rsid w:val="00786934"/>
    <w:rsid w:val="00786A73"/>
    <w:rsid w:val="00786CC6"/>
    <w:rsid w:val="00786E17"/>
    <w:rsid w:val="00786EAF"/>
    <w:rsid w:val="00786EC4"/>
    <w:rsid w:val="00787071"/>
    <w:rsid w:val="007871A6"/>
    <w:rsid w:val="007871B4"/>
    <w:rsid w:val="0078761F"/>
    <w:rsid w:val="007876DB"/>
    <w:rsid w:val="00787704"/>
    <w:rsid w:val="007877E8"/>
    <w:rsid w:val="007877EE"/>
    <w:rsid w:val="007878C9"/>
    <w:rsid w:val="00787A2F"/>
    <w:rsid w:val="00787A81"/>
    <w:rsid w:val="00787AB3"/>
    <w:rsid w:val="00787BFD"/>
    <w:rsid w:val="00787F2A"/>
    <w:rsid w:val="00787F93"/>
    <w:rsid w:val="00787FF3"/>
    <w:rsid w:val="007902BF"/>
    <w:rsid w:val="007902E3"/>
    <w:rsid w:val="00790453"/>
    <w:rsid w:val="007906F6"/>
    <w:rsid w:val="0079093F"/>
    <w:rsid w:val="00790AD3"/>
    <w:rsid w:val="00790D0A"/>
    <w:rsid w:val="00790E19"/>
    <w:rsid w:val="00790F30"/>
    <w:rsid w:val="0079104C"/>
    <w:rsid w:val="00791079"/>
    <w:rsid w:val="0079171C"/>
    <w:rsid w:val="00791D43"/>
    <w:rsid w:val="00791DEE"/>
    <w:rsid w:val="00791E54"/>
    <w:rsid w:val="00791E80"/>
    <w:rsid w:val="00792194"/>
    <w:rsid w:val="00792324"/>
    <w:rsid w:val="0079235D"/>
    <w:rsid w:val="0079256E"/>
    <w:rsid w:val="00792603"/>
    <w:rsid w:val="0079268C"/>
    <w:rsid w:val="0079274D"/>
    <w:rsid w:val="00792777"/>
    <w:rsid w:val="00792820"/>
    <w:rsid w:val="0079282A"/>
    <w:rsid w:val="00792838"/>
    <w:rsid w:val="00792BE4"/>
    <w:rsid w:val="00792EBA"/>
    <w:rsid w:val="00792FD0"/>
    <w:rsid w:val="007932E9"/>
    <w:rsid w:val="00793317"/>
    <w:rsid w:val="00793335"/>
    <w:rsid w:val="0079336C"/>
    <w:rsid w:val="00793425"/>
    <w:rsid w:val="00793587"/>
    <w:rsid w:val="007935CA"/>
    <w:rsid w:val="007936C0"/>
    <w:rsid w:val="00793741"/>
    <w:rsid w:val="00793751"/>
    <w:rsid w:val="00793930"/>
    <w:rsid w:val="0079393E"/>
    <w:rsid w:val="007939F4"/>
    <w:rsid w:val="00793B74"/>
    <w:rsid w:val="00793C9C"/>
    <w:rsid w:val="00793D13"/>
    <w:rsid w:val="00793D87"/>
    <w:rsid w:val="007940C8"/>
    <w:rsid w:val="0079423A"/>
    <w:rsid w:val="00794317"/>
    <w:rsid w:val="007943C8"/>
    <w:rsid w:val="007944DB"/>
    <w:rsid w:val="00794552"/>
    <w:rsid w:val="007946D1"/>
    <w:rsid w:val="007947CF"/>
    <w:rsid w:val="0079488D"/>
    <w:rsid w:val="007949D5"/>
    <w:rsid w:val="00794AB7"/>
    <w:rsid w:val="00794EEB"/>
    <w:rsid w:val="00794F1D"/>
    <w:rsid w:val="00794F6B"/>
    <w:rsid w:val="0079516B"/>
    <w:rsid w:val="0079522D"/>
    <w:rsid w:val="007952DA"/>
    <w:rsid w:val="00795565"/>
    <w:rsid w:val="00795664"/>
    <w:rsid w:val="007956AC"/>
    <w:rsid w:val="00795784"/>
    <w:rsid w:val="007957A7"/>
    <w:rsid w:val="0079583E"/>
    <w:rsid w:val="007958A8"/>
    <w:rsid w:val="00795928"/>
    <w:rsid w:val="0079595E"/>
    <w:rsid w:val="00795970"/>
    <w:rsid w:val="0079597B"/>
    <w:rsid w:val="00795BA5"/>
    <w:rsid w:val="00795CE1"/>
    <w:rsid w:val="00795CE8"/>
    <w:rsid w:val="007961F4"/>
    <w:rsid w:val="00796231"/>
    <w:rsid w:val="007962A1"/>
    <w:rsid w:val="00796412"/>
    <w:rsid w:val="00796453"/>
    <w:rsid w:val="00796A66"/>
    <w:rsid w:val="00796ADD"/>
    <w:rsid w:val="00796B70"/>
    <w:rsid w:val="00796BA2"/>
    <w:rsid w:val="00796D19"/>
    <w:rsid w:val="00796E9B"/>
    <w:rsid w:val="00796FD9"/>
    <w:rsid w:val="0079708E"/>
    <w:rsid w:val="00797125"/>
    <w:rsid w:val="007972F0"/>
    <w:rsid w:val="007972F4"/>
    <w:rsid w:val="0079734B"/>
    <w:rsid w:val="00797409"/>
    <w:rsid w:val="00797444"/>
    <w:rsid w:val="00797472"/>
    <w:rsid w:val="00797475"/>
    <w:rsid w:val="00797755"/>
    <w:rsid w:val="007979E7"/>
    <w:rsid w:val="00797B17"/>
    <w:rsid w:val="00797CD2"/>
    <w:rsid w:val="00797CD6"/>
    <w:rsid w:val="00797D26"/>
    <w:rsid w:val="00797D36"/>
    <w:rsid w:val="00797F81"/>
    <w:rsid w:val="007A0110"/>
    <w:rsid w:val="007A0228"/>
    <w:rsid w:val="007A0519"/>
    <w:rsid w:val="007A0595"/>
    <w:rsid w:val="007A06FC"/>
    <w:rsid w:val="007A0787"/>
    <w:rsid w:val="007A07F2"/>
    <w:rsid w:val="007A09EF"/>
    <w:rsid w:val="007A0ACB"/>
    <w:rsid w:val="007A0E94"/>
    <w:rsid w:val="007A0FFD"/>
    <w:rsid w:val="007A10B8"/>
    <w:rsid w:val="007A114A"/>
    <w:rsid w:val="007A1375"/>
    <w:rsid w:val="007A139F"/>
    <w:rsid w:val="007A13D0"/>
    <w:rsid w:val="007A140E"/>
    <w:rsid w:val="007A14ED"/>
    <w:rsid w:val="007A156F"/>
    <w:rsid w:val="007A16C3"/>
    <w:rsid w:val="007A1A92"/>
    <w:rsid w:val="007A1CA1"/>
    <w:rsid w:val="007A1EA1"/>
    <w:rsid w:val="007A2075"/>
    <w:rsid w:val="007A21E3"/>
    <w:rsid w:val="007A231F"/>
    <w:rsid w:val="007A23BF"/>
    <w:rsid w:val="007A23CB"/>
    <w:rsid w:val="007A2437"/>
    <w:rsid w:val="007A2530"/>
    <w:rsid w:val="007A25E0"/>
    <w:rsid w:val="007A25EA"/>
    <w:rsid w:val="007A25FD"/>
    <w:rsid w:val="007A2941"/>
    <w:rsid w:val="007A297C"/>
    <w:rsid w:val="007A29E4"/>
    <w:rsid w:val="007A2DB0"/>
    <w:rsid w:val="007A2E02"/>
    <w:rsid w:val="007A2E8C"/>
    <w:rsid w:val="007A2EB7"/>
    <w:rsid w:val="007A2F5B"/>
    <w:rsid w:val="007A351D"/>
    <w:rsid w:val="007A372E"/>
    <w:rsid w:val="007A37C4"/>
    <w:rsid w:val="007A37FC"/>
    <w:rsid w:val="007A3891"/>
    <w:rsid w:val="007A394C"/>
    <w:rsid w:val="007A3A38"/>
    <w:rsid w:val="007A3AFF"/>
    <w:rsid w:val="007A3D00"/>
    <w:rsid w:val="007A3E65"/>
    <w:rsid w:val="007A3F2E"/>
    <w:rsid w:val="007A40DB"/>
    <w:rsid w:val="007A4109"/>
    <w:rsid w:val="007A4167"/>
    <w:rsid w:val="007A4310"/>
    <w:rsid w:val="007A43B9"/>
    <w:rsid w:val="007A441D"/>
    <w:rsid w:val="007A441F"/>
    <w:rsid w:val="007A45E5"/>
    <w:rsid w:val="007A495A"/>
    <w:rsid w:val="007A4A05"/>
    <w:rsid w:val="007A4EA1"/>
    <w:rsid w:val="007A4F62"/>
    <w:rsid w:val="007A5096"/>
    <w:rsid w:val="007A5321"/>
    <w:rsid w:val="007A55C8"/>
    <w:rsid w:val="007A55D8"/>
    <w:rsid w:val="007A5668"/>
    <w:rsid w:val="007A58CB"/>
    <w:rsid w:val="007A59C4"/>
    <w:rsid w:val="007A5AAA"/>
    <w:rsid w:val="007A5AEB"/>
    <w:rsid w:val="007A5C88"/>
    <w:rsid w:val="007A5F10"/>
    <w:rsid w:val="007A6126"/>
    <w:rsid w:val="007A6322"/>
    <w:rsid w:val="007A6362"/>
    <w:rsid w:val="007A63B8"/>
    <w:rsid w:val="007A72CE"/>
    <w:rsid w:val="007A7308"/>
    <w:rsid w:val="007A7368"/>
    <w:rsid w:val="007A7465"/>
    <w:rsid w:val="007A748F"/>
    <w:rsid w:val="007A75EB"/>
    <w:rsid w:val="007A76C9"/>
    <w:rsid w:val="007A7CA7"/>
    <w:rsid w:val="007A7CCA"/>
    <w:rsid w:val="007A7E99"/>
    <w:rsid w:val="007A7FA0"/>
    <w:rsid w:val="007B009A"/>
    <w:rsid w:val="007B0136"/>
    <w:rsid w:val="007B0179"/>
    <w:rsid w:val="007B01D2"/>
    <w:rsid w:val="007B02B5"/>
    <w:rsid w:val="007B0318"/>
    <w:rsid w:val="007B03E4"/>
    <w:rsid w:val="007B04C2"/>
    <w:rsid w:val="007B05A7"/>
    <w:rsid w:val="007B061A"/>
    <w:rsid w:val="007B0689"/>
    <w:rsid w:val="007B0798"/>
    <w:rsid w:val="007B0AA6"/>
    <w:rsid w:val="007B0AAD"/>
    <w:rsid w:val="007B0AB2"/>
    <w:rsid w:val="007B0B4E"/>
    <w:rsid w:val="007B0B62"/>
    <w:rsid w:val="007B0C9E"/>
    <w:rsid w:val="007B0CA3"/>
    <w:rsid w:val="007B0D91"/>
    <w:rsid w:val="007B0DA1"/>
    <w:rsid w:val="007B0F4D"/>
    <w:rsid w:val="007B1101"/>
    <w:rsid w:val="007B116C"/>
    <w:rsid w:val="007B12A0"/>
    <w:rsid w:val="007B1312"/>
    <w:rsid w:val="007B145E"/>
    <w:rsid w:val="007B171D"/>
    <w:rsid w:val="007B1808"/>
    <w:rsid w:val="007B1895"/>
    <w:rsid w:val="007B1BD0"/>
    <w:rsid w:val="007B1CFD"/>
    <w:rsid w:val="007B20AB"/>
    <w:rsid w:val="007B2181"/>
    <w:rsid w:val="007B219E"/>
    <w:rsid w:val="007B2382"/>
    <w:rsid w:val="007B23AD"/>
    <w:rsid w:val="007B2430"/>
    <w:rsid w:val="007B260D"/>
    <w:rsid w:val="007B26E4"/>
    <w:rsid w:val="007B271B"/>
    <w:rsid w:val="007B27FB"/>
    <w:rsid w:val="007B28C2"/>
    <w:rsid w:val="007B296C"/>
    <w:rsid w:val="007B2A4C"/>
    <w:rsid w:val="007B2A4F"/>
    <w:rsid w:val="007B2B39"/>
    <w:rsid w:val="007B2BCE"/>
    <w:rsid w:val="007B2DED"/>
    <w:rsid w:val="007B2E0A"/>
    <w:rsid w:val="007B2F22"/>
    <w:rsid w:val="007B2F8C"/>
    <w:rsid w:val="007B301A"/>
    <w:rsid w:val="007B31CD"/>
    <w:rsid w:val="007B36DA"/>
    <w:rsid w:val="007B374D"/>
    <w:rsid w:val="007B3840"/>
    <w:rsid w:val="007B384C"/>
    <w:rsid w:val="007B39C8"/>
    <w:rsid w:val="007B3A06"/>
    <w:rsid w:val="007B3AD9"/>
    <w:rsid w:val="007B3C4D"/>
    <w:rsid w:val="007B3DAA"/>
    <w:rsid w:val="007B4061"/>
    <w:rsid w:val="007B412E"/>
    <w:rsid w:val="007B42EB"/>
    <w:rsid w:val="007B45B4"/>
    <w:rsid w:val="007B47D6"/>
    <w:rsid w:val="007B4852"/>
    <w:rsid w:val="007B49FA"/>
    <w:rsid w:val="007B4A17"/>
    <w:rsid w:val="007B4AF0"/>
    <w:rsid w:val="007B4C1A"/>
    <w:rsid w:val="007B4D05"/>
    <w:rsid w:val="007B4E13"/>
    <w:rsid w:val="007B4E32"/>
    <w:rsid w:val="007B5054"/>
    <w:rsid w:val="007B52CC"/>
    <w:rsid w:val="007B533E"/>
    <w:rsid w:val="007B55E3"/>
    <w:rsid w:val="007B5852"/>
    <w:rsid w:val="007B590D"/>
    <w:rsid w:val="007B593A"/>
    <w:rsid w:val="007B5AEB"/>
    <w:rsid w:val="007B5E62"/>
    <w:rsid w:val="007B5E93"/>
    <w:rsid w:val="007B5FE5"/>
    <w:rsid w:val="007B6037"/>
    <w:rsid w:val="007B6079"/>
    <w:rsid w:val="007B60FB"/>
    <w:rsid w:val="007B6371"/>
    <w:rsid w:val="007B6617"/>
    <w:rsid w:val="007B6691"/>
    <w:rsid w:val="007B67C5"/>
    <w:rsid w:val="007B6F61"/>
    <w:rsid w:val="007B7043"/>
    <w:rsid w:val="007B718F"/>
    <w:rsid w:val="007B7255"/>
    <w:rsid w:val="007B72A9"/>
    <w:rsid w:val="007B735A"/>
    <w:rsid w:val="007B735C"/>
    <w:rsid w:val="007B7518"/>
    <w:rsid w:val="007B760B"/>
    <w:rsid w:val="007B7623"/>
    <w:rsid w:val="007B76A7"/>
    <w:rsid w:val="007B7864"/>
    <w:rsid w:val="007B7CEE"/>
    <w:rsid w:val="007B7EAA"/>
    <w:rsid w:val="007B7FCF"/>
    <w:rsid w:val="007C021C"/>
    <w:rsid w:val="007C041A"/>
    <w:rsid w:val="007C06E4"/>
    <w:rsid w:val="007C0ADA"/>
    <w:rsid w:val="007C0C06"/>
    <w:rsid w:val="007C0CF2"/>
    <w:rsid w:val="007C0D83"/>
    <w:rsid w:val="007C0E95"/>
    <w:rsid w:val="007C1024"/>
    <w:rsid w:val="007C104E"/>
    <w:rsid w:val="007C1320"/>
    <w:rsid w:val="007C14BB"/>
    <w:rsid w:val="007C16B1"/>
    <w:rsid w:val="007C171E"/>
    <w:rsid w:val="007C1818"/>
    <w:rsid w:val="007C1A48"/>
    <w:rsid w:val="007C1B70"/>
    <w:rsid w:val="007C1C42"/>
    <w:rsid w:val="007C1DE4"/>
    <w:rsid w:val="007C1E39"/>
    <w:rsid w:val="007C233E"/>
    <w:rsid w:val="007C24B3"/>
    <w:rsid w:val="007C26F3"/>
    <w:rsid w:val="007C284C"/>
    <w:rsid w:val="007C28BF"/>
    <w:rsid w:val="007C29ED"/>
    <w:rsid w:val="007C2F4C"/>
    <w:rsid w:val="007C30B8"/>
    <w:rsid w:val="007C311C"/>
    <w:rsid w:val="007C31C3"/>
    <w:rsid w:val="007C3212"/>
    <w:rsid w:val="007C340E"/>
    <w:rsid w:val="007C35A3"/>
    <w:rsid w:val="007C36AA"/>
    <w:rsid w:val="007C3825"/>
    <w:rsid w:val="007C3CB7"/>
    <w:rsid w:val="007C3CDE"/>
    <w:rsid w:val="007C4101"/>
    <w:rsid w:val="007C416B"/>
    <w:rsid w:val="007C4313"/>
    <w:rsid w:val="007C44ED"/>
    <w:rsid w:val="007C46E3"/>
    <w:rsid w:val="007C4C5D"/>
    <w:rsid w:val="007C4CB8"/>
    <w:rsid w:val="007C4D3D"/>
    <w:rsid w:val="007C4E68"/>
    <w:rsid w:val="007C4ECF"/>
    <w:rsid w:val="007C54E5"/>
    <w:rsid w:val="007C55CD"/>
    <w:rsid w:val="007C5630"/>
    <w:rsid w:val="007C5811"/>
    <w:rsid w:val="007C58AA"/>
    <w:rsid w:val="007C590F"/>
    <w:rsid w:val="007C59D7"/>
    <w:rsid w:val="007C5CEA"/>
    <w:rsid w:val="007C5ECA"/>
    <w:rsid w:val="007C6072"/>
    <w:rsid w:val="007C61C8"/>
    <w:rsid w:val="007C6203"/>
    <w:rsid w:val="007C63E4"/>
    <w:rsid w:val="007C6635"/>
    <w:rsid w:val="007C6A52"/>
    <w:rsid w:val="007C6A55"/>
    <w:rsid w:val="007C6B40"/>
    <w:rsid w:val="007C6B8B"/>
    <w:rsid w:val="007C6C97"/>
    <w:rsid w:val="007C6E4A"/>
    <w:rsid w:val="007C7490"/>
    <w:rsid w:val="007C7645"/>
    <w:rsid w:val="007C76AA"/>
    <w:rsid w:val="007C776D"/>
    <w:rsid w:val="007C78A4"/>
    <w:rsid w:val="007C78FA"/>
    <w:rsid w:val="007C79B4"/>
    <w:rsid w:val="007C79C4"/>
    <w:rsid w:val="007C79CC"/>
    <w:rsid w:val="007C7A92"/>
    <w:rsid w:val="007C7B61"/>
    <w:rsid w:val="007C7D8F"/>
    <w:rsid w:val="007D0046"/>
    <w:rsid w:val="007D02AE"/>
    <w:rsid w:val="007D054D"/>
    <w:rsid w:val="007D0673"/>
    <w:rsid w:val="007D0826"/>
    <w:rsid w:val="007D099C"/>
    <w:rsid w:val="007D0DE0"/>
    <w:rsid w:val="007D0FEC"/>
    <w:rsid w:val="007D110A"/>
    <w:rsid w:val="007D116C"/>
    <w:rsid w:val="007D125C"/>
    <w:rsid w:val="007D158A"/>
    <w:rsid w:val="007D160F"/>
    <w:rsid w:val="007D18B6"/>
    <w:rsid w:val="007D1B73"/>
    <w:rsid w:val="007D1CD8"/>
    <w:rsid w:val="007D1D30"/>
    <w:rsid w:val="007D1D76"/>
    <w:rsid w:val="007D1DC2"/>
    <w:rsid w:val="007D1E80"/>
    <w:rsid w:val="007D2090"/>
    <w:rsid w:val="007D20EE"/>
    <w:rsid w:val="007D21F1"/>
    <w:rsid w:val="007D23A8"/>
    <w:rsid w:val="007D2440"/>
    <w:rsid w:val="007D2449"/>
    <w:rsid w:val="007D2658"/>
    <w:rsid w:val="007D2760"/>
    <w:rsid w:val="007D278A"/>
    <w:rsid w:val="007D279B"/>
    <w:rsid w:val="007D288F"/>
    <w:rsid w:val="007D29C8"/>
    <w:rsid w:val="007D2D63"/>
    <w:rsid w:val="007D2F74"/>
    <w:rsid w:val="007D3565"/>
    <w:rsid w:val="007D3607"/>
    <w:rsid w:val="007D3F01"/>
    <w:rsid w:val="007D404A"/>
    <w:rsid w:val="007D40CB"/>
    <w:rsid w:val="007D40FF"/>
    <w:rsid w:val="007D4199"/>
    <w:rsid w:val="007D4234"/>
    <w:rsid w:val="007D45FB"/>
    <w:rsid w:val="007D463E"/>
    <w:rsid w:val="007D480D"/>
    <w:rsid w:val="007D4BCE"/>
    <w:rsid w:val="007D4E98"/>
    <w:rsid w:val="007D4F58"/>
    <w:rsid w:val="007D5436"/>
    <w:rsid w:val="007D57B7"/>
    <w:rsid w:val="007D5A8C"/>
    <w:rsid w:val="007D5BEA"/>
    <w:rsid w:val="007D5C61"/>
    <w:rsid w:val="007D5D27"/>
    <w:rsid w:val="007D5D4C"/>
    <w:rsid w:val="007D5DA7"/>
    <w:rsid w:val="007D5E5F"/>
    <w:rsid w:val="007D5F78"/>
    <w:rsid w:val="007D606C"/>
    <w:rsid w:val="007D60D3"/>
    <w:rsid w:val="007D62FF"/>
    <w:rsid w:val="007D6301"/>
    <w:rsid w:val="007D658B"/>
    <w:rsid w:val="007D667B"/>
    <w:rsid w:val="007D66E6"/>
    <w:rsid w:val="007D6727"/>
    <w:rsid w:val="007D678B"/>
    <w:rsid w:val="007D67BA"/>
    <w:rsid w:val="007D6822"/>
    <w:rsid w:val="007D68E5"/>
    <w:rsid w:val="007D6AF3"/>
    <w:rsid w:val="007D6B35"/>
    <w:rsid w:val="007D6D2B"/>
    <w:rsid w:val="007D6F0B"/>
    <w:rsid w:val="007D6F48"/>
    <w:rsid w:val="007D6F9D"/>
    <w:rsid w:val="007D7075"/>
    <w:rsid w:val="007D7192"/>
    <w:rsid w:val="007D71B7"/>
    <w:rsid w:val="007D733B"/>
    <w:rsid w:val="007D73C5"/>
    <w:rsid w:val="007D74F6"/>
    <w:rsid w:val="007D7523"/>
    <w:rsid w:val="007D7635"/>
    <w:rsid w:val="007D771A"/>
    <w:rsid w:val="007D798B"/>
    <w:rsid w:val="007D7A57"/>
    <w:rsid w:val="007D7BB9"/>
    <w:rsid w:val="007D7CED"/>
    <w:rsid w:val="007D7ED0"/>
    <w:rsid w:val="007E00F5"/>
    <w:rsid w:val="007E02CA"/>
    <w:rsid w:val="007E0574"/>
    <w:rsid w:val="007E0917"/>
    <w:rsid w:val="007E0A81"/>
    <w:rsid w:val="007E0B53"/>
    <w:rsid w:val="007E0C17"/>
    <w:rsid w:val="007E0D11"/>
    <w:rsid w:val="007E0D4A"/>
    <w:rsid w:val="007E0D6A"/>
    <w:rsid w:val="007E0DD2"/>
    <w:rsid w:val="007E0FED"/>
    <w:rsid w:val="007E125A"/>
    <w:rsid w:val="007E127B"/>
    <w:rsid w:val="007E13CC"/>
    <w:rsid w:val="007E1754"/>
    <w:rsid w:val="007E1766"/>
    <w:rsid w:val="007E178D"/>
    <w:rsid w:val="007E17D5"/>
    <w:rsid w:val="007E198D"/>
    <w:rsid w:val="007E22D5"/>
    <w:rsid w:val="007E2326"/>
    <w:rsid w:val="007E271F"/>
    <w:rsid w:val="007E2776"/>
    <w:rsid w:val="007E27A2"/>
    <w:rsid w:val="007E2853"/>
    <w:rsid w:val="007E2854"/>
    <w:rsid w:val="007E2BA8"/>
    <w:rsid w:val="007E2C25"/>
    <w:rsid w:val="007E2FCC"/>
    <w:rsid w:val="007E301B"/>
    <w:rsid w:val="007E312A"/>
    <w:rsid w:val="007E3373"/>
    <w:rsid w:val="007E39F5"/>
    <w:rsid w:val="007E39FD"/>
    <w:rsid w:val="007E3AFE"/>
    <w:rsid w:val="007E3B11"/>
    <w:rsid w:val="007E3D4E"/>
    <w:rsid w:val="007E3DB7"/>
    <w:rsid w:val="007E3DF8"/>
    <w:rsid w:val="007E3E9B"/>
    <w:rsid w:val="007E44EC"/>
    <w:rsid w:val="007E45A3"/>
    <w:rsid w:val="007E47C4"/>
    <w:rsid w:val="007E482B"/>
    <w:rsid w:val="007E4852"/>
    <w:rsid w:val="007E49D8"/>
    <w:rsid w:val="007E4BF1"/>
    <w:rsid w:val="007E4C2F"/>
    <w:rsid w:val="007E4CDA"/>
    <w:rsid w:val="007E4D29"/>
    <w:rsid w:val="007E4F8F"/>
    <w:rsid w:val="007E5045"/>
    <w:rsid w:val="007E50F0"/>
    <w:rsid w:val="007E51E1"/>
    <w:rsid w:val="007E5224"/>
    <w:rsid w:val="007E52FE"/>
    <w:rsid w:val="007E532E"/>
    <w:rsid w:val="007E561C"/>
    <w:rsid w:val="007E577F"/>
    <w:rsid w:val="007E57A6"/>
    <w:rsid w:val="007E59BB"/>
    <w:rsid w:val="007E5C8A"/>
    <w:rsid w:val="007E5C91"/>
    <w:rsid w:val="007E5CEA"/>
    <w:rsid w:val="007E5E1D"/>
    <w:rsid w:val="007E5EA6"/>
    <w:rsid w:val="007E6436"/>
    <w:rsid w:val="007E6621"/>
    <w:rsid w:val="007E6721"/>
    <w:rsid w:val="007E67E9"/>
    <w:rsid w:val="007E6B9C"/>
    <w:rsid w:val="007E6C44"/>
    <w:rsid w:val="007E706B"/>
    <w:rsid w:val="007E707E"/>
    <w:rsid w:val="007E708E"/>
    <w:rsid w:val="007E726B"/>
    <w:rsid w:val="007E769C"/>
    <w:rsid w:val="007E77FC"/>
    <w:rsid w:val="007E78A8"/>
    <w:rsid w:val="007E7909"/>
    <w:rsid w:val="007E7B1C"/>
    <w:rsid w:val="007E7FA0"/>
    <w:rsid w:val="007F0494"/>
    <w:rsid w:val="007F053B"/>
    <w:rsid w:val="007F06CE"/>
    <w:rsid w:val="007F09BE"/>
    <w:rsid w:val="007F09C6"/>
    <w:rsid w:val="007F0A1C"/>
    <w:rsid w:val="007F0AA4"/>
    <w:rsid w:val="007F0B50"/>
    <w:rsid w:val="007F1009"/>
    <w:rsid w:val="007F1167"/>
    <w:rsid w:val="007F11BB"/>
    <w:rsid w:val="007F1243"/>
    <w:rsid w:val="007F1459"/>
    <w:rsid w:val="007F14CB"/>
    <w:rsid w:val="007F185E"/>
    <w:rsid w:val="007F1943"/>
    <w:rsid w:val="007F1BA1"/>
    <w:rsid w:val="007F1C35"/>
    <w:rsid w:val="007F1D50"/>
    <w:rsid w:val="007F1D6D"/>
    <w:rsid w:val="007F1E23"/>
    <w:rsid w:val="007F1EC4"/>
    <w:rsid w:val="007F1F40"/>
    <w:rsid w:val="007F230B"/>
    <w:rsid w:val="007F2389"/>
    <w:rsid w:val="007F244A"/>
    <w:rsid w:val="007F24C1"/>
    <w:rsid w:val="007F254F"/>
    <w:rsid w:val="007F2772"/>
    <w:rsid w:val="007F280E"/>
    <w:rsid w:val="007F2FBD"/>
    <w:rsid w:val="007F36A1"/>
    <w:rsid w:val="007F37F5"/>
    <w:rsid w:val="007F3901"/>
    <w:rsid w:val="007F39D9"/>
    <w:rsid w:val="007F3C5D"/>
    <w:rsid w:val="007F3F1E"/>
    <w:rsid w:val="007F3F61"/>
    <w:rsid w:val="007F4109"/>
    <w:rsid w:val="007F471E"/>
    <w:rsid w:val="007F482E"/>
    <w:rsid w:val="007F4A23"/>
    <w:rsid w:val="007F5145"/>
    <w:rsid w:val="007F5209"/>
    <w:rsid w:val="007F5221"/>
    <w:rsid w:val="007F524D"/>
    <w:rsid w:val="007F5307"/>
    <w:rsid w:val="007F55B7"/>
    <w:rsid w:val="007F5603"/>
    <w:rsid w:val="007F56CB"/>
    <w:rsid w:val="007F59D2"/>
    <w:rsid w:val="007F6536"/>
    <w:rsid w:val="007F67F5"/>
    <w:rsid w:val="007F68A4"/>
    <w:rsid w:val="007F68DF"/>
    <w:rsid w:val="007F6CD7"/>
    <w:rsid w:val="007F6E00"/>
    <w:rsid w:val="007F702C"/>
    <w:rsid w:val="007F7175"/>
    <w:rsid w:val="007F7318"/>
    <w:rsid w:val="007F76B9"/>
    <w:rsid w:val="007F76FD"/>
    <w:rsid w:val="007F7DC7"/>
    <w:rsid w:val="007F7E66"/>
    <w:rsid w:val="007F7E9D"/>
    <w:rsid w:val="0080000A"/>
    <w:rsid w:val="0080014A"/>
    <w:rsid w:val="00800211"/>
    <w:rsid w:val="008007A4"/>
    <w:rsid w:val="008008E4"/>
    <w:rsid w:val="00800AFF"/>
    <w:rsid w:val="00800EA1"/>
    <w:rsid w:val="00800EFC"/>
    <w:rsid w:val="00800F64"/>
    <w:rsid w:val="0080101D"/>
    <w:rsid w:val="00801125"/>
    <w:rsid w:val="00801246"/>
    <w:rsid w:val="00801396"/>
    <w:rsid w:val="008014B6"/>
    <w:rsid w:val="008015F1"/>
    <w:rsid w:val="0080178E"/>
    <w:rsid w:val="008019AC"/>
    <w:rsid w:val="00801AEB"/>
    <w:rsid w:val="00802100"/>
    <w:rsid w:val="008021D9"/>
    <w:rsid w:val="008022E6"/>
    <w:rsid w:val="008023C5"/>
    <w:rsid w:val="008025FE"/>
    <w:rsid w:val="0080267F"/>
    <w:rsid w:val="00802818"/>
    <w:rsid w:val="00802A35"/>
    <w:rsid w:val="00802AA1"/>
    <w:rsid w:val="00802BA7"/>
    <w:rsid w:val="00802BD7"/>
    <w:rsid w:val="00802D59"/>
    <w:rsid w:val="00802FD3"/>
    <w:rsid w:val="0080305C"/>
    <w:rsid w:val="0080309D"/>
    <w:rsid w:val="008030F8"/>
    <w:rsid w:val="008031A8"/>
    <w:rsid w:val="008032BE"/>
    <w:rsid w:val="0080331E"/>
    <w:rsid w:val="008036AB"/>
    <w:rsid w:val="00803783"/>
    <w:rsid w:val="00803843"/>
    <w:rsid w:val="00803856"/>
    <w:rsid w:val="0080385E"/>
    <w:rsid w:val="008038AA"/>
    <w:rsid w:val="00803949"/>
    <w:rsid w:val="00803A0E"/>
    <w:rsid w:val="00803AFF"/>
    <w:rsid w:val="00803BD6"/>
    <w:rsid w:val="00803C2C"/>
    <w:rsid w:val="00803D82"/>
    <w:rsid w:val="00803F34"/>
    <w:rsid w:val="00804133"/>
    <w:rsid w:val="00804320"/>
    <w:rsid w:val="0080448C"/>
    <w:rsid w:val="008045E3"/>
    <w:rsid w:val="00804880"/>
    <w:rsid w:val="008048E9"/>
    <w:rsid w:val="008049BB"/>
    <w:rsid w:val="00804B5E"/>
    <w:rsid w:val="00804B64"/>
    <w:rsid w:val="00804E79"/>
    <w:rsid w:val="00804EE2"/>
    <w:rsid w:val="008051AC"/>
    <w:rsid w:val="00805341"/>
    <w:rsid w:val="00805635"/>
    <w:rsid w:val="008056A1"/>
    <w:rsid w:val="008057A4"/>
    <w:rsid w:val="008058A8"/>
    <w:rsid w:val="008058BE"/>
    <w:rsid w:val="0080597B"/>
    <w:rsid w:val="00805B75"/>
    <w:rsid w:val="00805B81"/>
    <w:rsid w:val="00805F39"/>
    <w:rsid w:val="00805FCD"/>
    <w:rsid w:val="00805FFF"/>
    <w:rsid w:val="008060D8"/>
    <w:rsid w:val="00806248"/>
    <w:rsid w:val="0080656D"/>
    <w:rsid w:val="008065CF"/>
    <w:rsid w:val="008066F3"/>
    <w:rsid w:val="00806757"/>
    <w:rsid w:val="0080677E"/>
    <w:rsid w:val="00806789"/>
    <w:rsid w:val="008068BE"/>
    <w:rsid w:val="0080691A"/>
    <w:rsid w:val="008069FE"/>
    <w:rsid w:val="00806A0E"/>
    <w:rsid w:val="00806B9A"/>
    <w:rsid w:val="00806CC5"/>
    <w:rsid w:val="00806CEF"/>
    <w:rsid w:val="00806D82"/>
    <w:rsid w:val="0080785F"/>
    <w:rsid w:val="0080798F"/>
    <w:rsid w:val="00807BB3"/>
    <w:rsid w:val="00807C17"/>
    <w:rsid w:val="00807F71"/>
    <w:rsid w:val="00807F78"/>
    <w:rsid w:val="008104B1"/>
    <w:rsid w:val="008107CE"/>
    <w:rsid w:val="00810919"/>
    <w:rsid w:val="00810993"/>
    <w:rsid w:val="00810A2B"/>
    <w:rsid w:val="00810AA0"/>
    <w:rsid w:val="00810AB7"/>
    <w:rsid w:val="00810ADD"/>
    <w:rsid w:val="00810BC2"/>
    <w:rsid w:val="00810C06"/>
    <w:rsid w:val="00810C87"/>
    <w:rsid w:val="00810D54"/>
    <w:rsid w:val="00810E61"/>
    <w:rsid w:val="008110C0"/>
    <w:rsid w:val="00811508"/>
    <w:rsid w:val="00811551"/>
    <w:rsid w:val="00811594"/>
    <w:rsid w:val="008115AC"/>
    <w:rsid w:val="00811945"/>
    <w:rsid w:val="00811B27"/>
    <w:rsid w:val="00811D24"/>
    <w:rsid w:val="00811DFC"/>
    <w:rsid w:val="00811ECB"/>
    <w:rsid w:val="00811FF3"/>
    <w:rsid w:val="008121CF"/>
    <w:rsid w:val="008123C8"/>
    <w:rsid w:val="00812574"/>
    <w:rsid w:val="0081278A"/>
    <w:rsid w:val="00812A01"/>
    <w:rsid w:val="00812A29"/>
    <w:rsid w:val="00812AE3"/>
    <w:rsid w:val="00812AE4"/>
    <w:rsid w:val="00812F11"/>
    <w:rsid w:val="00813055"/>
    <w:rsid w:val="008130FC"/>
    <w:rsid w:val="0081310E"/>
    <w:rsid w:val="0081358B"/>
    <w:rsid w:val="008137F1"/>
    <w:rsid w:val="0081381B"/>
    <w:rsid w:val="0081387B"/>
    <w:rsid w:val="00813A18"/>
    <w:rsid w:val="00813B1F"/>
    <w:rsid w:val="00813BE6"/>
    <w:rsid w:val="00813FC2"/>
    <w:rsid w:val="008142EA"/>
    <w:rsid w:val="00814B73"/>
    <w:rsid w:val="00814CCC"/>
    <w:rsid w:val="008150BB"/>
    <w:rsid w:val="00815242"/>
    <w:rsid w:val="0081528D"/>
    <w:rsid w:val="0081531F"/>
    <w:rsid w:val="008155EE"/>
    <w:rsid w:val="008156FD"/>
    <w:rsid w:val="008159C7"/>
    <w:rsid w:val="00815BF8"/>
    <w:rsid w:val="00815C00"/>
    <w:rsid w:val="00815C21"/>
    <w:rsid w:val="00815C30"/>
    <w:rsid w:val="00815C95"/>
    <w:rsid w:val="00815D41"/>
    <w:rsid w:val="0081616F"/>
    <w:rsid w:val="008162E2"/>
    <w:rsid w:val="0081647F"/>
    <w:rsid w:val="008164CC"/>
    <w:rsid w:val="008166D1"/>
    <w:rsid w:val="008166EA"/>
    <w:rsid w:val="00816763"/>
    <w:rsid w:val="008167B4"/>
    <w:rsid w:val="008168D6"/>
    <w:rsid w:val="008169BE"/>
    <w:rsid w:val="00816DEC"/>
    <w:rsid w:val="008170EE"/>
    <w:rsid w:val="00817232"/>
    <w:rsid w:val="008174A4"/>
    <w:rsid w:val="00817564"/>
    <w:rsid w:val="008175EB"/>
    <w:rsid w:val="008176F3"/>
    <w:rsid w:val="0081774F"/>
    <w:rsid w:val="0081776E"/>
    <w:rsid w:val="008177D8"/>
    <w:rsid w:val="0081782A"/>
    <w:rsid w:val="00817A66"/>
    <w:rsid w:val="00820164"/>
    <w:rsid w:val="00820342"/>
    <w:rsid w:val="0082039B"/>
    <w:rsid w:val="008204AB"/>
    <w:rsid w:val="00820514"/>
    <w:rsid w:val="00820561"/>
    <w:rsid w:val="00820C71"/>
    <w:rsid w:val="00820D16"/>
    <w:rsid w:val="00820E0A"/>
    <w:rsid w:val="00820F1D"/>
    <w:rsid w:val="00820FF1"/>
    <w:rsid w:val="00821032"/>
    <w:rsid w:val="00821150"/>
    <w:rsid w:val="00821389"/>
    <w:rsid w:val="00821542"/>
    <w:rsid w:val="0082156A"/>
    <w:rsid w:val="00821795"/>
    <w:rsid w:val="008218BA"/>
    <w:rsid w:val="00821A26"/>
    <w:rsid w:val="00821DEB"/>
    <w:rsid w:val="00821EA2"/>
    <w:rsid w:val="0082264F"/>
    <w:rsid w:val="008227BD"/>
    <w:rsid w:val="008227DD"/>
    <w:rsid w:val="008227ED"/>
    <w:rsid w:val="00822819"/>
    <w:rsid w:val="00822941"/>
    <w:rsid w:val="00822BCD"/>
    <w:rsid w:val="00822E59"/>
    <w:rsid w:val="00822F49"/>
    <w:rsid w:val="00822FCC"/>
    <w:rsid w:val="0082307A"/>
    <w:rsid w:val="00823084"/>
    <w:rsid w:val="00823178"/>
    <w:rsid w:val="008231EF"/>
    <w:rsid w:val="0082349E"/>
    <w:rsid w:val="008234A3"/>
    <w:rsid w:val="00823830"/>
    <w:rsid w:val="00823993"/>
    <w:rsid w:val="0082399B"/>
    <w:rsid w:val="00823AF7"/>
    <w:rsid w:val="00823B7E"/>
    <w:rsid w:val="00823C9E"/>
    <w:rsid w:val="00823CAA"/>
    <w:rsid w:val="008240A9"/>
    <w:rsid w:val="008240F4"/>
    <w:rsid w:val="00824140"/>
    <w:rsid w:val="008241A3"/>
    <w:rsid w:val="008241BC"/>
    <w:rsid w:val="008241C4"/>
    <w:rsid w:val="0082421D"/>
    <w:rsid w:val="00824C74"/>
    <w:rsid w:val="00824C88"/>
    <w:rsid w:val="00824D13"/>
    <w:rsid w:val="00824D2E"/>
    <w:rsid w:val="00824E39"/>
    <w:rsid w:val="00824F03"/>
    <w:rsid w:val="00824F20"/>
    <w:rsid w:val="008254DC"/>
    <w:rsid w:val="0082554F"/>
    <w:rsid w:val="008255BB"/>
    <w:rsid w:val="008256A7"/>
    <w:rsid w:val="00825927"/>
    <w:rsid w:val="008259E7"/>
    <w:rsid w:val="00825D3E"/>
    <w:rsid w:val="00825EE7"/>
    <w:rsid w:val="00825F10"/>
    <w:rsid w:val="00825F91"/>
    <w:rsid w:val="00825FEA"/>
    <w:rsid w:val="008268A3"/>
    <w:rsid w:val="008268C5"/>
    <w:rsid w:val="008268FF"/>
    <w:rsid w:val="0082694E"/>
    <w:rsid w:val="008269E3"/>
    <w:rsid w:val="00826ECE"/>
    <w:rsid w:val="008271E7"/>
    <w:rsid w:val="00827249"/>
    <w:rsid w:val="008278B1"/>
    <w:rsid w:val="0083047F"/>
    <w:rsid w:val="00830764"/>
    <w:rsid w:val="00830949"/>
    <w:rsid w:val="0083095F"/>
    <w:rsid w:val="00830B92"/>
    <w:rsid w:val="00830BD6"/>
    <w:rsid w:val="00830F1F"/>
    <w:rsid w:val="00830FEB"/>
    <w:rsid w:val="00831247"/>
    <w:rsid w:val="008312CD"/>
    <w:rsid w:val="00831445"/>
    <w:rsid w:val="00831585"/>
    <w:rsid w:val="00831839"/>
    <w:rsid w:val="00831867"/>
    <w:rsid w:val="00831B12"/>
    <w:rsid w:val="00831B2F"/>
    <w:rsid w:val="00831B45"/>
    <w:rsid w:val="00831D0D"/>
    <w:rsid w:val="00831D29"/>
    <w:rsid w:val="00831D8D"/>
    <w:rsid w:val="00832052"/>
    <w:rsid w:val="00832131"/>
    <w:rsid w:val="00832352"/>
    <w:rsid w:val="008324A8"/>
    <w:rsid w:val="008324CD"/>
    <w:rsid w:val="00832AD1"/>
    <w:rsid w:val="00832B3E"/>
    <w:rsid w:val="00832CE3"/>
    <w:rsid w:val="00832EFD"/>
    <w:rsid w:val="008332AF"/>
    <w:rsid w:val="00833302"/>
    <w:rsid w:val="00833663"/>
    <w:rsid w:val="008336F1"/>
    <w:rsid w:val="00833986"/>
    <w:rsid w:val="00833A33"/>
    <w:rsid w:val="00833B54"/>
    <w:rsid w:val="00833EA1"/>
    <w:rsid w:val="00833F74"/>
    <w:rsid w:val="0083414A"/>
    <w:rsid w:val="0083416A"/>
    <w:rsid w:val="0083457B"/>
    <w:rsid w:val="008345DE"/>
    <w:rsid w:val="00834628"/>
    <w:rsid w:val="0083471D"/>
    <w:rsid w:val="008347F2"/>
    <w:rsid w:val="008347FD"/>
    <w:rsid w:val="008349D3"/>
    <w:rsid w:val="008349F1"/>
    <w:rsid w:val="00834C45"/>
    <w:rsid w:val="00834CF8"/>
    <w:rsid w:val="00834E8E"/>
    <w:rsid w:val="00834FA5"/>
    <w:rsid w:val="0083500E"/>
    <w:rsid w:val="00835020"/>
    <w:rsid w:val="00835068"/>
    <w:rsid w:val="008351AF"/>
    <w:rsid w:val="00835288"/>
    <w:rsid w:val="008352E3"/>
    <w:rsid w:val="00835328"/>
    <w:rsid w:val="0083534C"/>
    <w:rsid w:val="00835715"/>
    <w:rsid w:val="00835820"/>
    <w:rsid w:val="008359CF"/>
    <w:rsid w:val="00835F1D"/>
    <w:rsid w:val="00835FEC"/>
    <w:rsid w:val="00836090"/>
    <w:rsid w:val="00836150"/>
    <w:rsid w:val="0083623D"/>
    <w:rsid w:val="00836270"/>
    <w:rsid w:val="00836378"/>
    <w:rsid w:val="00836439"/>
    <w:rsid w:val="008365EA"/>
    <w:rsid w:val="00836A5C"/>
    <w:rsid w:val="00836B13"/>
    <w:rsid w:val="00836B9C"/>
    <w:rsid w:val="00836BF9"/>
    <w:rsid w:val="00836EAC"/>
    <w:rsid w:val="00837090"/>
    <w:rsid w:val="00837342"/>
    <w:rsid w:val="008374F6"/>
    <w:rsid w:val="0083755E"/>
    <w:rsid w:val="008375D5"/>
    <w:rsid w:val="00837638"/>
    <w:rsid w:val="00837942"/>
    <w:rsid w:val="00837967"/>
    <w:rsid w:val="00837F04"/>
    <w:rsid w:val="00840831"/>
    <w:rsid w:val="0084088D"/>
    <w:rsid w:val="008409C3"/>
    <w:rsid w:val="00840BD4"/>
    <w:rsid w:val="0084103A"/>
    <w:rsid w:val="008412A3"/>
    <w:rsid w:val="00841385"/>
    <w:rsid w:val="008413CC"/>
    <w:rsid w:val="0084140F"/>
    <w:rsid w:val="00841420"/>
    <w:rsid w:val="0084166A"/>
    <w:rsid w:val="008416AD"/>
    <w:rsid w:val="0084175F"/>
    <w:rsid w:val="0084187A"/>
    <w:rsid w:val="008418D6"/>
    <w:rsid w:val="0084193C"/>
    <w:rsid w:val="00841D00"/>
    <w:rsid w:val="00841EA3"/>
    <w:rsid w:val="00841EF6"/>
    <w:rsid w:val="00841F40"/>
    <w:rsid w:val="0084221B"/>
    <w:rsid w:val="00842284"/>
    <w:rsid w:val="00842311"/>
    <w:rsid w:val="008423F7"/>
    <w:rsid w:val="008424D0"/>
    <w:rsid w:val="008424E0"/>
    <w:rsid w:val="008424F3"/>
    <w:rsid w:val="0084266F"/>
    <w:rsid w:val="0084281B"/>
    <w:rsid w:val="0084292F"/>
    <w:rsid w:val="00842D91"/>
    <w:rsid w:val="008430DB"/>
    <w:rsid w:val="00843308"/>
    <w:rsid w:val="008436F3"/>
    <w:rsid w:val="00843750"/>
    <w:rsid w:val="00843DA7"/>
    <w:rsid w:val="00843E11"/>
    <w:rsid w:val="00843E79"/>
    <w:rsid w:val="00843EDA"/>
    <w:rsid w:val="00843F48"/>
    <w:rsid w:val="00843FE1"/>
    <w:rsid w:val="00843FEB"/>
    <w:rsid w:val="00844033"/>
    <w:rsid w:val="00844133"/>
    <w:rsid w:val="00844253"/>
    <w:rsid w:val="008443F3"/>
    <w:rsid w:val="00844481"/>
    <w:rsid w:val="0084454B"/>
    <w:rsid w:val="00844679"/>
    <w:rsid w:val="008447B8"/>
    <w:rsid w:val="00844804"/>
    <w:rsid w:val="00844854"/>
    <w:rsid w:val="00844912"/>
    <w:rsid w:val="008449F8"/>
    <w:rsid w:val="00844A0D"/>
    <w:rsid w:val="00844D22"/>
    <w:rsid w:val="00844D76"/>
    <w:rsid w:val="00844E3A"/>
    <w:rsid w:val="008450AE"/>
    <w:rsid w:val="008453E0"/>
    <w:rsid w:val="008455F6"/>
    <w:rsid w:val="00845660"/>
    <w:rsid w:val="0084569C"/>
    <w:rsid w:val="00845713"/>
    <w:rsid w:val="008459C4"/>
    <w:rsid w:val="008459FF"/>
    <w:rsid w:val="00845AB5"/>
    <w:rsid w:val="00845C04"/>
    <w:rsid w:val="00845DBE"/>
    <w:rsid w:val="00845DEF"/>
    <w:rsid w:val="00845E22"/>
    <w:rsid w:val="0084630F"/>
    <w:rsid w:val="008463A2"/>
    <w:rsid w:val="008464C8"/>
    <w:rsid w:val="008464CD"/>
    <w:rsid w:val="00846603"/>
    <w:rsid w:val="00846886"/>
    <w:rsid w:val="008469B5"/>
    <w:rsid w:val="00846AB6"/>
    <w:rsid w:val="00846AEF"/>
    <w:rsid w:val="00846C2E"/>
    <w:rsid w:val="00846CBD"/>
    <w:rsid w:val="00846CF5"/>
    <w:rsid w:val="00846D9D"/>
    <w:rsid w:val="00846DA8"/>
    <w:rsid w:val="008471F6"/>
    <w:rsid w:val="0084740F"/>
    <w:rsid w:val="0084775A"/>
    <w:rsid w:val="00847B69"/>
    <w:rsid w:val="00847BE8"/>
    <w:rsid w:val="00847F83"/>
    <w:rsid w:val="008500EF"/>
    <w:rsid w:val="0085026C"/>
    <w:rsid w:val="0085065E"/>
    <w:rsid w:val="0085066B"/>
    <w:rsid w:val="00850911"/>
    <w:rsid w:val="00850A36"/>
    <w:rsid w:val="00850A57"/>
    <w:rsid w:val="00850ACA"/>
    <w:rsid w:val="00850BF8"/>
    <w:rsid w:val="00850C6E"/>
    <w:rsid w:val="00850D34"/>
    <w:rsid w:val="008510AB"/>
    <w:rsid w:val="00851255"/>
    <w:rsid w:val="0085130A"/>
    <w:rsid w:val="0085134A"/>
    <w:rsid w:val="008516A7"/>
    <w:rsid w:val="00851B6E"/>
    <w:rsid w:val="00851B86"/>
    <w:rsid w:val="00851BB8"/>
    <w:rsid w:val="00851D4F"/>
    <w:rsid w:val="00851E80"/>
    <w:rsid w:val="00851E84"/>
    <w:rsid w:val="0085203A"/>
    <w:rsid w:val="008524DA"/>
    <w:rsid w:val="008526FF"/>
    <w:rsid w:val="008528CC"/>
    <w:rsid w:val="00852971"/>
    <w:rsid w:val="00852CA2"/>
    <w:rsid w:val="0085311E"/>
    <w:rsid w:val="008532C0"/>
    <w:rsid w:val="00853344"/>
    <w:rsid w:val="008535DB"/>
    <w:rsid w:val="00853AA7"/>
    <w:rsid w:val="00853BD3"/>
    <w:rsid w:val="00853C91"/>
    <w:rsid w:val="00853EA7"/>
    <w:rsid w:val="00853EB5"/>
    <w:rsid w:val="008540DD"/>
    <w:rsid w:val="00854308"/>
    <w:rsid w:val="00854360"/>
    <w:rsid w:val="00854503"/>
    <w:rsid w:val="008545A5"/>
    <w:rsid w:val="008545CF"/>
    <w:rsid w:val="00854A5A"/>
    <w:rsid w:val="00854A8E"/>
    <w:rsid w:val="00854CF6"/>
    <w:rsid w:val="00854ECC"/>
    <w:rsid w:val="00854F72"/>
    <w:rsid w:val="0085518C"/>
    <w:rsid w:val="008551C8"/>
    <w:rsid w:val="00855214"/>
    <w:rsid w:val="00855284"/>
    <w:rsid w:val="008554CE"/>
    <w:rsid w:val="008554EF"/>
    <w:rsid w:val="008555E7"/>
    <w:rsid w:val="008557B6"/>
    <w:rsid w:val="0085582D"/>
    <w:rsid w:val="008558C5"/>
    <w:rsid w:val="00855ACC"/>
    <w:rsid w:val="00855AFD"/>
    <w:rsid w:val="00855B90"/>
    <w:rsid w:val="00855D4F"/>
    <w:rsid w:val="00855F75"/>
    <w:rsid w:val="00855FFC"/>
    <w:rsid w:val="00856196"/>
    <w:rsid w:val="008561E0"/>
    <w:rsid w:val="00856425"/>
    <w:rsid w:val="008564AE"/>
    <w:rsid w:val="008565BE"/>
    <w:rsid w:val="00856A49"/>
    <w:rsid w:val="00856AE6"/>
    <w:rsid w:val="00856BFF"/>
    <w:rsid w:val="00856C04"/>
    <w:rsid w:val="00856D82"/>
    <w:rsid w:val="00856E4C"/>
    <w:rsid w:val="0085722C"/>
    <w:rsid w:val="00857243"/>
    <w:rsid w:val="0085735B"/>
    <w:rsid w:val="00857573"/>
    <w:rsid w:val="00857A0A"/>
    <w:rsid w:val="00857D86"/>
    <w:rsid w:val="00857E64"/>
    <w:rsid w:val="00857FF0"/>
    <w:rsid w:val="0086013C"/>
    <w:rsid w:val="008601B7"/>
    <w:rsid w:val="0086024B"/>
    <w:rsid w:val="0086026B"/>
    <w:rsid w:val="008604DA"/>
    <w:rsid w:val="00860992"/>
    <w:rsid w:val="00861080"/>
    <w:rsid w:val="0086108A"/>
    <w:rsid w:val="008610C1"/>
    <w:rsid w:val="008619BD"/>
    <w:rsid w:val="008619F6"/>
    <w:rsid w:val="00861B80"/>
    <w:rsid w:val="0086234F"/>
    <w:rsid w:val="00862527"/>
    <w:rsid w:val="00862536"/>
    <w:rsid w:val="00862592"/>
    <w:rsid w:val="008625CE"/>
    <w:rsid w:val="0086287D"/>
    <w:rsid w:val="00862AF1"/>
    <w:rsid w:val="00862B98"/>
    <w:rsid w:val="00862BCE"/>
    <w:rsid w:val="00862C0D"/>
    <w:rsid w:val="00862E4D"/>
    <w:rsid w:val="00863141"/>
    <w:rsid w:val="00863225"/>
    <w:rsid w:val="00863334"/>
    <w:rsid w:val="00863480"/>
    <w:rsid w:val="008635A0"/>
    <w:rsid w:val="008635B1"/>
    <w:rsid w:val="0086394F"/>
    <w:rsid w:val="00863A17"/>
    <w:rsid w:val="00863A43"/>
    <w:rsid w:val="00863DAC"/>
    <w:rsid w:val="00863E0B"/>
    <w:rsid w:val="00864019"/>
    <w:rsid w:val="008642E2"/>
    <w:rsid w:val="00864303"/>
    <w:rsid w:val="0086439F"/>
    <w:rsid w:val="00864473"/>
    <w:rsid w:val="008645FC"/>
    <w:rsid w:val="00864702"/>
    <w:rsid w:val="00864728"/>
    <w:rsid w:val="00864934"/>
    <w:rsid w:val="00864A0A"/>
    <w:rsid w:val="00864B0D"/>
    <w:rsid w:val="00864ED6"/>
    <w:rsid w:val="00864F27"/>
    <w:rsid w:val="00865292"/>
    <w:rsid w:val="0086558B"/>
    <w:rsid w:val="00865673"/>
    <w:rsid w:val="00865740"/>
    <w:rsid w:val="0086583D"/>
    <w:rsid w:val="00865986"/>
    <w:rsid w:val="00865B74"/>
    <w:rsid w:val="00865E32"/>
    <w:rsid w:val="0086604A"/>
    <w:rsid w:val="008660E4"/>
    <w:rsid w:val="0086634C"/>
    <w:rsid w:val="0086638A"/>
    <w:rsid w:val="00866642"/>
    <w:rsid w:val="00866824"/>
    <w:rsid w:val="008669A1"/>
    <w:rsid w:val="00866BA2"/>
    <w:rsid w:val="00866C39"/>
    <w:rsid w:val="008671FE"/>
    <w:rsid w:val="008673C4"/>
    <w:rsid w:val="008673DB"/>
    <w:rsid w:val="008676CE"/>
    <w:rsid w:val="008678BD"/>
    <w:rsid w:val="008679F7"/>
    <w:rsid w:val="00867B6C"/>
    <w:rsid w:val="00867BBB"/>
    <w:rsid w:val="00867D27"/>
    <w:rsid w:val="00867D2C"/>
    <w:rsid w:val="00867D91"/>
    <w:rsid w:val="00867E6E"/>
    <w:rsid w:val="00867E8D"/>
    <w:rsid w:val="00867EBC"/>
    <w:rsid w:val="00867FEF"/>
    <w:rsid w:val="0087006E"/>
    <w:rsid w:val="00870081"/>
    <w:rsid w:val="00870344"/>
    <w:rsid w:val="00870557"/>
    <w:rsid w:val="00870648"/>
    <w:rsid w:val="0087076F"/>
    <w:rsid w:val="0087079D"/>
    <w:rsid w:val="008707FE"/>
    <w:rsid w:val="00870BB8"/>
    <w:rsid w:val="00870CDB"/>
    <w:rsid w:val="00870CEA"/>
    <w:rsid w:val="00870EA2"/>
    <w:rsid w:val="00870F9E"/>
    <w:rsid w:val="00871179"/>
    <w:rsid w:val="008711E9"/>
    <w:rsid w:val="008712A2"/>
    <w:rsid w:val="00871359"/>
    <w:rsid w:val="008719AB"/>
    <w:rsid w:val="00871B65"/>
    <w:rsid w:val="00871E12"/>
    <w:rsid w:val="00871EEF"/>
    <w:rsid w:val="008721F7"/>
    <w:rsid w:val="00872238"/>
    <w:rsid w:val="00872316"/>
    <w:rsid w:val="0087239F"/>
    <w:rsid w:val="0087252C"/>
    <w:rsid w:val="008725A4"/>
    <w:rsid w:val="008725E3"/>
    <w:rsid w:val="0087283F"/>
    <w:rsid w:val="008729D9"/>
    <w:rsid w:val="00872B1A"/>
    <w:rsid w:val="00872CB0"/>
    <w:rsid w:val="00872ECE"/>
    <w:rsid w:val="0087302C"/>
    <w:rsid w:val="00873132"/>
    <w:rsid w:val="00873499"/>
    <w:rsid w:val="008734FA"/>
    <w:rsid w:val="0087353B"/>
    <w:rsid w:val="008735DC"/>
    <w:rsid w:val="00873D71"/>
    <w:rsid w:val="00873E28"/>
    <w:rsid w:val="00873E91"/>
    <w:rsid w:val="00873E93"/>
    <w:rsid w:val="00873F4D"/>
    <w:rsid w:val="00873FBD"/>
    <w:rsid w:val="008740D8"/>
    <w:rsid w:val="0087425B"/>
    <w:rsid w:val="00874285"/>
    <w:rsid w:val="00874365"/>
    <w:rsid w:val="00874389"/>
    <w:rsid w:val="008743F5"/>
    <w:rsid w:val="008744DC"/>
    <w:rsid w:val="008745A3"/>
    <w:rsid w:val="00874620"/>
    <w:rsid w:val="008746EB"/>
    <w:rsid w:val="00874799"/>
    <w:rsid w:val="00874896"/>
    <w:rsid w:val="008749CC"/>
    <w:rsid w:val="00874A46"/>
    <w:rsid w:val="00874C12"/>
    <w:rsid w:val="00874C50"/>
    <w:rsid w:val="00874D3C"/>
    <w:rsid w:val="00874DA9"/>
    <w:rsid w:val="0087500A"/>
    <w:rsid w:val="008750CE"/>
    <w:rsid w:val="00875202"/>
    <w:rsid w:val="008756A3"/>
    <w:rsid w:val="008757C5"/>
    <w:rsid w:val="008758E4"/>
    <w:rsid w:val="00875C5C"/>
    <w:rsid w:val="00875CAB"/>
    <w:rsid w:val="00875E39"/>
    <w:rsid w:val="00875F52"/>
    <w:rsid w:val="008761ED"/>
    <w:rsid w:val="00876336"/>
    <w:rsid w:val="00876571"/>
    <w:rsid w:val="008767AB"/>
    <w:rsid w:val="008768C1"/>
    <w:rsid w:val="00876C84"/>
    <w:rsid w:val="00876D5A"/>
    <w:rsid w:val="00876D5B"/>
    <w:rsid w:val="00876F09"/>
    <w:rsid w:val="00876F1A"/>
    <w:rsid w:val="00876F69"/>
    <w:rsid w:val="008771FE"/>
    <w:rsid w:val="008772EF"/>
    <w:rsid w:val="00877403"/>
    <w:rsid w:val="00877412"/>
    <w:rsid w:val="0087775F"/>
    <w:rsid w:val="00877811"/>
    <w:rsid w:val="008779F8"/>
    <w:rsid w:val="00877DA1"/>
    <w:rsid w:val="0088000E"/>
    <w:rsid w:val="008800D9"/>
    <w:rsid w:val="00880209"/>
    <w:rsid w:val="00880217"/>
    <w:rsid w:val="00880485"/>
    <w:rsid w:val="00880567"/>
    <w:rsid w:val="008805E7"/>
    <w:rsid w:val="00880867"/>
    <w:rsid w:val="00880969"/>
    <w:rsid w:val="00880983"/>
    <w:rsid w:val="00880992"/>
    <w:rsid w:val="008809EC"/>
    <w:rsid w:val="00880A64"/>
    <w:rsid w:val="00880E3E"/>
    <w:rsid w:val="00880E9D"/>
    <w:rsid w:val="00881028"/>
    <w:rsid w:val="00881083"/>
    <w:rsid w:val="0088123C"/>
    <w:rsid w:val="0088125C"/>
    <w:rsid w:val="0088143B"/>
    <w:rsid w:val="008814CD"/>
    <w:rsid w:val="0088163F"/>
    <w:rsid w:val="008816D0"/>
    <w:rsid w:val="008817D5"/>
    <w:rsid w:val="0088180A"/>
    <w:rsid w:val="008818AE"/>
    <w:rsid w:val="008818F5"/>
    <w:rsid w:val="0088194C"/>
    <w:rsid w:val="00881F16"/>
    <w:rsid w:val="00882077"/>
    <w:rsid w:val="00882086"/>
    <w:rsid w:val="008825DA"/>
    <w:rsid w:val="00882A94"/>
    <w:rsid w:val="00882D2E"/>
    <w:rsid w:val="00882E30"/>
    <w:rsid w:val="00882E57"/>
    <w:rsid w:val="00882FEF"/>
    <w:rsid w:val="00883373"/>
    <w:rsid w:val="00883718"/>
    <w:rsid w:val="00883A01"/>
    <w:rsid w:val="00883A0F"/>
    <w:rsid w:val="00883C66"/>
    <w:rsid w:val="00883EF9"/>
    <w:rsid w:val="00883F54"/>
    <w:rsid w:val="00883FA6"/>
    <w:rsid w:val="0088401F"/>
    <w:rsid w:val="0088405D"/>
    <w:rsid w:val="008840CD"/>
    <w:rsid w:val="008840EC"/>
    <w:rsid w:val="00884248"/>
    <w:rsid w:val="0088448A"/>
    <w:rsid w:val="008845B7"/>
    <w:rsid w:val="00884612"/>
    <w:rsid w:val="0088466F"/>
    <w:rsid w:val="00884CFC"/>
    <w:rsid w:val="00884D42"/>
    <w:rsid w:val="008850C9"/>
    <w:rsid w:val="00885149"/>
    <w:rsid w:val="00885432"/>
    <w:rsid w:val="00885527"/>
    <w:rsid w:val="00885586"/>
    <w:rsid w:val="00885591"/>
    <w:rsid w:val="008856D8"/>
    <w:rsid w:val="008858CF"/>
    <w:rsid w:val="008859CF"/>
    <w:rsid w:val="00885F3A"/>
    <w:rsid w:val="00886401"/>
    <w:rsid w:val="00886563"/>
    <w:rsid w:val="00886885"/>
    <w:rsid w:val="008868CE"/>
    <w:rsid w:val="008868EE"/>
    <w:rsid w:val="00886ACA"/>
    <w:rsid w:val="00886D43"/>
    <w:rsid w:val="00886E0D"/>
    <w:rsid w:val="00886FB3"/>
    <w:rsid w:val="008871BF"/>
    <w:rsid w:val="008875D7"/>
    <w:rsid w:val="0088773E"/>
    <w:rsid w:val="0088777B"/>
    <w:rsid w:val="00887998"/>
    <w:rsid w:val="00887AEC"/>
    <w:rsid w:val="00887C30"/>
    <w:rsid w:val="00887E20"/>
    <w:rsid w:val="00887E39"/>
    <w:rsid w:val="00887FB5"/>
    <w:rsid w:val="008900EC"/>
    <w:rsid w:val="00890101"/>
    <w:rsid w:val="00890350"/>
    <w:rsid w:val="00890507"/>
    <w:rsid w:val="0089050A"/>
    <w:rsid w:val="008905CF"/>
    <w:rsid w:val="008905FF"/>
    <w:rsid w:val="00890914"/>
    <w:rsid w:val="00890A88"/>
    <w:rsid w:val="00890E81"/>
    <w:rsid w:val="0089124D"/>
    <w:rsid w:val="008912AD"/>
    <w:rsid w:val="00891454"/>
    <w:rsid w:val="00891523"/>
    <w:rsid w:val="008915D6"/>
    <w:rsid w:val="00891779"/>
    <w:rsid w:val="008917BD"/>
    <w:rsid w:val="008918E4"/>
    <w:rsid w:val="008919FB"/>
    <w:rsid w:val="00891E2C"/>
    <w:rsid w:val="008921D6"/>
    <w:rsid w:val="0089232F"/>
    <w:rsid w:val="0089254E"/>
    <w:rsid w:val="00892559"/>
    <w:rsid w:val="00892744"/>
    <w:rsid w:val="008927E7"/>
    <w:rsid w:val="008927FA"/>
    <w:rsid w:val="00892A0E"/>
    <w:rsid w:val="00892BFE"/>
    <w:rsid w:val="00892C28"/>
    <w:rsid w:val="00892C42"/>
    <w:rsid w:val="00892C65"/>
    <w:rsid w:val="00892D36"/>
    <w:rsid w:val="00892DA7"/>
    <w:rsid w:val="00892F50"/>
    <w:rsid w:val="00892FA4"/>
    <w:rsid w:val="008930C9"/>
    <w:rsid w:val="008931EE"/>
    <w:rsid w:val="008934F9"/>
    <w:rsid w:val="0089384B"/>
    <w:rsid w:val="00893853"/>
    <w:rsid w:val="008939A1"/>
    <w:rsid w:val="00893A81"/>
    <w:rsid w:val="00893BD6"/>
    <w:rsid w:val="00893F08"/>
    <w:rsid w:val="008940E4"/>
    <w:rsid w:val="008941E1"/>
    <w:rsid w:val="008942F9"/>
    <w:rsid w:val="00894327"/>
    <w:rsid w:val="00894361"/>
    <w:rsid w:val="00894583"/>
    <w:rsid w:val="00894616"/>
    <w:rsid w:val="00894962"/>
    <w:rsid w:val="00894965"/>
    <w:rsid w:val="008949DC"/>
    <w:rsid w:val="00894BF2"/>
    <w:rsid w:val="00894E12"/>
    <w:rsid w:val="00894EE8"/>
    <w:rsid w:val="00894F6F"/>
    <w:rsid w:val="00895075"/>
    <w:rsid w:val="00895144"/>
    <w:rsid w:val="00895434"/>
    <w:rsid w:val="008954BD"/>
    <w:rsid w:val="008954F3"/>
    <w:rsid w:val="0089581F"/>
    <w:rsid w:val="00895AB9"/>
    <w:rsid w:val="00895D10"/>
    <w:rsid w:val="00895D53"/>
    <w:rsid w:val="00895FEE"/>
    <w:rsid w:val="008960DF"/>
    <w:rsid w:val="00896170"/>
    <w:rsid w:val="008962FB"/>
    <w:rsid w:val="00896447"/>
    <w:rsid w:val="00896463"/>
    <w:rsid w:val="00896565"/>
    <w:rsid w:val="008966D0"/>
    <w:rsid w:val="00896874"/>
    <w:rsid w:val="0089690B"/>
    <w:rsid w:val="0089690D"/>
    <w:rsid w:val="00896AF9"/>
    <w:rsid w:val="00896B0E"/>
    <w:rsid w:val="00896B67"/>
    <w:rsid w:val="00896DD1"/>
    <w:rsid w:val="00896E97"/>
    <w:rsid w:val="00896FCC"/>
    <w:rsid w:val="008971BE"/>
    <w:rsid w:val="00897273"/>
    <w:rsid w:val="0089742A"/>
    <w:rsid w:val="00897537"/>
    <w:rsid w:val="008975D1"/>
    <w:rsid w:val="00897787"/>
    <w:rsid w:val="008977DA"/>
    <w:rsid w:val="0089782F"/>
    <w:rsid w:val="00897BD7"/>
    <w:rsid w:val="00897F64"/>
    <w:rsid w:val="008A040A"/>
    <w:rsid w:val="008A041A"/>
    <w:rsid w:val="008A055A"/>
    <w:rsid w:val="008A05CA"/>
    <w:rsid w:val="008A0850"/>
    <w:rsid w:val="008A09D7"/>
    <w:rsid w:val="008A0B2D"/>
    <w:rsid w:val="008A0B7C"/>
    <w:rsid w:val="008A0B9C"/>
    <w:rsid w:val="008A0CB5"/>
    <w:rsid w:val="008A0D2A"/>
    <w:rsid w:val="008A0D6A"/>
    <w:rsid w:val="008A10B0"/>
    <w:rsid w:val="008A113D"/>
    <w:rsid w:val="008A1159"/>
    <w:rsid w:val="008A11DA"/>
    <w:rsid w:val="008A1220"/>
    <w:rsid w:val="008A12D4"/>
    <w:rsid w:val="008A133B"/>
    <w:rsid w:val="008A139A"/>
    <w:rsid w:val="008A1476"/>
    <w:rsid w:val="008A191B"/>
    <w:rsid w:val="008A19D8"/>
    <w:rsid w:val="008A1B7A"/>
    <w:rsid w:val="008A1C03"/>
    <w:rsid w:val="008A1C40"/>
    <w:rsid w:val="008A1E76"/>
    <w:rsid w:val="008A222D"/>
    <w:rsid w:val="008A2386"/>
    <w:rsid w:val="008A23AD"/>
    <w:rsid w:val="008A2514"/>
    <w:rsid w:val="008A257D"/>
    <w:rsid w:val="008A279D"/>
    <w:rsid w:val="008A28FB"/>
    <w:rsid w:val="008A2A23"/>
    <w:rsid w:val="008A2A99"/>
    <w:rsid w:val="008A2B86"/>
    <w:rsid w:val="008A2F52"/>
    <w:rsid w:val="008A30E7"/>
    <w:rsid w:val="008A3740"/>
    <w:rsid w:val="008A3759"/>
    <w:rsid w:val="008A3791"/>
    <w:rsid w:val="008A3975"/>
    <w:rsid w:val="008A39D9"/>
    <w:rsid w:val="008A3BD7"/>
    <w:rsid w:val="008A404C"/>
    <w:rsid w:val="008A40D2"/>
    <w:rsid w:val="008A4134"/>
    <w:rsid w:val="008A416A"/>
    <w:rsid w:val="008A41B9"/>
    <w:rsid w:val="008A41D4"/>
    <w:rsid w:val="008A432B"/>
    <w:rsid w:val="008A43CC"/>
    <w:rsid w:val="008A4501"/>
    <w:rsid w:val="008A4507"/>
    <w:rsid w:val="008A46E8"/>
    <w:rsid w:val="008A4811"/>
    <w:rsid w:val="008A48C0"/>
    <w:rsid w:val="008A48C7"/>
    <w:rsid w:val="008A4A8B"/>
    <w:rsid w:val="008A4B55"/>
    <w:rsid w:val="008A4F6C"/>
    <w:rsid w:val="008A5052"/>
    <w:rsid w:val="008A5063"/>
    <w:rsid w:val="008A5239"/>
    <w:rsid w:val="008A5298"/>
    <w:rsid w:val="008A539B"/>
    <w:rsid w:val="008A554A"/>
    <w:rsid w:val="008A55E7"/>
    <w:rsid w:val="008A573C"/>
    <w:rsid w:val="008A57F1"/>
    <w:rsid w:val="008A5863"/>
    <w:rsid w:val="008A58C6"/>
    <w:rsid w:val="008A5934"/>
    <w:rsid w:val="008A596B"/>
    <w:rsid w:val="008A5C43"/>
    <w:rsid w:val="008A5CF1"/>
    <w:rsid w:val="008A5F7D"/>
    <w:rsid w:val="008A6193"/>
    <w:rsid w:val="008A6552"/>
    <w:rsid w:val="008A6BDE"/>
    <w:rsid w:val="008A6BF4"/>
    <w:rsid w:val="008A6D10"/>
    <w:rsid w:val="008A6E43"/>
    <w:rsid w:val="008A6EE3"/>
    <w:rsid w:val="008A6FE2"/>
    <w:rsid w:val="008A704C"/>
    <w:rsid w:val="008A7182"/>
    <w:rsid w:val="008A7190"/>
    <w:rsid w:val="008A73F1"/>
    <w:rsid w:val="008A7704"/>
    <w:rsid w:val="008A7716"/>
    <w:rsid w:val="008A78EE"/>
    <w:rsid w:val="008A7934"/>
    <w:rsid w:val="008A7A15"/>
    <w:rsid w:val="008A7D3F"/>
    <w:rsid w:val="008A7F8B"/>
    <w:rsid w:val="008B0166"/>
    <w:rsid w:val="008B0290"/>
    <w:rsid w:val="008B02D5"/>
    <w:rsid w:val="008B034B"/>
    <w:rsid w:val="008B034D"/>
    <w:rsid w:val="008B03BE"/>
    <w:rsid w:val="008B044C"/>
    <w:rsid w:val="008B0451"/>
    <w:rsid w:val="008B04B6"/>
    <w:rsid w:val="008B0A02"/>
    <w:rsid w:val="008B0C0C"/>
    <w:rsid w:val="008B0DA1"/>
    <w:rsid w:val="008B0DFF"/>
    <w:rsid w:val="008B0E11"/>
    <w:rsid w:val="008B1116"/>
    <w:rsid w:val="008B1253"/>
    <w:rsid w:val="008B1349"/>
    <w:rsid w:val="008B1350"/>
    <w:rsid w:val="008B1554"/>
    <w:rsid w:val="008B16F3"/>
    <w:rsid w:val="008B176A"/>
    <w:rsid w:val="008B1E79"/>
    <w:rsid w:val="008B1F9F"/>
    <w:rsid w:val="008B2034"/>
    <w:rsid w:val="008B2197"/>
    <w:rsid w:val="008B219F"/>
    <w:rsid w:val="008B23F0"/>
    <w:rsid w:val="008B24AB"/>
    <w:rsid w:val="008B28F9"/>
    <w:rsid w:val="008B2B14"/>
    <w:rsid w:val="008B2BA5"/>
    <w:rsid w:val="008B2D5F"/>
    <w:rsid w:val="008B30D5"/>
    <w:rsid w:val="008B3145"/>
    <w:rsid w:val="008B3443"/>
    <w:rsid w:val="008B3474"/>
    <w:rsid w:val="008B3524"/>
    <w:rsid w:val="008B354D"/>
    <w:rsid w:val="008B3625"/>
    <w:rsid w:val="008B374B"/>
    <w:rsid w:val="008B3932"/>
    <w:rsid w:val="008B3A29"/>
    <w:rsid w:val="008B3ABE"/>
    <w:rsid w:val="008B3C60"/>
    <w:rsid w:val="008B3E7C"/>
    <w:rsid w:val="008B3F39"/>
    <w:rsid w:val="008B3F3F"/>
    <w:rsid w:val="008B3F62"/>
    <w:rsid w:val="008B3F80"/>
    <w:rsid w:val="008B40E7"/>
    <w:rsid w:val="008B4152"/>
    <w:rsid w:val="008B4255"/>
    <w:rsid w:val="008B4837"/>
    <w:rsid w:val="008B4B83"/>
    <w:rsid w:val="008B4C4A"/>
    <w:rsid w:val="008B4CC0"/>
    <w:rsid w:val="008B4D0C"/>
    <w:rsid w:val="008B4E72"/>
    <w:rsid w:val="008B4EA4"/>
    <w:rsid w:val="008B51D8"/>
    <w:rsid w:val="008B538D"/>
    <w:rsid w:val="008B53E4"/>
    <w:rsid w:val="008B550E"/>
    <w:rsid w:val="008B553F"/>
    <w:rsid w:val="008B55D5"/>
    <w:rsid w:val="008B5960"/>
    <w:rsid w:val="008B5A3F"/>
    <w:rsid w:val="008B5A69"/>
    <w:rsid w:val="008B5B24"/>
    <w:rsid w:val="008B5CDC"/>
    <w:rsid w:val="008B5E3C"/>
    <w:rsid w:val="008B61BC"/>
    <w:rsid w:val="008B635B"/>
    <w:rsid w:val="008B6603"/>
    <w:rsid w:val="008B669A"/>
    <w:rsid w:val="008B66B6"/>
    <w:rsid w:val="008B66BB"/>
    <w:rsid w:val="008B66E8"/>
    <w:rsid w:val="008B679E"/>
    <w:rsid w:val="008B6831"/>
    <w:rsid w:val="008B687F"/>
    <w:rsid w:val="008B68B2"/>
    <w:rsid w:val="008B68B4"/>
    <w:rsid w:val="008B68BF"/>
    <w:rsid w:val="008B6954"/>
    <w:rsid w:val="008B69ED"/>
    <w:rsid w:val="008B6A33"/>
    <w:rsid w:val="008B6C8E"/>
    <w:rsid w:val="008B6EF7"/>
    <w:rsid w:val="008B7035"/>
    <w:rsid w:val="008B732E"/>
    <w:rsid w:val="008B743B"/>
    <w:rsid w:val="008B779B"/>
    <w:rsid w:val="008B78E7"/>
    <w:rsid w:val="008B7AA3"/>
    <w:rsid w:val="008B7D44"/>
    <w:rsid w:val="008B7F58"/>
    <w:rsid w:val="008C009B"/>
    <w:rsid w:val="008C011E"/>
    <w:rsid w:val="008C02B2"/>
    <w:rsid w:val="008C030F"/>
    <w:rsid w:val="008C04F2"/>
    <w:rsid w:val="008C073D"/>
    <w:rsid w:val="008C0821"/>
    <w:rsid w:val="008C095A"/>
    <w:rsid w:val="008C0A7B"/>
    <w:rsid w:val="008C0AFC"/>
    <w:rsid w:val="008C0EA0"/>
    <w:rsid w:val="008C105A"/>
    <w:rsid w:val="008C151C"/>
    <w:rsid w:val="008C18E2"/>
    <w:rsid w:val="008C1BF9"/>
    <w:rsid w:val="008C1D1B"/>
    <w:rsid w:val="008C1E9E"/>
    <w:rsid w:val="008C1EEF"/>
    <w:rsid w:val="008C1F6A"/>
    <w:rsid w:val="008C2013"/>
    <w:rsid w:val="008C2053"/>
    <w:rsid w:val="008C21C5"/>
    <w:rsid w:val="008C2541"/>
    <w:rsid w:val="008C26B4"/>
    <w:rsid w:val="008C27D4"/>
    <w:rsid w:val="008C2827"/>
    <w:rsid w:val="008C298B"/>
    <w:rsid w:val="008C2A63"/>
    <w:rsid w:val="008C2DFD"/>
    <w:rsid w:val="008C2F4B"/>
    <w:rsid w:val="008C30AD"/>
    <w:rsid w:val="008C31A4"/>
    <w:rsid w:val="008C3334"/>
    <w:rsid w:val="008C348A"/>
    <w:rsid w:val="008C34EB"/>
    <w:rsid w:val="008C36AA"/>
    <w:rsid w:val="008C3828"/>
    <w:rsid w:val="008C3854"/>
    <w:rsid w:val="008C3E0A"/>
    <w:rsid w:val="008C3E11"/>
    <w:rsid w:val="008C4158"/>
    <w:rsid w:val="008C4184"/>
    <w:rsid w:val="008C4209"/>
    <w:rsid w:val="008C42E9"/>
    <w:rsid w:val="008C444F"/>
    <w:rsid w:val="008C4525"/>
    <w:rsid w:val="008C4781"/>
    <w:rsid w:val="008C4951"/>
    <w:rsid w:val="008C4A7C"/>
    <w:rsid w:val="008C4B8A"/>
    <w:rsid w:val="008C4CD1"/>
    <w:rsid w:val="008C4FB2"/>
    <w:rsid w:val="008C4FE4"/>
    <w:rsid w:val="008C50A6"/>
    <w:rsid w:val="008C519B"/>
    <w:rsid w:val="008C52E5"/>
    <w:rsid w:val="008C55A6"/>
    <w:rsid w:val="008C55E9"/>
    <w:rsid w:val="008C56D9"/>
    <w:rsid w:val="008C577E"/>
    <w:rsid w:val="008C57AF"/>
    <w:rsid w:val="008C5867"/>
    <w:rsid w:val="008C591B"/>
    <w:rsid w:val="008C5935"/>
    <w:rsid w:val="008C5C19"/>
    <w:rsid w:val="008C60F9"/>
    <w:rsid w:val="008C6134"/>
    <w:rsid w:val="008C6182"/>
    <w:rsid w:val="008C64F9"/>
    <w:rsid w:val="008C6520"/>
    <w:rsid w:val="008C6785"/>
    <w:rsid w:val="008C6799"/>
    <w:rsid w:val="008C6813"/>
    <w:rsid w:val="008C6A2C"/>
    <w:rsid w:val="008C6A99"/>
    <w:rsid w:val="008C6CE5"/>
    <w:rsid w:val="008C6E31"/>
    <w:rsid w:val="008C6E54"/>
    <w:rsid w:val="008C6E7D"/>
    <w:rsid w:val="008C6FA0"/>
    <w:rsid w:val="008C6FBF"/>
    <w:rsid w:val="008C706F"/>
    <w:rsid w:val="008C72F7"/>
    <w:rsid w:val="008C73D4"/>
    <w:rsid w:val="008C74A0"/>
    <w:rsid w:val="008C79E6"/>
    <w:rsid w:val="008C7A0A"/>
    <w:rsid w:val="008C7A48"/>
    <w:rsid w:val="008C7D1E"/>
    <w:rsid w:val="008C7F2C"/>
    <w:rsid w:val="008D000C"/>
    <w:rsid w:val="008D006A"/>
    <w:rsid w:val="008D06BC"/>
    <w:rsid w:val="008D070B"/>
    <w:rsid w:val="008D077D"/>
    <w:rsid w:val="008D0B79"/>
    <w:rsid w:val="008D0D8A"/>
    <w:rsid w:val="008D0DFA"/>
    <w:rsid w:val="008D0E48"/>
    <w:rsid w:val="008D0F19"/>
    <w:rsid w:val="008D0FD9"/>
    <w:rsid w:val="008D13CB"/>
    <w:rsid w:val="008D15E0"/>
    <w:rsid w:val="008D16CA"/>
    <w:rsid w:val="008D1A3B"/>
    <w:rsid w:val="008D1BA1"/>
    <w:rsid w:val="008D1D32"/>
    <w:rsid w:val="008D20DC"/>
    <w:rsid w:val="008D2329"/>
    <w:rsid w:val="008D242B"/>
    <w:rsid w:val="008D24D0"/>
    <w:rsid w:val="008D25D6"/>
    <w:rsid w:val="008D2680"/>
    <w:rsid w:val="008D29A2"/>
    <w:rsid w:val="008D2CA1"/>
    <w:rsid w:val="008D2D69"/>
    <w:rsid w:val="008D2E51"/>
    <w:rsid w:val="008D30EF"/>
    <w:rsid w:val="008D3204"/>
    <w:rsid w:val="008D383E"/>
    <w:rsid w:val="008D3889"/>
    <w:rsid w:val="008D3A43"/>
    <w:rsid w:val="008D3B24"/>
    <w:rsid w:val="008D3B2C"/>
    <w:rsid w:val="008D3C9D"/>
    <w:rsid w:val="008D3DCF"/>
    <w:rsid w:val="008D3F6E"/>
    <w:rsid w:val="008D3FD8"/>
    <w:rsid w:val="008D40C1"/>
    <w:rsid w:val="008D4182"/>
    <w:rsid w:val="008D421A"/>
    <w:rsid w:val="008D4226"/>
    <w:rsid w:val="008D4246"/>
    <w:rsid w:val="008D483D"/>
    <w:rsid w:val="008D486F"/>
    <w:rsid w:val="008D49D8"/>
    <w:rsid w:val="008D4AAD"/>
    <w:rsid w:val="008D4BA4"/>
    <w:rsid w:val="008D4C69"/>
    <w:rsid w:val="008D4C72"/>
    <w:rsid w:val="008D4CC3"/>
    <w:rsid w:val="008D4E3D"/>
    <w:rsid w:val="008D507D"/>
    <w:rsid w:val="008D515E"/>
    <w:rsid w:val="008D52CF"/>
    <w:rsid w:val="008D5757"/>
    <w:rsid w:val="008D5924"/>
    <w:rsid w:val="008D59D2"/>
    <w:rsid w:val="008D5EDA"/>
    <w:rsid w:val="008D6278"/>
    <w:rsid w:val="008D641D"/>
    <w:rsid w:val="008D67E1"/>
    <w:rsid w:val="008D6838"/>
    <w:rsid w:val="008D6985"/>
    <w:rsid w:val="008D6CDA"/>
    <w:rsid w:val="008D6DEE"/>
    <w:rsid w:val="008D71EA"/>
    <w:rsid w:val="008D726B"/>
    <w:rsid w:val="008D7651"/>
    <w:rsid w:val="008D7713"/>
    <w:rsid w:val="008D78BA"/>
    <w:rsid w:val="008D7CFF"/>
    <w:rsid w:val="008D7E55"/>
    <w:rsid w:val="008D7EC5"/>
    <w:rsid w:val="008E0104"/>
    <w:rsid w:val="008E021D"/>
    <w:rsid w:val="008E0904"/>
    <w:rsid w:val="008E099C"/>
    <w:rsid w:val="008E0DD6"/>
    <w:rsid w:val="008E0EEB"/>
    <w:rsid w:val="008E0F27"/>
    <w:rsid w:val="008E1044"/>
    <w:rsid w:val="008E1113"/>
    <w:rsid w:val="008E12FA"/>
    <w:rsid w:val="008E1303"/>
    <w:rsid w:val="008E1399"/>
    <w:rsid w:val="008E13A0"/>
    <w:rsid w:val="008E1652"/>
    <w:rsid w:val="008E1728"/>
    <w:rsid w:val="008E1734"/>
    <w:rsid w:val="008E17A0"/>
    <w:rsid w:val="008E1B7D"/>
    <w:rsid w:val="008E1CA4"/>
    <w:rsid w:val="008E1DB9"/>
    <w:rsid w:val="008E233C"/>
    <w:rsid w:val="008E233E"/>
    <w:rsid w:val="008E2365"/>
    <w:rsid w:val="008E2407"/>
    <w:rsid w:val="008E2935"/>
    <w:rsid w:val="008E29C2"/>
    <w:rsid w:val="008E2B54"/>
    <w:rsid w:val="008E2BBD"/>
    <w:rsid w:val="008E2D53"/>
    <w:rsid w:val="008E2D80"/>
    <w:rsid w:val="008E2F90"/>
    <w:rsid w:val="008E2FE3"/>
    <w:rsid w:val="008E30BD"/>
    <w:rsid w:val="008E30DA"/>
    <w:rsid w:val="008E31FC"/>
    <w:rsid w:val="008E31FD"/>
    <w:rsid w:val="008E3400"/>
    <w:rsid w:val="008E351F"/>
    <w:rsid w:val="008E3654"/>
    <w:rsid w:val="008E3796"/>
    <w:rsid w:val="008E38E4"/>
    <w:rsid w:val="008E391A"/>
    <w:rsid w:val="008E391F"/>
    <w:rsid w:val="008E3DD4"/>
    <w:rsid w:val="008E4054"/>
    <w:rsid w:val="008E417B"/>
    <w:rsid w:val="008E4184"/>
    <w:rsid w:val="008E459F"/>
    <w:rsid w:val="008E45F1"/>
    <w:rsid w:val="008E4886"/>
    <w:rsid w:val="008E4929"/>
    <w:rsid w:val="008E4A17"/>
    <w:rsid w:val="008E4A52"/>
    <w:rsid w:val="008E4A8A"/>
    <w:rsid w:val="008E4B76"/>
    <w:rsid w:val="008E4BDD"/>
    <w:rsid w:val="008E4F68"/>
    <w:rsid w:val="008E502C"/>
    <w:rsid w:val="008E5152"/>
    <w:rsid w:val="008E523E"/>
    <w:rsid w:val="008E56C5"/>
    <w:rsid w:val="008E5766"/>
    <w:rsid w:val="008E5835"/>
    <w:rsid w:val="008E5C3A"/>
    <w:rsid w:val="008E5E7E"/>
    <w:rsid w:val="008E6091"/>
    <w:rsid w:val="008E6187"/>
    <w:rsid w:val="008E654F"/>
    <w:rsid w:val="008E6633"/>
    <w:rsid w:val="008E6696"/>
    <w:rsid w:val="008E6964"/>
    <w:rsid w:val="008E69C8"/>
    <w:rsid w:val="008E6A93"/>
    <w:rsid w:val="008E6AD3"/>
    <w:rsid w:val="008E6DC7"/>
    <w:rsid w:val="008E6FD4"/>
    <w:rsid w:val="008E704D"/>
    <w:rsid w:val="008E709E"/>
    <w:rsid w:val="008E71C3"/>
    <w:rsid w:val="008E71C5"/>
    <w:rsid w:val="008E733B"/>
    <w:rsid w:val="008E766F"/>
    <w:rsid w:val="008E76AD"/>
    <w:rsid w:val="008E79E6"/>
    <w:rsid w:val="008E7AEF"/>
    <w:rsid w:val="008E7AF8"/>
    <w:rsid w:val="008E7AFC"/>
    <w:rsid w:val="008E7E06"/>
    <w:rsid w:val="008E7F19"/>
    <w:rsid w:val="008F00D0"/>
    <w:rsid w:val="008F01E0"/>
    <w:rsid w:val="008F0501"/>
    <w:rsid w:val="008F0547"/>
    <w:rsid w:val="008F0650"/>
    <w:rsid w:val="008F084E"/>
    <w:rsid w:val="008F0920"/>
    <w:rsid w:val="008F0B61"/>
    <w:rsid w:val="008F0C85"/>
    <w:rsid w:val="008F0DAA"/>
    <w:rsid w:val="008F0F2E"/>
    <w:rsid w:val="008F0F8A"/>
    <w:rsid w:val="008F114C"/>
    <w:rsid w:val="008F11A3"/>
    <w:rsid w:val="008F11D0"/>
    <w:rsid w:val="008F1445"/>
    <w:rsid w:val="008F14FA"/>
    <w:rsid w:val="008F15B8"/>
    <w:rsid w:val="008F162F"/>
    <w:rsid w:val="008F1823"/>
    <w:rsid w:val="008F186F"/>
    <w:rsid w:val="008F1905"/>
    <w:rsid w:val="008F193B"/>
    <w:rsid w:val="008F1A30"/>
    <w:rsid w:val="008F1D15"/>
    <w:rsid w:val="008F1D37"/>
    <w:rsid w:val="008F1D95"/>
    <w:rsid w:val="008F1DBD"/>
    <w:rsid w:val="008F2494"/>
    <w:rsid w:val="008F263C"/>
    <w:rsid w:val="008F265B"/>
    <w:rsid w:val="008F26EC"/>
    <w:rsid w:val="008F27A6"/>
    <w:rsid w:val="008F290A"/>
    <w:rsid w:val="008F2987"/>
    <w:rsid w:val="008F2CD5"/>
    <w:rsid w:val="008F2DDC"/>
    <w:rsid w:val="008F2F12"/>
    <w:rsid w:val="008F2F39"/>
    <w:rsid w:val="008F2FAD"/>
    <w:rsid w:val="008F2FBF"/>
    <w:rsid w:val="008F2FE2"/>
    <w:rsid w:val="008F3118"/>
    <w:rsid w:val="008F3149"/>
    <w:rsid w:val="008F31A7"/>
    <w:rsid w:val="008F345A"/>
    <w:rsid w:val="008F3463"/>
    <w:rsid w:val="008F3979"/>
    <w:rsid w:val="008F3B81"/>
    <w:rsid w:val="008F3E8C"/>
    <w:rsid w:val="008F41A4"/>
    <w:rsid w:val="008F4357"/>
    <w:rsid w:val="008F4372"/>
    <w:rsid w:val="008F4843"/>
    <w:rsid w:val="008F4B9F"/>
    <w:rsid w:val="008F4BF7"/>
    <w:rsid w:val="008F4DB3"/>
    <w:rsid w:val="008F4DD1"/>
    <w:rsid w:val="008F4E45"/>
    <w:rsid w:val="008F4E95"/>
    <w:rsid w:val="008F5119"/>
    <w:rsid w:val="008F514A"/>
    <w:rsid w:val="008F52F0"/>
    <w:rsid w:val="008F52F9"/>
    <w:rsid w:val="008F5699"/>
    <w:rsid w:val="008F589D"/>
    <w:rsid w:val="008F59C0"/>
    <w:rsid w:val="008F5BF5"/>
    <w:rsid w:val="008F5C8D"/>
    <w:rsid w:val="008F5D26"/>
    <w:rsid w:val="008F5D78"/>
    <w:rsid w:val="008F5FE8"/>
    <w:rsid w:val="008F60F6"/>
    <w:rsid w:val="008F62A7"/>
    <w:rsid w:val="008F6357"/>
    <w:rsid w:val="008F6415"/>
    <w:rsid w:val="008F64E0"/>
    <w:rsid w:val="008F64EC"/>
    <w:rsid w:val="008F653E"/>
    <w:rsid w:val="008F662C"/>
    <w:rsid w:val="008F666C"/>
    <w:rsid w:val="008F68E9"/>
    <w:rsid w:val="008F6E76"/>
    <w:rsid w:val="008F7032"/>
    <w:rsid w:val="008F710C"/>
    <w:rsid w:val="008F716D"/>
    <w:rsid w:val="008F737D"/>
    <w:rsid w:val="008F7431"/>
    <w:rsid w:val="008F7723"/>
    <w:rsid w:val="008F7A42"/>
    <w:rsid w:val="008F7B25"/>
    <w:rsid w:val="008F7CAD"/>
    <w:rsid w:val="008F7E2F"/>
    <w:rsid w:val="008F7FC4"/>
    <w:rsid w:val="00900405"/>
    <w:rsid w:val="00900469"/>
    <w:rsid w:val="009005E9"/>
    <w:rsid w:val="0090065D"/>
    <w:rsid w:val="0090069D"/>
    <w:rsid w:val="009007DE"/>
    <w:rsid w:val="0090089A"/>
    <w:rsid w:val="00900976"/>
    <w:rsid w:val="00900980"/>
    <w:rsid w:val="00900A44"/>
    <w:rsid w:val="00900BA1"/>
    <w:rsid w:val="00900BB9"/>
    <w:rsid w:val="00900C11"/>
    <w:rsid w:val="00900D5A"/>
    <w:rsid w:val="00900D66"/>
    <w:rsid w:val="00900DC2"/>
    <w:rsid w:val="00900ED2"/>
    <w:rsid w:val="0090102D"/>
    <w:rsid w:val="00901208"/>
    <w:rsid w:val="00901262"/>
    <w:rsid w:val="00901285"/>
    <w:rsid w:val="009012F1"/>
    <w:rsid w:val="0090144C"/>
    <w:rsid w:val="009016D3"/>
    <w:rsid w:val="0090173F"/>
    <w:rsid w:val="009017EA"/>
    <w:rsid w:val="00901A06"/>
    <w:rsid w:val="00901A3C"/>
    <w:rsid w:val="00901A68"/>
    <w:rsid w:val="00901AC7"/>
    <w:rsid w:val="00901ADE"/>
    <w:rsid w:val="00901AF0"/>
    <w:rsid w:val="00901AF2"/>
    <w:rsid w:val="00901B2D"/>
    <w:rsid w:val="00901C1F"/>
    <w:rsid w:val="00901C2B"/>
    <w:rsid w:val="00901C49"/>
    <w:rsid w:val="00901DC6"/>
    <w:rsid w:val="00901E4B"/>
    <w:rsid w:val="00901F2F"/>
    <w:rsid w:val="00902969"/>
    <w:rsid w:val="009029E0"/>
    <w:rsid w:val="00902B0F"/>
    <w:rsid w:val="00902BC9"/>
    <w:rsid w:val="00902CB8"/>
    <w:rsid w:val="00902E7D"/>
    <w:rsid w:val="00902EB0"/>
    <w:rsid w:val="00902F1F"/>
    <w:rsid w:val="00903145"/>
    <w:rsid w:val="00903258"/>
    <w:rsid w:val="0090339D"/>
    <w:rsid w:val="009034E0"/>
    <w:rsid w:val="0090398F"/>
    <w:rsid w:val="00903B85"/>
    <w:rsid w:val="00903EE1"/>
    <w:rsid w:val="00903F91"/>
    <w:rsid w:val="0090419B"/>
    <w:rsid w:val="00904415"/>
    <w:rsid w:val="009044D1"/>
    <w:rsid w:val="009045DF"/>
    <w:rsid w:val="00904976"/>
    <w:rsid w:val="00904A9B"/>
    <w:rsid w:val="0090509D"/>
    <w:rsid w:val="009050BB"/>
    <w:rsid w:val="00905328"/>
    <w:rsid w:val="0090532A"/>
    <w:rsid w:val="0090533F"/>
    <w:rsid w:val="009053A6"/>
    <w:rsid w:val="00905430"/>
    <w:rsid w:val="00905483"/>
    <w:rsid w:val="00905512"/>
    <w:rsid w:val="00905525"/>
    <w:rsid w:val="009055AF"/>
    <w:rsid w:val="0090573F"/>
    <w:rsid w:val="0090585B"/>
    <w:rsid w:val="009058C9"/>
    <w:rsid w:val="009059BD"/>
    <w:rsid w:val="00905C6C"/>
    <w:rsid w:val="00905CF6"/>
    <w:rsid w:val="00905DDB"/>
    <w:rsid w:val="009061A9"/>
    <w:rsid w:val="009063F8"/>
    <w:rsid w:val="00906420"/>
    <w:rsid w:val="009066E6"/>
    <w:rsid w:val="00906794"/>
    <w:rsid w:val="00906917"/>
    <w:rsid w:val="00906ACD"/>
    <w:rsid w:val="00906B0D"/>
    <w:rsid w:val="00906B52"/>
    <w:rsid w:val="00906EBF"/>
    <w:rsid w:val="00906F2C"/>
    <w:rsid w:val="00907209"/>
    <w:rsid w:val="00907547"/>
    <w:rsid w:val="009076C0"/>
    <w:rsid w:val="0090776F"/>
    <w:rsid w:val="009077C0"/>
    <w:rsid w:val="009079E1"/>
    <w:rsid w:val="00907A50"/>
    <w:rsid w:val="00907AA6"/>
    <w:rsid w:val="00907B48"/>
    <w:rsid w:val="00907BD6"/>
    <w:rsid w:val="00907DEC"/>
    <w:rsid w:val="00910210"/>
    <w:rsid w:val="0091056C"/>
    <w:rsid w:val="009109E7"/>
    <w:rsid w:val="00910BAC"/>
    <w:rsid w:val="00910C4F"/>
    <w:rsid w:val="00910D41"/>
    <w:rsid w:val="00910FF6"/>
    <w:rsid w:val="00911266"/>
    <w:rsid w:val="00911344"/>
    <w:rsid w:val="00911399"/>
    <w:rsid w:val="009113EF"/>
    <w:rsid w:val="009116B7"/>
    <w:rsid w:val="0091185D"/>
    <w:rsid w:val="00911A37"/>
    <w:rsid w:val="00911B2A"/>
    <w:rsid w:val="00911B92"/>
    <w:rsid w:val="00911CB5"/>
    <w:rsid w:val="00911D31"/>
    <w:rsid w:val="00911D59"/>
    <w:rsid w:val="00911D7B"/>
    <w:rsid w:val="00911F8B"/>
    <w:rsid w:val="0091204A"/>
    <w:rsid w:val="009121FC"/>
    <w:rsid w:val="00912224"/>
    <w:rsid w:val="009126D1"/>
    <w:rsid w:val="009126F9"/>
    <w:rsid w:val="00912705"/>
    <w:rsid w:val="00912843"/>
    <w:rsid w:val="00912A3D"/>
    <w:rsid w:val="00912A50"/>
    <w:rsid w:val="00912CF0"/>
    <w:rsid w:val="00912ED2"/>
    <w:rsid w:val="0091331E"/>
    <w:rsid w:val="00913376"/>
    <w:rsid w:val="0091337A"/>
    <w:rsid w:val="00913415"/>
    <w:rsid w:val="00913528"/>
    <w:rsid w:val="00913763"/>
    <w:rsid w:val="00913B1D"/>
    <w:rsid w:val="00913B2E"/>
    <w:rsid w:val="00913D51"/>
    <w:rsid w:val="00914233"/>
    <w:rsid w:val="00914342"/>
    <w:rsid w:val="0091438E"/>
    <w:rsid w:val="00914426"/>
    <w:rsid w:val="00914486"/>
    <w:rsid w:val="00914A7B"/>
    <w:rsid w:val="00914AEA"/>
    <w:rsid w:val="00914F8F"/>
    <w:rsid w:val="00915259"/>
    <w:rsid w:val="0091533E"/>
    <w:rsid w:val="00915465"/>
    <w:rsid w:val="00915780"/>
    <w:rsid w:val="0091579D"/>
    <w:rsid w:val="00915BCC"/>
    <w:rsid w:val="00915DFF"/>
    <w:rsid w:val="0091606D"/>
    <w:rsid w:val="009161DD"/>
    <w:rsid w:val="009162B5"/>
    <w:rsid w:val="00916374"/>
    <w:rsid w:val="00916438"/>
    <w:rsid w:val="009166AC"/>
    <w:rsid w:val="00916824"/>
    <w:rsid w:val="009168B3"/>
    <w:rsid w:val="00916A53"/>
    <w:rsid w:val="00916AB2"/>
    <w:rsid w:val="00916B14"/>
    <w:rsid w:val="00916B2A"/>
    <w:rsid w:val="00916C02"/>
    <w:rsid w:val="00916E34"/>
    <w:rsid w:val="009170F0"/>
    <w:rsid w:val="009172A4"/>
    <w:rsid w:val="00917896"/>
    <w:rsid w:val="009178F7"/>
    <w:rsid w:val="00917A44"/>
    <w:rsid w:val="00917BAE"/>
    <w:rsid w:val="00917C85"/>
    <w:rsid w:val="00917EAA"/>
    <w:rsid w:val="0092002D"/>
    <w:rsid w:val="009200BC"/>
    <w:rsid w:val="0092020E"/>
    <w:rsid w:val="00920442"/>
    <w:rsid w:val="00920456"/>
    <w:rsid w:val="00920684"/>
    <w:rsid w:val="0092074A"/>
    <w:rsid w:val="00920C93"/>
    <w:rsid w:val="00920EF5"/>
    <w:rsid w:val="00921062"/>
    <w:rsid w:val="009210A9"/>
    <w:rsid w:val="009210F0"/>
    <w:rsid w:val="00921207"/>
    <w:rsid w:val="00921256"/>
    <w:rsid w:val="00921521"/>
    <w:rsid w:val="0092165B"/>
    <w:rsid w:val="009216F5"/>
    <w:rsid w:val="0092175C"/>
    <w:rsid w:val="009218AA"/>
    <w:rsid w:val="00921B00"/>
    <w:rsid w:val="00921D40"/>
    <w:rsid w:val="009220D6"/>
    <w:rsid w:val="0092211E"/>
    <w:rsid w:val="00922127"/>
    <w:rsid w:val="009221FE"/>
    <w:rsid w:val="009222A2"/>
    <w:rsid w:val="00922370"/>
    <w:rsid w:val="009223C9"/>
    <w:rsid w:val="00922430"/>
    <w:rsid w:val="009225CF"/>
    <w:rsid w:val="00922682"/>
    <w:rsid w:val="00922937"/>
    <w:rsid w:val="00922B6D"/>
    <w:rsid w:val="00922BBE"/>
    <w:rsid w:val="00922C36"/>
    <w:rsid w:val="00922ECD"/>
    <w:rsid w:val="00922F60"/>
    <w:rsid w:val="009230C3"/>
    <w:rsid w:val="0092311D"/>
    <w:rsid w:val="00923181"/>
    <w:rsid w:val="009231BB"/>
    <w:rsid w:val="0092329D"/>
    <w:rsid w:val="009232A0"/>
    <w:rsid w:val="009235EF"/>
    <w:rsid w:val="00923871"/>
    <w:rsid w:val="00923AF8"/>
    <w:rsid w:val="00923CFF"/>
    <w:rsid w:val="00923E4E"/>
    <w:rsid w:val="0092411F"/>
    <w:rsid w:val="0092429C"/>
    <w:rsid w:val="009244BB"/>
    <w:rsid w:val="0092456E"/>
    <w:rsid w:val="00924673"/>
    <w:rsid w:val="009248B8"/>
    <w:rsid w:val="009249CA"/>
    <w:rsid w:val="00924B6F"/>
    <w:rsid w:val="00924C53"/>
    <w:rsid w:val="00924F9C"/>
    <w:rsid w:val="0092542F"/>
    <w:rsid w:val="0092548A"/>
    <w:rsid w:val="009254E1"/>
    <w:rsid w:val="0092553A"/>
    <w:rsid w:val="00925982"/>
    <w:rsid w:val="00925A41"/>
    <w:rsid w:val="00925B71"/>
    <w:rsid w:val="00925BA4"/>
    <w:rsid w:val="00925C38"/>
    <w:rsid w:val="00925DD8"/>
    <w:rsid w:val="00925EB3"/>
    <w:rsid w:val="00925EDE"/>
    <w:rsid w:val="00925FB5"/>
    <w:rsid w:val="0092604B"/>
    <w:rsid w:val="009261F7"/>
    <w:rsid w:val="00926275"/>
    <w:rsid w:val="00926501"/>
    <w:rsid w:val="00926545"/>
    <w:rsid w:val="0092657F"/>
    <w:rsid w:val="009269C7"/>
    <w:rsid w:val="00926A8D"/>
    <w:rsid w:val="00926CB0"/>
    <w:rsid w:val="00926EA2"/>
    <w:rsid w:val="009270AD"/>
    <w:rsid w:val="009270DE"/>
    <w:rsid w:val="00927137"/>
    <w:rsid w:val="00927374"/>
    <w:rsid w:val="009273EA"/>
    <w:rsid w:val="00927438"/>
    <w:rsid w:val="00927663"/>
    <w:rsid w:val="009276A1"/>
    <w:rsid w:val="009276D3"/>
    <w:rsid w:val="009278A5"/>
    <w:rsid w:val="00927A4F"/>
    <w:rsid w:val="00927AD2"/>
    <w:rsid w:val="00927D03"/>
    <w:rsid w:val="0093011C"/>
    <w:rsid w:val="0093023D"/>
    <w:rsid w:val="0093040B"/>
    <w:rsid w:val="0093055E"/>
    <w:rsid w:val="00930604"/>
    <w:rsid w:val="00930CE5"/>
    <w:rsid w:val="00930DF6"/>
    <w:rsid w:val="00930F1E"/>
    <w:rsid w:val="00931016"/>
    <w:rsid w:val="0093103C"/>
    <w:rsid w:val="009311CD"/>
    <w:rsid w:val="00931205"/>
    <w:rsid w:val="0093146A"/>
    <w:rsid w:val="00931611"/>
    <w:rsid w:val="0093164D"/>
    <w:rsid w:val="009316F5"/>
    <w:rsid w:val="00931765"/>
    <w:rsid w:val="00931AC1"/>
    <w:rsid w:val="00931B0C"/>
    <w:rsid w:val="00931B18"/>
    <w:rsid w:val="00931BFC"/>
    <w:rsid w:val="00931D81"/>
    <w:rsid w:val="00931EA0"/>
    <w:rsid w:val="00931EB3"/>
    <w:rsid w:val="00931F11"/>
    <w:rsid w:val="00932016"/>
    <w:rsid w:val="00932026"/>
    <w:rsid w:val="009321D5"/>
    <w:rsid w:val="009322B0"/>
    <w:rsid w:val="00932421"/>
    <w:rsid w:val="0093252B"/>
    <w:rsid w:val="00932534"/>
    <w:rsid w:val="00932673"/>
    <w:rsid w:val="00932AD5"/>
    <w:rsid w:val="00932CD3"/>
    <w:rsid w:val="00932E45"/>
    <w:rsid w:val="00932FC7"/>
    <w:rsid w:val="00933162"/>
    <w:rsid w:val="00933245"/>
    <w:rsid w:val="00933517"/>
    <w:rsid w:val="009335F4"/>
    <w:rsid w:val="009337DE"/>
    <w:rsid w:val="009338A1"/>
    <w:rsid w:val="00933B13"/>
    <w:rsid w:val="00933C46"/>
    <w:rsid w:val="00933C7D"/>
    <w:rsid w:val="00934123"/>
    <w:rsid w:val="00934527"/>
    <w:rsid w:val="0093484F"/>
    <w:rsid w:val="009349C3"/>
    <w:rsid w:val="00934A2F"/>
    <w:rsid w:val="00934C36"/>
    <w:rsid w:val="00934F2E"/>
    <w:rsid w:val="00934FBB"/>
    <w:rsid w:val="009352C2"/>
    <w:rsid w:val="00935396"/>
    <w:rsid w:val="009358F4"/>
    <w:rsid w:val="00935C5F"/>
    <w:rsid w:val="00935F2C"/>
    <w:rsid w:val="00935F63"/>
    <w:rsid w:val="00935F6C"/>
    <w:rsid w:val="0093628F"/>
    <w:rsid w:val="00936362"/>
    <w:rsid w:val="0093644F"/>
    <w:rsid w:val="00936A8E"/>
    <w:rsid w:val="00936CB1"/>
    <w:rsid w:val="00936EB1"/>
    <w:rsid w:val="009371A5"/>
    <w:rsid w:val="0093736A"/>
    <w:rsid w:val="00937751"/>
    <w:rsid w:val="00937AC1"/>
    <w:rsid w:val="00937DCB"/>
    <w:rsid w:val="0094006C"/>
    <w:rsid w:val="009401C5"/>
    <w:rsid w:val="009401FE"/>
    <w:rsid w:val="0094037B"/>
    <w:rsid w:val="00940608"/>
    <w:rsid w:val="00940619"/>
    <w:rsid w:val="00940724"/>
    <w:rsid w:val="009408DC"/>
    <w:rsid w:val="00940D42"/>
    <w:rsid w:val="00940D4E"/>
    <w:rsid w:val="00940E8F"/>
    <w:rsid w:val="00941084"/>
    <w:rsid w:val="0094138F"/>
    <w:rsid w:val="009418C1"/>
    <w:rsid w:val="009419A2"/>
    <w:rsid w:val="00941C0C"/>
    <w:rsid w:val="00941E88"/>
    <w:rsid w:val="00941EE3"/>
    <w:rsid w:val="00942096"/>
    <w:rsid w:val="0094215E"/>
    <w:rsid w:val="00942243"/>
    <w:rsid w:val="009423A1"/>
    <w:rsid w:val="009423F6"/>
    <w:rsid w:val="009424E3"/>
    <w:rsid w:val="0094290F"/>
    <w:rsid w:val="009429C9"/>
    <w:rsid w:val="009429D4"/>
    <w:rsid w:val="00942A89"/>
    <w:rsid w:val="00942CB9"/>
    <w:rsid w:val="00942CC7"/>
    <w:rsid w:val="00943105"/>
    <w:rsid w:val="009431E6"/>
    <w:rsid w:val="009437B6"/>
    <w:rsid w:val="009437EB"/>
    <w:rsid w:val="0094383E"/>
    <w:rsid w:val="0094389D"/>
    <w:rsid w:val="00943AC2"/>
    <w:rsid w:val="00943AF7"/>
    <w:rsid w:val="00943B94"/>
    <w:rsid w:val="00943C4A"/>
    <w:rsid w:val="00943C65"/>
    <w:rsid w:val="00943F1D"/>
    <w:rsid w:val="0094400A"/>
    <w:rsid w:val="00944014"/>
    <w:rsid w:val="0094427F"/>
    <w:rsid w:val="0094444C"/>
    <w:rsid w:val="00944509"/>
    <w:rsid w:val="0094480C"/>
    <w:rsid w:val="00944840"/>
    <w:rsid w:val="009449C4"/>
    <w:rsid w:val="00944A18"/>
    <w:rsid w:val="00944B86"/>
    <w:rsid w:val="00944C2E"/>
    <w:rsid w:val="00944C83"/>
    <w:rsid w:val="0094501C"/>
    <w:rsid w:val="00945165"/>
    <w:rsid w:val="00945A5E"/>
    <w:rsid w:val="00945B9E"/>
    <w:rsid w:val="009463B9"/>
    <w:rsid w:val="0094676D"/>
    <w:rsid w:val="00946AC1"/>
    <w:rsid w:val="00946AE7"/>
    <w:rsid w:val="00946B7E"/>
    <w:rsid w:val="00946D92"/>
    <w:rsid w:val="00946E4D"/>
    <w:rsid w:val="00946F81"/>
    <w:rsid w:val="009470FA"/>
    <w:rsid w:val="0094710D"/>
    <w:rsid w:val="00947145"/>
    <w:rsid w:val="00947188"/>
    <w:rsid w:val="009475F6"/>
    <w:rsid w:val="0094760F"/>
    <w:rsid w:val="009477F5"/>
    <w:rsid w:val="00947819"/>
    <w:rsid w:val="00947AD3"/>
    <w:rsid w:val="00947B37"/>
    <w:rsid w:val="00947E9E"/>
    <w:rsid w:val="00947F4C"/>
    <w:rsid w:val="009501B6"/>
    <w:rsid w:val="009501FF"/>
    <w:rsid w:val="009503CE"/>
    <w:rsid w:val="0095060C"/>
    <w:rsid w:val="0095072E"/>
    <w:rsid w:val="00950740"/>
    <w:rsid w:val="00950802"/>
    <w:rsid w:val="0095095B"/>
    <w:rsid w:val="00950A43"/>
    <w:rsid w:val="00950B72"/>
    <w:rsid w:val="00950C7F"/>
    <w:rsid w:val="00950DF5"/>
    <w:rsid w:val="00950EA4"/>
    <w:rsid w:val="00951069"/>
    <w:rsid w:val="00951206"/>
    <w:rsid w:val="00951419"/>
    <w:rsid w:val="009517B6"/>
    <w:rsid w:val="00951ABA"/>
    <w:rsid w:val="00951BBE"/>
    <w:rsid w:val="00951ED8"/>
    <w:rsid w:val="0095200C"/>
    <w:rsid w:val="0095206C"/>
    <w:rsid w:val="009520A8"/>
    <w:rsid w:val="0095232E"/>
    <w:rsid w:val="009523C5"/>
    <w:rsid w:val="009524BE"/>
    <w:rsid w:val="00952691"/>
    <w:rsid w:val="00952735"/>
    <w:rsid w:val="00952B44"/>
    <w:rsid w:val="00952B77"/>
    <w:rsid w:val="00952BFA"/>
    <w:rsid w:val="00952EEA"/>
    <w:rsid w:val="00952FC5"/>
    <w:rsid w:val="00953224"/>
    <w:rsid w:val="009532D7"/>
    <w:rsid w:val="0095337C"/>
    <w:rsid w:val="009533AB"/>
    <w:rsid w:val="009533BB"/>
    <w:rsid w:val="0095342D"/>
    <w:rsid w:val="009534CC"/>
    <w:rsid w:val="00953688"/>
    <w:rsid w:val="009536E4"/>
    <w:rsid w:val="009537DB"/>
    <w:rsid w:val="0095387C"/>
    <w:rsid w:val="00953978"/>
    <w:rsid w:val="00953A04"/>
    <w:rsid w:val="00953A57"/>
    <w:rsid w:val="00953AD1"/>
    <w:rsid w:val="00953BA6"/>
    <w:rsid w:val="00953C39"/>
    <w:rsid w:val="00953CBC"/>
    <w:rsid w:val="00953F6A"/>
    <w:rsid w:val="009540CA"/>
    <w:rsid w:val="0095485B"/>
    <w:rsid w:val="00954962"/>
    <w:rsid w:val="009549A3"/>
    <w:rsid w:val="00954ADB"/>
    <w:rsid w:val="00954BC6"/>
    <w:rsid w:val="00954D28"/>
    <w:rsid w:val="00954D4A"/>
    <w:rsid w:val="00954D5D"/>
    <w:rsid w:val="00954DE5"/>
    <w:rsid w:val="00954E44"/>
    <w:rsid w:val="00954EB9"/>
    <w:rsid w:val="00954FB2"/>
    <w:rsid w:val="00955103"/>
    <w:rsid w:val="00955152"/>
    <w:rsid w:val="00955385"/>
    <w:rsid w:val="00955C84"/>
    <w:rsid w:val="00955D0F"/>
    <w:rsid w:val="00955D19"/>
    <w:rsid w:val="00955DF0"/>
    <w:rsid w:val="009561BA"/>
    <w:rsid w:val="00956249"/>
    <w:rsid w:val="009564A2"/>
    <w:rsid w:val="009564C2"/>
    <w:rsid w:val="009564D5"/>
    <w:rsid w:val="00956635"/>
    <w:rsid w:val="009566D9"/>
    <w:rsid w:val="00956706"/>
    <w:rsid w:val="00956722"/>
    <w:rsid w:val="00956801"/>
    <w:rsid w:val="00956A48"/>
    <w:rsid w:val="00956BBD"/>
    <w:rsid w:val="00956C09"/>
    <w:rsid w:val="00956E14"/>
    <w:rsid w:val="0095709D"/>
    <w:rsid w:val="0095719C"/>
    <w:rsid w:val="009571A3"/>
    <w:rsid w:val="00957345"/>
    <w:rsid w:val="009575A4"/>
    <w:rsid w:val="00957B0B"/>
    <w:rsid w:val="00957BDF"/>
    <w:rsid w:val="00957D33"/>
    <w:rsid w:val="00957E07"/>
    <w:rsid w:val="00957F95"/>
    <w:rsid w:val="00960075"/>
    <w:rsid w:val="0096026F"/>
    <w:rsid w:val="009606E1"/>
    <w:rsid w:val="00960741"/>
    <w:rsid w:val="00960B6B"/>
    <w:rsid w:val="00960CF7"/>
    <w:rsid w:val="00960F0F"/>
    <w:rsid w:val="00960FFF"/>
    <w:rsid w:val="00961016"/>
    <w:rsid w:val="009610F5"/>
    <w:rsid w:val="00961320"/>
    <w:rsid w:val="00961363"/>
    <w:rsid w:val="0096149E"/>
    <w:rsid w:val="0096162B"/>
    <w:rsid w:val="00961631"/>
    <w:rsid w:val="00961691"/>
    <w:rsid w:val="009616C4"/>
    <w:rsid w:val="009617DA"/>
    <w:rsid w:val="009617F5"/>
    <w:rsid w:val="00961B47"/>
    <w:rsid w:val="00961E2C"/>
    <w:rsid w:val="00962113"/>
    <w:rsid w:val="00962247"/>
    <w:rsid w:val="0096225C"/>
    <w:rsid w:val="0096231C"/>
    <w:rsid w:val="00962478"/>
    <w:rsid w:val="00962950"/>
    <w:rsid w:val="009629C2"/>
    <w:rsid w:val="00963048"/>
    <w:rsid w:val="00963194"/>
    <w:rsid w:val="0096328A"/>
    <w:rsid w:val="0096337C"/>
    <w:rsid w:val="009635AA"/>
    <w:rsid w:val="00963655"/>
    <w:rsid w:val="00963696"/>
    <w:rsid w:val="0096378B"/>
    <w:rsid w:val="009638CA"/>
    <w:rsid w:val="00963A6B"/>
    <w:rsid w:val="00963B06"/>
    <w:rsid w:val="00963B8E"/>
    <w:rsid w:val="00963D40"/>
    <w:rsid w:val="00963D4C"/>
    <w:rsid w:val="00963E6C"/>
    <w:rsid w:val="00963E8B"/>
    <w:rsid w:val="00964198"/>
    <w:rsid w:val="00964376"/>
    <w:rsid w:val="00964390"/>
    <w:rsid w:val="009643F6"/>
    <w:rsid w:val="00964506"/>
    <w:rsid w:val="00964507"/>
    <w:rsid w:val="009645FA"/>
    <w:rsid w:val="009646DC"/>
    <w:rsid w:val="00964703"/>
    <w:rsid w:val="00964719"/>
    <w:rsid w:val="009649EE"/>
    <w:rsid w:val="00964A0B"/>
    <w:rsid w:val="00964ACF"/>
    <w:rsid w:val="00964C69"/>
    <w:rsid w:val="00964D88"/>
    <w:rsid w:val="00964F97"/>
    <w:rsid w:val="00964FB5"/>
    <w:rsid w:val="009650E0"/>
    <w:rsid w:val="0096521D"/>
    <w:rsid w:val="00965296"/>
    <w:rsid w:val="00965381"/>
    <w:rsid w:val="00965528"/>
    <w:rsid w:val="00965601"/>
    <w:rsid w:val="00965658"/>
    <w:rsid w:val="00965A39"/>
    <w:rsid w:val="00965D85"/>
    <w:rsid w:val="00965ED3"/>
    <w:rsid w:val="00965F44"/>
    <w:rsid w:val="009663A4"/>
    <w:rsid w:val="009665E0"/>
    <w:rsid w:val="0096666F"/>
    <w:rsid w:val="009667B9"/>
    <w:rsid w:val="009669B6"/>
    <w:rsid w:val="00966C96"/>
    <w:rsid w:val="00966ED4"/>
    <w:rsid w:val="00966F8B"/>
    <w:rsid w:val="00966FA0"/>
    <w:rsid w:val="00967212"/>
    <w:rsid w:val="00967291"/>
    <w:rsid w:val="00967468"/>
    <w:rsid w:val="00967483"/>
    <w:rsid w:val="0096757B"/>
    <w:rsid w:val="009678A0"/>
    <w:rsid w:val="009679BE"/>
    <w:rsid w:val="00967B45"/>
    <w:rsid w:val="00967CBD"/>
    <w:rsid w:val="00967DF7"/>
    <w:rsid w:val="00967FE5"/>
    <w:rsid w:val="009700C9"/>
    <w:rsid w:val="00970111"/>
    <w:rsid w:val="0097015D"/>
    <w:rsid w:val="00970222"/>
    <w:rsid w:val="009703F7"/>
    <w:rsid w:val="009705A2"/>
    <w:rsid w:val="009709E9"/>
    <w:rsid w:val="00970A8E"/>
    <w:rsid w:val="00970BB7"/>
    <w:rsid w:val="00970CDA"/>
    <w:rsid w:val="00970CF6"/>
    <w:rsid w:val="00970CFD"/>
    <w:rsid w:val="00970F73"/>
    <w:rsid w:val="0097114C"/>
    <w:rsid w:val="0097139C"/>
    <w:rsid w:val="0097147A"/>
    <w:rsid w:val="0097170B"/>
    <w:rsid w:val="009719AB"/>
    <w:rsid w:val="00971B9E"/>
    <w:rsid w:val="00971BB9"/>
    <w:rsid w:val="00971E8B"/>
    <w:rsid w:val="00971FE8"/>
    <w:rsid w:val="0097213E"/>
    <w:rsid w:val="0097231D"/>
    <w:rsid w:val="00972621"/>
    <w:rsid w:val="00972659"/>
    <w:rsid w:val="00972673"/>
    <w:rsid w:val="0097268B"/>
    <w:rsid w:val="00972757"/>
    <w:rsid w:val="009727F7"/>
    <w:rsid w:val="00972A61"/>
    <w:rsid w:val="00972BB1"/>
    <w:rsid w:val="00972CA7"/>
    <w:rsid w:val="009730FF"/>
    <w:rsid w:val="009733DB"/>
    <w:rsid w:val="0097356A"/>
    <w:rsid w:val="0097396C"/>
    <w:rsid w:val="009739F2"/>
    <w:rsid w:val="00973AA1"/>
    <w:rsid w:val="00973B49"/>
    <w:rsid w:val="00973B6A"/>
    <w:rsid w:val="00973DDB"/>
    <w:rsid w:val="00973ECC"/>
    <w:rsid w:val="009740C4"/>
    <w:rsid w:val="0097431A"/>
    <w:rsid w:val="00974418"/>
    <w:rsid w:val="0097459C"/>
    <w:rsid w:val="009747D6"/>
    <w:rsid w:val="00974953"/>
    <w:rsid w:val="00974957"/>
    <w:rsid w:val="00974958"/>
    <w:rsid w:val="00974A37"/>
    <w:rsid w:val="00974A65"/>
    <w:rsid w:val="00974A85"/>
    <w:rsid w:val="009750D3"/>
    <w:rsid w:val="00975819"/>
    <w:rsid w:val="009759FE"/>
    <w:rsid w:val="00975A20"/>
    <w:rsid w:val="00975A62"/>
    <w:rsid w:val="00975AA0"/>
    <w:rsid w:val="00975AA8"/>
    <w:rsid w:val="00975CD7"/>
    <w:rsid w:val="00975FB7"/>
    <w:rsid w:val="00975FE2"/>
    <w:rsid w:val="0097600A"/>
    <w:rsid w:val="0097613C"/>
    <w:rsid w:val="00976464"/>
    <w:rsid w:val="00976649"/>
    <w:rsid w:val="009766F8"/>
    <w:rsid w:val="00976954"/>
    <w:rsid w:val="009769BE"/>
    <w:rsid w:val="00976B00"/>
    <w:rsid w:val="00976FB8"/>
    <w:rsid w:val="00977169"/>
    <w:rsid w:val="0097716B"/>
    <w:rsid w:val="009771A9"/>
    <w:rsid w:val="009771ED"/>
    <w:rsid w:val="0097728E"/>
    <w:rsid w:val="00977359"/>
    <w:rsid w:val="009773D6"/>
    <w:rsid w:val="0097780C"/>
    <w:rsid w:val="0097783B"/>
    <w:rsid w:val="00977903"/>
    <w:rsid w:val="00977920"/>
    <w:rsid w:val="00977C86"/>
    <w:rsid w:val="00977D38"/>
    <w:rsid w:val="00977D71"/>
    <w:rsid w:val="00977F1D"/>
    <w:rsid w:val="00977FD9"/>
    <w:rsid w:val="00980072"/>
    <w:rsid w:val="0098014F"/>
    <w:rsid w:val="009803BF"/>
    <w:rsid w:val="0098049E"/>
    <w:rsid w:val="00980582"/>
    <w:rsid w:val="00980653"/>
    <w:rsid w:val="009807A0"/>
    <w:rsid w:val="009807FE"/>
    <w:rsid w:val="00980848"/>
    <w:rsid w:val="00980891"/>
    <w:rsid w:val="009808A8"/>
    <w:rsid w:val="00980933"/>
    <w:rsid w:val="00980D9D"/>
    <w:rsid w:val="00980DAB"/>
    <w:rsid w:val="00980DB8"/>
    <w:rsid w:val="0098104A"/>
    <w:rsid w:val="009811CA"/>
    <w:rsid w:val="00981367"/>
    <w:rsid w:val="00981875"/>
    <w:rsid w:val="00981972"/>
    <w:rsid w:val="00981AE8"/>
    <w:rsid w:val="00981DE1"/>
    <w:rsid w:val="00982017"/>
    <w:rsid w:val="00982118"/>
    <w:rsid w:val="00982166"/>
    <w:rsid w:val="00982237"/>
    <w:rsid w:val="00982238"/>
    <w:rsid w:val="009822D4"/>
    <w:rsid w:val="009823DD"/>
    <w:rsid w:val="0098258D"/>
    <w:rsid w:val="009825C2"/>
    <w:rsid w:val="00982904"/>
    <w:rsid w:val="00982A56"/>
    <w:rsid w:val="00982A6E"/>
    <w:rsid w:val="00982B01"/>
    <w:rsid w:val="00982B7D"/>
    <w:rsid w:val="00982CDD"/>
    <w:rsid w:val="00982EC5"/>
    <w:rsid w:val="00983023"/>
    <w:rsid w:val="0098324E"/>
    <w:rsid w:val="00983358"/>
    <w:rsid w:val="009833BA"/>
    <w:rsid w:val="00983414"/>
    <w:rsid w:val="00983499"/>
    <w:rsid w:val="00983A52"/>
    <w:rsid w:val="00983C0E"/>
    <w:rsid w:val="00983CA4"/>
    <w:rsid w:val="00983D88"/>
    <w:rsid w:val="00984024"/>
    <w:rsid w:val="0098405B"/>
    <w:rsid w:val="00984169"/>
    <w:rsid w:val="0098439C"/>
    <w:rsid w:val="00984412"/>
    <w:rsid w:val="0098441B"/>
    <w:rsid w:val="00984596"/>
    <w:rsid w:val="009846CD"/>
    <w:rsid w:val="00984D76"/>
    <w:rsid w:val="00984E55"/>
    <w:rsid w:val="00984F92"/>
    <w:rsid w:val="009850D2"/>
    <w:rsid w:val="0098512D"/>
    <w:rsid w:val="009851E3"/>
    <w:rsid w:val="00985346"/>
    <w:rsid w:val="009855A1"/>
    <w:rsid w:val="009855D8"/>
    <w:rsid w:val="0098565F"/>
    <w:rsid w:val="009856F6"/>
    <w:rsid w:val="009858C4"/>
    <w:rsid w:val="009858F6"/>
    <w:rsid w:val="00985A30"/>
    <w:rsid w:val="00985B79"/>
    <w:rsid w:val="00985BFA"/>
    <w:rsid w:val="00985CD6"/>
    <w:rsid w:val="00985D67"/>
    <w:rsid w:val="009861AF"/>
    <w:rsid w:val="00986315"/>
    <w:rsid w:val="00986403"/>
    <w:rsid w:val="00986477"/>
    <w:rsid w:val="0098657D"/>
    <w:rsid w:val="00986855"/>
    <w:rsid w:val="00986A54"/>
    <w:rsid w:val="00986B2E"/>
    <w:rsid w:val="00986B56"/>
    <w:rsid w:val="00986F1C"/>
    <w:rsid w:val="0098725B"/>
    <w:rsid w:val="009877B3"/>
    <w:rsid w:val="0098780D"/>
    <w:rsid w:val="0098781F"/>
    <w:rsid w:val="00987881"/>
    <w:rsid w:val="009879CF"/>
    <w:rsid w:val="00987C49"/>
    <w:rsid w:val="00987E09"/>
    <w:rsid w:val="00987FAB"/>
    <w:rsid w:val="00990173"/>
    <w:rsid w:val="00990215"/>
    <w:rsid w:val="00990273"/>
    <w:rsid w:val="0099035D"/>
    <w:rsid w:val="009908AE"/>
    <w:rsid w:val="0099091F"/>
    <w:rsid w:val="00990AAB"/>
    <w:rsid w:val="00990B0D"/>
    <w:rsid w:val="00990CA5"/>
    <w:rsid w:val="0099117E"/>
    <w:rsid w:val="009911A9"/>
    <w:rsid w:val="00991338"/>
    <w:rsid w:val="00991699"/>
    <w:rsid w:val="009916C7"/>
    <w:rsid w:val="009916FC"/>
    <w:rsid w:val="00991768"/>
    <w:rsid w:val="00991894"/>
    <w:rsid w:val="0099189B"/>
    <w:rsid w:val="00991A00"/>
    <w:rsid w:val="00991A63"/>
    <w:rsid w:val="00991B2E"/>
    <w:rsid w:val="00991E0F"/>
    <w:rsid w:val="00991E10"/>
    <w:rsid w:val="00991F6E"/>
    <w:rsid w:val="00991FCB"/>
    <w:rsid w:val="00991FD4"/>
    <w:rsid w:val="009920B3"/>
    <w:rsid w:val="0099236C"/>
    <w:rsid w:val="009923C0"/>
    <w:rsid w:val="00992604"/>
    <w:rsid w:val="00992689"/>
    <w:rsid w:val="00992797"/>
    <w:rsid w:val="009927DD"/>
    <w:rsid w:val="0099286B"/>
    <w:rsid w:val="009928D7"/>
    <w:rsid w:val="00992901"/>
    <w:rsid w:val="009929C8"/>
    <w:rsid w:val="00992B32"/>
    <w:rsid w:val="00992EE8"/>
    <w:rsid w:val="009937BB"/>
    <w:rsid w:val="00993DD9"/>
    <w:rsid w:val="00993E54"/>
    <w:rsid w:val="00993EB6"/>
    <w:rsid w:val="00993F4B"/>
    <w:rsid w:val="00993F9E"/>
    <w:rsid w:val="00994038"/>
    <w:rsid w:val="00994102"/>
    <w:rsid w:val="00994271"/>
    <w:rsid w:val="00994348"/>
    <w:rsid w:val="009944D3"/>
    <w:rsid w:val="009945EC"/>
    <w:rsid w:val="00994675"/>
    <w:rsid w:val="009948C6"/>
    <w:rsid w:val="00994941"/>
    <w:rsid w:val="00994AE8"/>
    <w:rsid w:val="00994F29"/>
    <w:rsid w:val="00995076"/>
    <w:rsid w:val="0099526B"/>
    <w:rsid w:val="0099558F"/>
    <w:rsid w:val="009955C5"/>
    <w:rsid w:val="0099564B"/>
    <w:rsid w:val="00995707"/>
    <w:rsid w:val="00995726"/>
    <w:rsid w:val="00995733"/>
    <w:rsid w:val="009959CF"/>
    <w:rsid w:val="00995A35"/>
    <w:rsid w:val="00995AA8"/>
    <w:rsid w:val="00995D7F"/>
    <w:rsid w:val="00995E6C"/>
    <w:rsid w:val="009960DC"/>
    <w:rsid w:val="00996221"/>
    <w:rsid w:val="00996359"/>
    <w:rsid w:val="009963AE"/>
    <w:rsid w:val="0099652D"/>
    <w:rsid w:val="0099686F"/>
    <w:rsid w:val="0099687F"/>
    <w:rsid w:val="00996DEE"/>
    <w:rsid w:val="00996E25"/>
    <w:rsid w:val="00996EB6"/>
    <w:rsid w:val="00996ECA"/>
    <w:rsid w:val="009970FD"/>
    <w:rsid w:val="009975BB"/>
    <w:rsid w:val="009977F8"/>
    <w:rsid w:val="009978B3"/>
    <w:rsid w:val="009978F1"/>
    <w:rsid w:val="00997B3F"/>
    <w:rsid w:val="00997C08"/>
    <w:rsid w:val="00997CAF"/>
    <w:rsid w:val="00997D77"/>
    <w:rsid w:val="00997E08"/>
    <w:rsid w:val="00997FC9"/>
    <w:rsid w:val="009A0035"/>
    <w:rsid w:val="009A010C"/>
    <w:rsid w:val="009A01CE"/>
    <w:rsid w:val="009A0240"/>
    <w:rsid w:val="009A0250"/>
    <w:rsid w:val="009A02A2"/>
    <w:rsid w:val="009A0431"/>
    <w:rsid w:val="009A0443"/>
    <w:rsid w:val="009A046E"/>
    <w:rsid w:val="009A048A"/>
    <w:rsid w:val="009A06B8"/>
    <w:rsid w:val="009A0B89"/>
    <w:rsid w:val="009A0C50"/>
    <w:rsid w:val="009A0C5E"/>
    <w:rsid w:val="009A0DD9"/>
    <w:rsid w:val="009A0E07"/>
    <w:rsid w:val="009A0E76"/>
    <w:rsid w:val="009A1039"/>
    <w:rsid w:val="009A12AA"/>
    <w:rsid w:val="009A14EC"/>
    <w:rsid w:val="009A184E"/>
    <w:rsid w:val="009A1CE5"/>
    <w:rsid w:val="009A20EA"/>
    <w:rsid w:val="009A2362"/>
    <w:rsid w:val="009A25A1"/>
    <w:rsid w:val="009A26F8"/>
    <w:rsid w:val="009A286F"/>
    <w:rsid w:val="009A28D9"/>
    <w:rsid w:val="009A2A8E"/>
    <w:rsid w:val="009A2B10"/>
    <w:rsid w:val="009A2DF8"/>
    <w:rsid w:val="009A2E45"/>
    <w:rsid w:val="009A2EF7"/>
    <w:rsid w:val="009A30FF"/>
    <w:rsid w:val="009A3167"/>
    <w:rsid w:val="009A33AA"/>
    <w:rsid w:val="009A33EC"/>
    <w:rsid w:val="009A340F"/>
    <w:rsid w:val="009A34EA"/>
    <w:rsid w:val="009A350C"/>
    <w:rsid w:val="009A3903"/>
    <w:rsid w:val="009A397D"/>
    <w:rsid w:val="009A39C0"/>
    <w:rsid w:val="009A3A3C"/>
    <w:rsid w:val="009A3B4B"/>
    <w:rsid w:val="009A3C5F"/>
    <w:rsid w:val="009A3EDE"/>
    <w:rsid w:val="009A408C"/>
    <w:rsid w:val="009A4091"/>
    <w:rsid w:val="009A44C3"/>
    <w:rsid w:val="009A45DE"/>
    <w:rsid w:val="009A4725"/>
    <w:rsid w:val="009A4766"/>
    <w:rsid w:val="009A480C"/>
    <w:rsid w:val="009A49FB"/>
    <w:rsid w:val="009A4AD0"/>
    <w:rsid w:val="009A4B16"/>
    <w:rsid w:val="009A4DA3"/>
    <w:rsid w:val="009A4ED4"/>
    <w:rsid w:val="009A4F74"/>
    <w:rsid w:val="009A532D"/>
    <w:rsid w:val="009A53D2"/>
    <w:rsid w:val="009A58E0"/>
    <w:rsid w:val="009A5A09"/>
    <w:rsid w:val="009A5B3C"/>
    <w:rsid w:val="009A5C24"/>
    <w:rsid w:val="009A5DC3"/>
    <w:rsid w:val="009A5F1C"/>
    <w:rsid w:val="009A61BA"/>
    <w:rsid w:val="009A6385"/>
    <w:rsid w:val="009A639F"/>
    <w:rsid w:val="009A63C8"/>
    <w:rsid w:val="009A6532"/>
    <w:rsid w:val="009A65A5"/>
    <w:rsid w:val="009A6602"/>
    <w:rsid w:val="009A6652"/>
    <w:rsid w:val="009A6694"/>
    <w:rsid w:val="009A669D"/>
    <w:rsid w:val="009A690B"/>
    <w:rsid w:val="009A699D"/>
    <w:rsid w:val="009A69A5"/>
    <w:rsid w:val="009A6B8B"/>
    <w:rsid w:val="009A6C88"/>
    <w:rsid w:val="009A6D62"/>
    <w:rsid w:val="009A6FD1"/>
    <w:rsid w:val="009A728B"/>
    <w:rsid w:val="009A7443"/>
    <w:rsid w:val="009A76C8"/>
    <w:rsid w:val="009A77C5"/>
    <w:rsid w:val="009A7947"/>
    <w:rsid w:val="009A7AA5"/>
    <w:rsid w:val="009A7BAB"/>
    <w:rsid w:val="009A7BED"/>
    <w:rsid w:val="009A7E47"/>
    <w:rsid w:val="009A7E54"/>
    <w:rsid w:val="009B0006"/>
    <w:rsid w:val="009B006F"/>
    <w:rsid w:val="009B04A6"/>
    <w:rsid w:val="009B061A"/>
    <w:rsid w:val="009B06EB"/>
    <w:rsid w:val="009B075D"/>
    <w:rsid w:val="009B079A"/>
    <w:rsid w:val="009B0EC3"/>
    <w:rsid w:val="009B0F2A"/>
    <w:rsid w:val="009B109D"/>
    <w:rsid w:val="009B11CB"/>
    <w:rsid w:val="009B12FC"/>
    <w:rsid w:val="009B14A9"/>
    <w:rsid w:val="009B1644"/>
    <w:rsid w:val="009B1717"/>
    <w:rsid w:val="009B176E"/>
    <w:rsid w:val="009B1796"/>
    <w:rsid w:val="009B1C95"/>
    <w:rsid w:val="009B1E70"/>
    <w:rsid w:val="009B1EE8"/>
    <w:rsid w:val="009B2155"/>
    <w:rsid w:val="009B218E"/>
    <w:rsid w:val="009B2399"/>
    <w:rsid w:val="009B2489"/>
    <w:rsid w:val="009B24B8"/>
    <w:rsid w:val="009B2652"/>
    <w:rsid w:val="009B2657"/>
    <w:rsid w:val="009B26F3"/>
    <w:rsid w:val="009B2B1D"/>
    <w:rsid w:val="009B2BEE"/>
    <w:rsid w:val="009B2C64"/>
    <w:rsid w:val="009B2D18"/>
    <w:rsid w:val="009B2DEA"/>
    <w:rsid w:val="009B2F94"/>
    <w:rsid w:val="009B3231"/>
    <w:rsid w:val="009B329F"/>
    <w:rsid w:val="009B3480"/>
    <w:rsid w:val="009B3512"/>
    <w:rsid w:val="009B35A5"/>
    <w:rsid w:val="009B3615"/>
    <w:rsid w:val="009B3695"/>
    <w:rsid w:val="009B3703"/>
    <w:rsid w:val="009B3888"/>
    <w:rsid w:val="009B394E"/>
    <w:rsid w:val="009B3D3A"/>
    <w:rsid w:val="009B3D44"/>
    <w:rsid w:val="009B3DC1"/>
    <w:rsid w:val="009B3E47"/>
    <w:rsid w:val="009B3EA1"/>
    <w:rsid w:val="009B42BE"/>
    <w:rsid w:val="009B4356"/>
    <w:rsid w:val="009B4358"/>
    <w:rsid w:val="009B443F"/>
    <w:rsid w:val="009B4468"/>
    <w:rsid w:val="009B44FB"/>
    <w:rsid w:val="009B45E5"/>
    <w:rsid w:val="009B4614"/>
    <w:rsid w:val="009B47A0"/>
    <w:rsid w:val="009B47BD"/>
    <w:rsid w:val="009B4C30"/>
    <w:rsid w:val="009B4C54"/>
    <w:rsid w:val="009B4CBB"/>
    <w:rsid w:val="009B4D06"/>
    <w:rsid w:val="009B4D24"/>
    <w:rsid w:val="009B4F9E"/>
    <w:rsid w:val="009B525F"/>
    <w:rsid w:val="009B5284"/>
    <w:rsid w:val="009B52A3"/>
    <w:rsid w:val="009B52E6"/>
    <w:rsid w:val="009B531B"/>
    <w:rsid w:val="009B534A"/>
    <w:rsid w:val="009B55A4"/>
    <w:rsid w:val="009B56C4"/>
    <w:rsid w:val="009B56D2"/>
    <w:rsid w:val="009B5766"/>
    <w:rsid w:val="009B58B7"/>
    <w:rsid w:val="009B58FB"/>
    <w:rsid w:val="009B5CA0"/>
    <w:rsid w:val="009B5CAE"/>
    <w:rsid w:val="009B5D33"/>
    <w:rsid w:val="009B5DE5"/>
    <w:rsid w:val="009B5F3D"/>
    <w:rsid w:val="009B60B2"/>
    <w:rsid w:val="009B60C5"/>
    <w:rsid w:val="009B61E2"/>
    <w:rsid w:val="009B62B8"/>
    <w:rsid w:val="009B645C"/>
    <w:rsid w:val="009B6560"/>
    <w:rsid w:val="009B66C3"/>
    <w:rsid w:val="009B6965"/>
    <w:rsid w:val="009B69A0"/>
    <w:rsid w:val="009B6C56"/>
    <w:rsid w:val="009B6E7D"/>
    <w:rsid w:val="009B6F3B"/>
    <w:rsid w:val="009B6F5C"/>
    <w:rsid w:val="009B6F84"/>
    <w:rsid w:val="009B71E2"/>
    <w:rsid w:val="009B72C2"/>
    <w:rsid w:val="009B7470"/>
    <w:rsid w:val="009B74E7"/>
    <w:rsid w:val="009B753B"/>
    <w:rsid w:val="009B7A37"/>
    <w:rsid w:val="009B7BB8"/>
    <w:rsid w:val="009B7BD4"/>
    <w:rsid w:val="009B7DB9"/>
    <w:rsid w:val="009B7E96"/>
    <w:rsid w:val="009B7E9E"/>
    <w:rsid w:val="009C03E2"/>
    <w:rsid w:val="009C0472"/>
    <w:rsid w:val="009C07F9"/>
    <w:rsid w:val="009C0857"/>
    <w:rsid w:val="009C09BB"/>
    <w:rsid w:val="009C0C25"/>
    <w:rsid w:val="009C0C79"/>
    <w:rsid w:val="009C0EC2"/>
    <w:rsid w:val="009C0FF6"/>
    <w:rsid w:val="009C101E"/>
    <w:rsid w:val="009C11BF"/>
    <w:rsid w:val="009C121C"/>
    <w:rsid w:val="009C129B"/>
    <w:rsid w:val="009C138D"/>
    <w:rsid w:val="009C15B6"/>
    <w:rsid w:val="009C180A"/>
    <w:rsid w:val="009C18DD"/>
    <w:rsid w:val="009C202B"/>
    <w:rsid w:val="009C22BA"/>
    <w:rsid w:val="009C2483"/>
    <w:rsid w:val="009C2552"/>
    <w:rsid w:val="009C25A9"/>
    <w:rsid w:val="009C2607"/>
    <w:rsid w:val="009C27BE"/>
    <w:rsid w:val="009C2936"/>
    <w:rsid w:val="009C2978"/>
    <w:rsid w:val="009C297B"/>
    <w:rsid w:val="009C2B34"/>
    <w:rsid w:val="009C2BDA"/>
    <w:rsid w:val="009C2D99"/>
    <w:rsid w:val="009C2F78"/>
    <w:rsid w:val="009C2FA0"/>
    <w:rsid w:val="009C31EF"/>
    <w:rsid w:val="009C3261"/>
    <w:rsid w:val="009C3333"/>
    <w:rsid w:val="009C343F"/>
    <w:rsid w:val="009C375F"/>
    <w:rsid w:val="009C39B1"/>
    <w:rsid w:val="009C3DCB"/>
    <w:rsid w:val="009C3EF7"/>
    <w:rsid w:val="009C40A7"/>
    <w:rsid w:val="009C43D2"/>
    <w:rsid w:val="009C44EB"/>
    <w:rsid w:val="009C45E6"/>
    <w:rsid w:val="009C46BE"/>
    <w:rsid w:val="009C47B6"/>
    <w:rsid w:val="009C48B5"/>
    <w:rsid w:val="009C48F2"/>
    <w:rsid w:val="009C49EF"/>
    <w:rsid w:val="009C4C9A"/>
    <w:rsid w:val="009C4DCE"/>
    <w:rsid w:val="009C4E19"/>
    <w:rsid w:val="009C4FD4"/>
    <w:rsid w:val="009C519E"/>
    <w:rsid w:val="009C53A3"/>
    <w:rsid w:val="009C53BA"/>
    <w:rsid w:val="009C5910"/>
    <w:rsid w:val="009C5940"/>
    <w:rsid w:val="009C59CD"/>
    <w:rsid w:val="009C59EE"/>
    <w:rsid w:val="009C5ABC"/>
    <w:rsid w:val="009C5B2F"/>
    <w:rsid w:val="009C5BD6"/>
    <w:rsid w:val="009C6054"/>
    <w:rsid w:val="009C6168"/>
    <w:rsid w:val="009C6218"/>
    <w:rsid w:val="009C63DC"/>
    <w:rsid w:val="009C64E1"/>
    <w:rsid w:val="009C68DC"/>
    <w:rsid w:val="009C6A1E"/>
    <w:rsid w:val="009C6AB1"/>
    <w:rsid w:val="009C6BE0"/>
    <w:rsid w:val="009C6D1C"/>
    <w:rsid w:val="009C6D92"/>
    <w:rsid w:val="009C6E3C"/>
    <w:rsid w:val="009C6E63"/>
    <w:rsid w:val="009C6ECD"/>
    <w:rsid w:val="009C7037"/>
    <w:rsid w:val="009C73B6"/>
    <w:rsid w:val="009C748F"/>
    <w:rsid w:val="009C757E"/>
    <w:rsid w:val="009C759D"/>
    <w:rsid w:val="009C7794"/>
    <w:rsid w:val="009C781F"/>
    <w:rsid w:val="009C7873"/>
    <w:rsid w:val="009C7AA7"/>
    <w:rsid w:val="009C7AB4"/>
    <w:rsid w:val="009C7CAA"/>
    <w:rsid w:val="009C7E40"/>
    <w:rsid w:val="009C7EB6"/>
    <w:rsid w:val="009D0133"/>
    <w:rsid w:val="009D014B"/>
    <w:rsid w:val="009D04C4"/>
    <w:rsid w:val="009D05F3"/>
    <w:rsid w:val="009D069B"/>
    <w:rsid w:val="009D095F"/>
    <w:rsid w:val="009D09DB"/>
    <w:rsid w:val="009D0B46"/>
    <w:rsid w:val="009D0B6F"/>
    <w:rsid w:val="009D0D33"/>
    <w:rsid w:val="009D0E86"/>
    <w:rsid w:val="009D0ED3"/>
    <w:rsid w:val="009D101A"/>
    <w:rsid w:val="009D1135"/>
    <w:rsid w:val="009D1604"/>
    <w:rsid w:val="009D17E2"/>
    <w:rsid w:val="009D17E3"/>
    <w:rsid w:val="009D1969"/>
    <w:rsid w:val="009D1980"/>
    <w:rsid w:val="009D19CC"/>
    <w:rsid w:val="009D1B51"/>
    <w:rsid w:val="009D1C61"/>
    <w:rsid w:val="009D1F3A"/>
    <w:rsid w:val="009D22F1"/>
    <w:rsid w:val="009D23EE"/>
    <w:rsid w:val="009D2466"/>
    <w:rsid w:val="009D2674"/>
    <w:rsid w:val="009D2A04"/>
    <w:rsid w:val="009D2A44"/>
    <w:rsid w:val="009D2DB1"/>
    <w:rsid w:val="009D2E2B"/>
    <w:rsid w:val="009D2E5A"/>
    <w:rsid w:val="009D304F"/>
    <w:rsid w:val="009D314A"/>
    <w:rsid w:val="009D362E"/>
    <w:rsid w:val="009D374B"/>
    <w:rsid w:val="009D38A1"/>
    <w:rsid w:val="009D3A92"/>
    <w:rsid w:val="009D3B52"/>
    <w:rsid w:val="009D3F00"/>
    <w:rsid w:val="009D40C0"/>
    <w:rsid w:val="009D4102"/>
    <w:rsid w:val="009D4233"/>
    <w:rsid w:val="009D42F8"/>
    <w:rsid w:val="009D4342"/>
    <w:rsid w:val="009D444F"/>
    <w:rsid w:val="009D44AE"/>
    <w:rsid w:val="009D4C6D"/>
    <w:rsid w:val="009D50A4"/>
    <w:rsid w:val="009D527E"/>
    <w:rsid w:val="009D52F7"/>
    <w:rsid w:val="009D5343"/>
    <w:rsid w:val="009D5435"/>
    <w:rsid w:val="009D553E"/>
    <w:rsid w:val="009D559B"/>
    <w:rsid w:val="009D58A0"/>
    <w:rsid w:val="009D5AE7"/>
    <w:rsid w:val="009D5B7A"/>
    <w:rsid w:val="009D5C8B"/>
    <w:rsid w:val="009D5D30"/>
    <w:rsid w:val="009D5D76"/>
    <w:rsid w:val="009D5ED1"/>
    <w:rsid w:val="009D5F5E"/>
    <w:rsid w:val="009D60BF"/>
    <w:rsid w:val="009D6280"/>
    <w:rsid w:val="009D6441"/>
    <w:rsid w:val="009D6732"/>
    <w:rsid w:val="009D680B"/>
    <w:rsid w:val="009D6A8E"/>
    <w:rsid w:val="009D6BE5"/>
    <w:rsid w:val="009D6C64"/>
    <w:rsid w:val="009D6CAA"/>
    <w:rsid w:val="009D71EE"/>
    <w:rsid w:val="009D7244"/>
    <w:rsid w:val="009D7359"/>
    <w:rsid w:val="009D7670"/>
    <w:rsid w:val="009D7683"/>
    <w:rsid w:val="009D76C4"/>
    <w:rsid w:val="009D7B45"/>
    <w:rsid w:val="009D7CED"/>
    <w:rsid w:val="009D7F6C"/>
    <w:rsid w:val="009E010C"/>
    <w:rsid w:val="009E031F"/>
    <w:rsid w:val="009E059C"/>
    <w:rsid w:val="009E0664"/>
    <w:rsid w:val="009E0720"/>
    <w:rsid w:val="009E07FC"/>
    <w:rsid w:val="009E0E44"/>
    <w:rsid w:val="009E11B5"/>
    <w:rsid w:val="009E1471"/>
    <w:rsid w:val="009E158E"/>
    <w:rsid w:val="009E1816"/>
    <w:rsid w:val="009E18A7"/>
    <w:rsid w:val="009E19F9"/>
    <w:rsid w:val="009E1A89"/>
    <w:rsid w:val="009E1B2E"/>
    <w:rsid w:val="009E1C47"/>
    <w:rsid w:val="009E1DCA"/>
    <w:rsid w:val="009E1EB5"/>
    <w:rsid w:val="009E1EBB"/>
    <w:rsid w:val="009E2275"/>
    <w:rsid w:val="009E2281"/>
    <w:rsid w:val="009E235E"/>
    <w:rsid w:val="009E24BE"/>
    <w:rsid w:val="009E26EC"/>
    <w:rsid w:val="009E2919"/>
    <w:rsid w:val="009E293D"/>
    <w:rsid w:val="009E2A76"/>
    <w:rsid w:val="009E2B31"/>
    <w:rsid w:val="009E2CAA"/>
    <w:rsid w:val="009E2CEB"/>
    <w:rsid w:val="009E2D5D"/>
    <w:rsid w:val="009E2D74"/>
    <w:rsid w:val="009E2DBE"/>
    <w:rsid w:val="009E2E1C"/>
    <w:rsid w:val="009E2E38"/>
    <w:rsid w:val="009E2FEB"/>
    <w:rsid w:val="009E3041"/>
    <w:rsid w:val="009E3146"/>
    <w:rsid w:val="009E33FF"/>
    <w:rsid w:val="009E357E"/>
    <w:rsid w:val="009E3585"/>
    <w:rsid w:val="009E358A"/>
    <w:rsid w:val="009E3777"/>
    <w:rsid w:val="009E3936"/>
    <w:rsid w:val="009E3AEB"/>
    <w:rsid w:val="009E3C39"/>
    <w:rsid w:val="009E3CC9"/>
    <w:rsid w:val="009E3D0F"/>
    <w:rsid w:val="009E3DCE"/>
    <w:rsid w:val="009E3E43"/>
    <w:rsid w:val="009E3E88"/>
    <w:rsid w:val="009E41E1"/>
    <w:rsid w:val="009E4213"/>
    <w:rsid w:val="009E4518"/>
    <w:rsid w:val="009E4899"/>
    <w:rsid w:val="009E48EE"/>
    <w:rsid w:val="009E4A1A"/>
    <w:rsid w:val="009E4C88"/>
    <w:rsid w:val="009E4CF7"/>
    <w:rsid w:val="009E4D23"/>
    <w:rsid w:val="009E4F25"/>
    <w:rsid w:val="009E4F72"/>
    <w:rsid w:val="009E4F85"/>
    <w:rsid w:val="009E50A0"/>
    <w:rsid w:val="009E52C9"/>
    <w:rsid w:val="009E532B"/>
    <w:rsid w:val="009E53AE"/>
    <w:rsid w:val="009E5413"/>
    <w:rsid w:val="009E58D3"/>
    <w:rsid w:val="009E5E5B"/>
    <w:rsid w:val="009E6111"/>
    <w:rsid w:val="009E6403"/>
    <w:rsid w:val="009E651D"/>
    <w:rsid w:val="009E6843"/>
    <w:rsid w:val="009E6885"/>
    <w:rsid w:val="009E6A24"/>
    <w:rsid w:val="009E6BE3"/>
    <w:rsid w:val="009E6D12"/>
    <w:rsid w:val="009E7165"/>
    <w:rsid w:val="009E7249"/>
    <w:rsid w:val="009E7383"/>
    <w:rsid w:val="009E749E"/>
    <w:rsid w:val="009E797E"/>
    <w:rsid w:val="009E7A9A"/>
    <w:rsid w:val="009E7ACD"/>
    <w:rsid w:val="009E7BA2"/>
    <w:rsid w:val="009E7D4C"/>
    <w:rsid w:val="009E7E09"/>
    <w:rsid w:val="009E7E43"/>
    <w:rsid w:val="009E7F1E"/>
    <w:rsid w:val="009F005F"/>
    <w:rsid w:val="009F0089"/>
    <w:rsid w:val="009F01A3"/>
    <w:rsid w:val="009F01A6"/>
    <w:rsid w:val="009F023F"/>
    <w:rsid w:val="009F0392"/>
    <w:rsid w:val="009F0529"/>
    <w:rsid w:val="009F0626"/>
    <w:rsid w:val="009F0B11"/>
    <w:rsid w:val="009F0BC1"/>
    <w:rsid w:val="009F0DE4"/>
    <w:rsid w:val="009F1001"/>
    <w:rsid w:val="009F107D"/>
    <w:rsid w:val="009F10D2"/>
    <w:rsid w:val="009F1111"/>
    <w:rsid w:val="009F158B"/>
    <w:rsid w:val="009F16F3"/>
    <w:rsid w:val="009F1710"/>
    <w:rsid w:val="009F1898"/>
    <w:rsid w:val="009F1AC4"/>
    <w:rsid w:val="009F1CE3"/>
    <w:rsid w:val="009F1DD9"/>
    <w:rsid w:val="009F1DEC"/>
    <w:rsid w:val="009F1EFF"/>
    <w:rsid w:val="009F1F6C"/>
    <w:rsid w:val="009F2102"/>
    <w:rsid w:val="009F22B9"/>
    <w:rsid w:val="009F2350"/>
    <w:rsid w:val="009F2544"/>
    <w:rsid w:val="009F2677"/>
    <w:rsid w:val="009F267D"/>
    <w:rsid w:val="009F2685"/>
    <w:rsid w:val="009F2835"/>
    <w:rsid w:val="009F2895"/>
    <w:rsid w:val="009F2A64"/>
    <w:rsid w:val="009F2C04"/>
    <w:rsid w:val="009F2CB6"/>
    <w:rsid w:val="009F2D46"/>
    <w:rsid w:val="009F2EEA"/>
    <w:rsid w:val="009F2F25"/>
    <w:rsid w:val="009F3196"/>
    <w:rsid w:val="009F3475"/>
    <w:rsid w:val="009F35F6"/>
    <w:rsid w:val="009F3CD6"/>
    <w:rsid w:val="009F3E43"/>
    <w:rsid w:val="009F3EB5"/>
    <w:rsid w:val="009F3EEE"/>
    <w:rsid w:val="009F409D"/>
    <w:rsid w:val="009F40F6"/>
    <w:rsid w:val="009F4189"/>
    <w:rsid w:val="009F47AC"/>
    <w:rsid w:val="009F47C3"/>
    <w:rsid w:val="009F483A"/>
    <w:rsid w:val="009F4858"/>
    <w:rsid w:val="009F49AD"/>
    <w:rsid w:val="009F49DD"/>
    <w:rsid w:val="009F49F0"/>
    <w:rsid w:val="009F4A73"/>
    <w:rsid w:val="009F4D77"/>
    <w:rsid w:val="009F4F1F"/>
    <w:rsid w:val="009F5077"/>
    <w:rsid w:val="009F5386"/>
    <w:rsid w:val="009F5514"/>
    <w:rsid w:val="009F5616"/>
    <w:rsid w:val="009F56FC"/>
    <w:rsid w:val="009F5905"/>
    <w:rsid w:val="009F5B38"/>
    <w:rsid w:val="009F5B69"/>
    <w:rsid w:val="009F5BAE"/>
    <w:rsid w:val="009F5BDA"/>
    <w:rsid w:val="009F5CD1"/>
    <w:rsid w:val="009F5E67"/>
    <w:rsid w:val="009F5FE3"/>
    <w:rsid w:val="009F6084"/>
    <w:rsid w:val="009F6100"/>
    <w:rsid w:val="009F63B0"/>
    <w:rsid w:val="009F63E0"/>
    <w:rsid w:val="009F63EA"/>
    <w:rsid w:val="009F6446"/>
    <w:rsid w:val="009F6474"/>
    <w:rsid w:val="009F69D5"/>
    <w:rsid w:val="009F6B3D"/>
    <w:rsid w:val="009F6D95"/>
    <w:rsid w:val="009F6E35"/>
    <w:rsid w:val="009F719D"/>
    <w:rsid w:val="009F71DD"/>
    <w:rsid w:val="009F7254"/>
    <w:rsid w:val="009F72AE"/>
    <w:rsid w:val="009F73A1"/>
    <w:rsid w:val="009F73D6"/>
    <w:rsid w:val="009F7846"/>
    <w:rsid w:val="009F7B79"/>
    <w:rsid w:val="009F7C1E"/>
    <w:rsid w:val="009F7C81"/>
    <w:rsid w:val="009F7C89"/>
    <w:rsid w:val="009F7F1B"/>
    <w:rsid w:val="009F7F37"/>
    <w:rsid w:val="00A0021C"/>
    <w:rsid w:val="00A002E0"/>
    <w:rsid w:val="00A006BF"/>
    <w:rsid w:val="00A00841"/>
    <w:rsid w:val="00A008A2"/>
    <w:rsid w:val="00A008E2"/>
    <w:rsid w:val="00A009E8"/>
    <w:rsid w:val="00A00BE1"/>
    <w:rsid w:val="00A00D39"/>
    <w:rsid w:val="00A00D88"/>
    <w:rsid w:val="00A00EC1"/>
    <w:rsid w:val="00A01190"/>
    <w:rsid w:val="00A014D0"/>
    <w:rsid w:val="00A01776"/>
    <w:rsid w:val="00A0188B"/>
    <w:rsid w:val="00A02212"/>
    <w:rsid w:val="00A0271E"/>
    <w:rsid w:val="00A0284A"/>
    <w:rsid w:val="00A0299B"/>
    <w:rsid w:val="00A02ACB"/>
    <w:rsid w:val="00A02D00"/>
    <w:rsid w:val="00A031EE"/>
    <w:rsid w:val="00A0350C"/>
    <w:rsid w:val="00A03687"/>
    <w:rsid w:val="00A038C6"/>
    <w:rsid w:val="00A03AD0"/>
    <w:rsid w:val="00A03CF4"/>
    <w:rsid w:val="00A03DF1"/>
    <w:rsid w:val="00A04035"/>
    <w:rsid w:val="00A041BC"/>
    <w:rsid w:val="00A048B3"/>
    <w:rsid w:val="00A048F6"/>
    <w:rsid w:val="00A04904"/>
    <w:rsid w:val="00A04AC6"/>
    <w:rsid w:val="00A0502D"/>
    <w:rsid w:val="00A050DB"/>
    <w:rsid w:val="00A05141"/>
    <w:rsid w:val="00A05166"/>
    <w:rsid w:val="00A05414"/>
    <w:rsid w:val="00A057DA"/>
    <w:rsid w:val="00A05A62"/>
    <w:rsid w:val="00A05AFD"/>
    <w:rsid w:val="00A05D43"/>
    <w:rsid w:val="00A05EAB"/>
    <w:rsid w:val="00A05F23"/>
    <w:rsid w:val="00A06035"/>
    <w:rsid w:val="00A061D1"/>
    <w:rsid w:val="00A06252"/>
    <w:rsid w:val="00A062CC"/>
    <w:rsid w:val="00A063B9"/>
    <w:rsid w:val="00A065B3"/>
    <w:rsid w:val="00A06632"/>
    <w:rsid w:val="00A067A2"/>
    <w:rsid w:val="00A068DA"/>
    <w:rsid w:val="00A06C0E"/>
    <w:rsid w:val="00A06DDC"/>
    <w:rsid w:val="00A06E59"/>
    <w:rsid w:val="00A06E61"/>
    <w:rsid w:val="00A06F64"/>
    <w:rsid w:val="00A06F7C"/>
    <w:rsid w:val="00A0710A"/>
    <w:rsid w:val="00A075F0"/>
    <w:rsid w:val="00A07788"/>
    <w:rsid w:val="00A077D1"/>
    <w:rsid w:val="00A077F9"/>
    <w:rsid w:val="00A07978"/>
    <w:rsid w:val="00A07AA3"/>
    <w:rsid w:val="00A07ABE"/>
    <w:rsid w:val="00A07D5E"/>
    <w:rsid w:val="00A07E68"/>
    <w:rsid w:val="00A07FB8"/>
    <w:rsid w:val="00A07FD3"/>
    <w:rsid w:val="00A100F1"/>
    <w:rsid w:val="00A10163"/>
    <w:rsid w:val="00A10450"/>
    <w:rsid w:val="00A1045C"/>
    <w:rsid w:val="00A10740"/>
    <w:rsid w:val="00A10791"/>
    <w:rsid w:val="00A10D53"/>
    <w:rsid w:val="00A10F88"/>
    <w:rsid w:val="00A111CA"/>
    <w:rsid w:val="00A1152C"/>
    <w:rsid w:val="00A115BB"/>
    <w:rsid w:val="00A11638"/>
    <w:rsid w:val="00A11814"/>
    <w:rsid w:val="00A11B97"/>
    <w:rsid w:val="00A11D1C"/>
    <w:rsid w:val="00A11D71"/>
    <w:rsid w:val="00A11EBD"/>
    <w:rsid w:val="00A12243"/>
    <w:rsid w:val="00A123A7"/>
    <w:rsid w:val="00A1271D"/>
    <w:rsid w:val="00A127A9"/>
    <w:rsid w:val="00A12A84"/>
    <w:rsid w:val="00A12AC9"/>
    <w:rsid w:val="00A12C4C"/>
    <w:rsid w:val="00A12CF1"/>
    <w:rsid w:val="00A12D6A"/>
    <w:rsid w:val="00A12DAD"/>
    <w:rsid w:val="00A12E28"/>
    <w:rsid w:val="00A12F81"/>
    <w:rsid w:val="00A13171"/>
    <w:rsid w:val="00A131A4"/>
    <w:rsid w:val="00A132C4"/>
    <w:rsid w:val="00A13311"/>
    <w:rsid w:val="00A1362C"/>
    <w:rsid w:val="00A136AF"/>
    <w:rsid w:val="00A13977"/>
    <w:rsid w:val="00A13BB7"/>
    <w:rsid w:val="00A13D67"/>
    <w:rsid w:val="00A13F39"/>
    <w:rsid w:val="00A13FAE"/>
    <w:rsid w:val="00A14093"/>
    <w:rsid w:val="00A141AE"/>
    <w:rsid w:val="00A14291"/>
    <w:rsid w:val="00A14335"/>
    <w:rsid w:val="00A143C6"/>
    <w:rsid w:val="00A143E5"/>
    <w:rsid w:val="00A14413"/>
    <w:rsid w:val="00A148DC"/>
    <w:rsid w:val="00A149C5"/>
    <w:rsid w:val="00A149E8"/>
    <w:rsid w:val="00A149F3"/>
    <w:rsid w:val="00A14A6E"/>
    <w:rsid w:val="00A14ACE"/>
    <w:rsid w:val="00A14B8F"/>
    <w:rsid w:val="00A14E0F"/>
    <w:rsid w:val="00A152F3"/>
    <w:rsid w:val="00A154DC"/>
    <w:rsid w:val="00A156FC"/>
    <w:rsid w:val="00A15866"/>
    <w:rsid w:val="00A158CD"/>
    <w:rsid w:val="00A15A6E"/>
    <w:rsid w:val="00A15C02"/>
    <w:rsid w:val="00A15D14"/>
    <w:rsid w:val="00A15F2E"/>
    <w:rsid w:val="00A16046"/>
    <w:rsid w:val="00A16053"/>
    <w:rsid w:val="00A16135"/>
    <w:rsid w:val="00A16386"/>
    <w:rsid w:val="00A163AB"/>
    <w:rsid w:val="00A16447"/>
    <w:rsid w:val="00A1648A"/>
    <w:rsid w:val="00A16662"/>
    <w:rsid w:val="00A1677A"/>
    <w:rsid w:val="00A16937"/>
    <w:rsid w:val="00A16958"/>
    <w:rsid w:val="00A16989"/>
    <w:rsid w:val="00A16A7B"/>
    <w:rsid w:val="00A16B98"/>
    <w:rsid w:val="00A16C09"/>
    <w:rsid w:val="00A16D57"/>
    <w:rsid w:val="00A16F01"/>
    <w:rsid w:val="00A1714D"/>
    <w:rsid w:val="00A17196"/>
    <w:rsid w:val="00A171BF"/>
    <w:rsid w:val="00A17559"/>
    <w:rsid w:val="00A17570"/>
    <w:rsid w:val="00A17643"/>
    <w:rsid w:val="00A178A2"/>
    <w:rsid w:val="00A17B88"/>
    <w:rsid w:val="00A17D2C"/>
    <w:rsid w:val="00A17D57"/>
    <w:rsid w:val="00A17E6B"/>
    <w:rsid w:val="00A20045"/>
    <w:rsid w:val="00A20145"/>
    <w:rsid w:val="00A2023B"/>
    <w:rsid w:val="00A20268"/>
    <w:rsid w:val="00A2027D"/>
    <w:rsid w:val="00A203B2"/>
    <w:rsid w:val="00A20458"/>
    <w:rsid w:val="00A20534"/>
    <w:rsid w:val="00A20899"/>
    <w:rsid w:val="00A20907"/>
    <w:rsid w:val="00A20B9F"/>
    <w:rsid w:val="00A20BDD"/>
    <w:rsid w:val="00A20BF5"/>
    <w:rsid w:val="00A20DDF"/>
    <w:rsid w:val="00A20E08"/>
    <w:rsid w:val="00A20E51"/>
    <w:rsid w:val="00A20F23"/>
    <w:rsid w:val="00A21868"/>
    <w:rsid w:val="00A21C1C"/>
    <w:rsid w:val="00A21C44"/>
    <w:rsid w:val="00A22063"/>
    <w:rsid w:val="00A2234C"/>
    <w:rsid w:val="00A2238C"/>
    <w:rsid w:val="00A223A4"/>
    <w:rsid w:val="00A22560"/>
    <w:rsid w:val="00A22790"/>
    <w:rsid w:val="00A22878"/>
    <w:rsid w:val="00A22968"/>
    <w:rsid w:val="00A22BDB"/>
    <w:rsid w:val="00A22EC8"/>
    <w:rsid w:val="00A23163"/>
    <w:rsid w:val="00A2337F"/>
    <w:rsid w:val="00A233CF"/>
    <w:rsid w:val="00A236C6"/>
    <w:rsid w:val="00A239F5"/>
    <w:rsid w:val="00A23BB9"/>
    <w:rsid w:val="00A23FAD"/>
    <w:rsid w:val="00A2408B"/>
    <w:rsid w:val="00A240AB"/>
    <w:rsid w:val="00A2427C"/>
    <w:rsid w:val="00A242E4"/>
    <w:rsid w:val="00A243A8"/>
    <w:rsid w:val="00A2470C"/>
    <w:rsid w:val="00A2487B"/>
    <w:rsid w:val="00A248D5"/>
    <w:rsid w:val="00A248FE"/>
    <w:rsid w:val="00A24A5B"/>
    <w:rsid w:val="00A24CD1"/>
    <w:rsid w:val="00A24F22"/>
    <w:rsid w:val="00A24F4C"/>
    <w:rsid w:val="00A24FD5"/>
    <w:rsid w:val="00A252AE"/>
    <w:rsid w:val="00A252BA"/>
    <w:rsid w:val="00A25515"/>
    <w:rsid w:val="00A2589F"/>
    <w:rsid w:val="00A25949"/>
    <w:rsid w:val="00A259B1"/>
    <w:rsid w:val="00A25A89"/>
    <w:rsid w:val="00A25C85"/>
    <w:rsid w:val="00A25CC5"/>
    <w:rsid w:val="00A25F5A"/>
    <w:rsid w:val="00A26048"/>
    <w:rsid w:val="00A2609D"/>
    <w:rsid w:val="00A26171"/>
    <w:rsid w:val="00A2628D"/>
    <w:rsid w:val="00A26381"/>
    <w:rsid w:val="00A26399"/>
    <w:rsid w:val="00A26571"/>
    <w:rsid w:val="00A26574"/>
    <w:rsid w:val="00A2657F"/>
    <w:rsid w:val="00A266BB"/>
    <w:rsid w:val="00A26809"/>
    <w:rsid w:val="00A26BC7"/>
    <w:rsid w:val="00A26BD7"/>
    <w:rsid w:val="00A26D16"/>
    <w:rsid w:val="00A26D27"/>
    <w:rsid w:val="00A27007"/>
    <w:rsid w:val="00A27249"/>
    <w:rsid w:val="00A27386"/>
    <w:rsid w:val="00A273CD"/>
    <w:rsid w:val="00A27462"/>
    <w:rsid w:val="00A274B2"/>
    <w:rsid w:val="00A275A5"/>
    <w:rsid w:val="00A2765B"/>
    <w:rsid w:val="00A277CC"/>
    <w:rsid w:val="00A2794D"/>
    <w:rsid w:val="00A27A18"/>
    <w:rsid w:val="00A27A4C"/>
    <w:rsid w:val="00A27AAA"/>
    <w:rsid w:val="00A27ACA"/>
    <w:rsid w:val="00A27B17"/>
    <w:rsid w:val="00A27ED6"/>
    <w:rsid w:val="00A30004"/>
    <w:rsid w:val="00A301AA"/>
    <w:rsid w:val="00A301AD"/>
    <w:rsid w:val="00A30483"/>
    <w:rsid w:val="00A306A7"/>
    <w:rsid w:val="00A30722"/>
    <w:rsid w:val="00A30A73"/>
    <w:rsid w:val="00A30B66"/>
    <w:rsid w:val="00A30B79"/>
    <w:rsid w:val="00A30C10"/>
    <w:rsid w:val="00A312AA"/>
    <w:rsid w:val="00A31547"/>
    <w:rsid w:val="00A316BE"/>
    <w:rsid w:val="00A3181C"/>
    <w:rsid w:val="00A3185A"/>
    <w:rsid w:val="00A318A3"/>
    <w:rsid w:val="00A31B9E"/>
    <w:rsid w:val="00A31D17"/>
    <w:rsid w:val="00A31D9B"/>
    <w:rsid w:val="00A31DAC"/>
    <w:rsid w:val="00A31DD3"/>
    <w:rsid w:val="00A32079"/>
    <w:rsid w:val="00A322AD"/>
    <w:rsid w:val="00A322B4"/>
    <w:rsid w:val="00A3262A"/>
    <w:rsid w:val="00A327D5"/>
    <w:rsid w:val="00A32830"/>
    <w:rsid w:val="00A32BAF"/>
    <w:rsid w:val="00A32CE3"/>
    <w:rsid w:val="00A32DEA"/>
    <w:rsid w:val="00A32EC8"/>
    <w:rsid w:val="00A334D4"/>
    <w:rsid w:val="00A334F9"/>
    <w:rsid w:val="00A33500"/>
    <w:rsid w:val="00A335E4"/>
    <w:rsid w:val="00A338A3"/>
    <w:rsid w:val="00A33AAC"/>
    <w:rsid w:val="00A33C0C"/>
    <w:rsid w:val="00A33C35"/>
    <w:rsid w:val="00A33DF5"/>
    <w:rsid w:val="00A34095"/>
    <w:rsid w:val="00A3413A"/>
    <w:rsid w:val="00A34317"/>
    <w:rsid w:val="00A34337"/>
    <w:rsid w:val="00A343CC"/>
    <w:rsid w:val="00A343D3"/>
    <w:rsid w:val="00A3441E"/>
    <w:rsid w:val="00A344C4"/>
    <w:rsid w:val="00A34D3A"/>
    <w:rsid w:val="00A34D4C"/>
    <w:rsid w:val="00A34DEE"/>
    <w:rsid w:val="00A34ECC"/>
    <w:rsid w:val="00A35272"/>
    <w:rsid w:val="00A35353"/>
    <w:rsid w:val="00A35425"/>
    <w:rsid w:val="00A354A9"/>
    <w:rsid w:val="00A35523"/>
    <w:rsid w:val="00A355B4"/>
    <w:rsid w:val="00A3573E"/>
    <w:rsid w:val="00A3584C"/>
    <w:rsid w:val="00A35C28"/>
    <w:rsid w:val="00A35E30"/>
    <w:rsid w:val="00A3612B"/>
    <w:rsid w:val="00A36304"/>
    <w:rsid w:val="00A364CD"/>
    <w:rsid w:val="00A365EB"/>
    <w:rsid w:val="00A3661C"/>
    <w:rsid w:val="00A36903"/>
    <w:rsid w:val="00A36A23"/>
    <w:rsid w:val="00A36A9F"/>
    <w:rsid w:val="00A3726E"/>
    <w:rsid w:val="00A37493"/>
    <w:rsid w:val="00A37496"/>
    <w:rsid w:val="00A374C9"/>
    <w:rsid w:val="00A374F7"/>
    <w:rsid w:val="00A376EA"/>
    <w:rsid w:val="00A37789"/>
    <w:rsid w:val="00A37890"/>
    <w:rsid w:val="00A37D21"/>
    <w:rsid w:val="00A37D5E"/>
    <w:rsid w:val="00A37D65"/>
    <w:rsid w:val="00A37DB2"/>
    <w:rsid w:val="00A37E6F"/>
    <w:rsid w:val="00A37F2D"/>
    <w:rsid w:val="00A4031C"/>
    <w:rsid w:val="00A40381"/>
    <w:rsid w:val="00A4052B"/>
    <w:rsid w:val="00A40A76"/>
    <w:rsid w:val="00A40AD4"/>
    <w:rsid w:val="00A40AD9"/>
    <w:rsid w:val="00A40FC1"/>
    <w:rsid w:val="00A41157"/>
    <w:rsid w:val="00A4115A"/>
    <w:rsid w:val="00A411E2"/>
    <w:rsid w:val="00A411F6"/>
    <w:rsid w:val="00A41405"/>
    <w:rsid w:val="00A41426"/>
    <w:rsid w:val="00A41539"/>
    <w:rsid w:val="00A41636"/>
    <w:rsid w:val="00A416DE"/>
    <w:rsid w:val="00A4185B"/>
    <w:rsid w:val="00A418F1"/>
    <w:rsid w:val="00A41C1F"/>
    <w:rsid w:val="00A41C2E"/>
    <w:rsid w:val="00A41CC7"/>
    <w:rsid w:val="00A41EE6"/>
    <w:rsid w:val="00A4236E"/>
    <w:rsid w:val="00A42411"/>
    <w:rsid w:val="00A424A1"/>
    <w:rsid w:val="00A424B4"/>
    <w:rsid w:val="00A425BA"/>
    <w:rsid w:val="00A42790"/>
    <w:rsid w:val="00A42A79"/>
    <w:rsid w:val="00A42AC9"/>
    <w:rsid w:val="00A42BF7"/>
    <w:rsid w:val="00A433F3"/>
    <w:rsid w:val="00A434C5"/>
    <w:rsid w:val="00A43513"/>
    <w:rsid w:val="00A4377E"/>
    <w:rsid w:val="00A43A78"/>
    <w:rsid w:val="00A43D71"/>
    <w:rsid w:val="00A43ED9"/>
    <w:rsid w:val="00A4431E"/>
    <w:rsid w:val="00A4455C"/>
    <w:rsid w:val="00A449CC"/>
    <w:rsid w:val="00A44BAE"/>
    <w:rsid w:val="00A44BCE"/>
    <w:rsid w:val="00A44BCF"/>
    <w:rsid w:val="00A44D6F"/>
    <w:rsid w:val="00A44D7A"/>
    <w:rsid w:val="00A44E9D"/>
    <w:rsid w:val="00A45112"/>
    <w:rsid w:val="00A45138"/>
    <w:rsid w:val="00A454EC"/>
    <w:rsid w:val="00A4565A"/>
    <w:rsid w:val="00A457D5"/>
    <w:rsid w:val="00A458FD"/>
    <w:rsid w:val="00A459E7"/>
    <w:rsid w:val="00A459FC"/>
    <w:rsid w:val="00A4624A"/>
    <w:rsid w:val="00A4639A"/>
    <w:rsid w:val="00A464F9"/>
    <w:rsid w:val="00A46511"/>
    <w:rsid w:val="00A46579"/>
    <w:rsid w:val="00A46581"/>
    <w:rsid w:val="00A4658C"/>
    <w:rsid w:val="00A465DE"/>
    <w:rsid w:val="00A466BF"/>
    <w:rsid w:val="00A466FE"/>
    <w:rsid w:val="00A46718"/>
    <w:rsid w:val="00A46796"/>
    <w:rsid w:val="00A468D5"/>
    <w:rsid w:val="00A46C21"/>
    <w:rsid w:val="00A46E8A"/>
    <w:rsid w:val="00A46E9E"/>
    <w:rsid w:val="00A46F82"/>
    <w:rsid w:val="00A46F9F"/>
    <w:rsid w:val="00A46FCA"/>
    <w:rsid w:val="00A470C8"/>
    <w:rsid w:val="00A474A5"/>
    <w:rsid w:val="00A474C6"/>
    <w:rsid w:val="00A47572"/>
    <w:rsid w:val="00A4768C"/>
    <w:rsid w:val="00A476A9"/>
    <w:rsid w:val="00A4774C"/>
    <w:rsid w:val="00A478D4"/>
    <w:rsid w:val="00A4790F"/>
    <w:rsid w:val="00A479B5"/>
    <w:rsid w:val="00A47BDA"/>
    <w:rsid w:val="00A47D09"/>
    <w:rsid w:val="00A47FD6"/>
    <w:rsid w:val="00A50046"/>
    <w:rsid w:val="00A50300"/>
    <w:rsid w:val="00A503DB"/>
    <w:rsid w:val="00A507DF"/>
    <w:rsid w:val="00A5083C"/>
    <w:rsid w:val="00A50BE8"/>
    <w:rsid w:val="00A50D59"/>
    <w:rsid w:val="00A51009"/>
    <w:rsid w:val="00A510CA"/>
    <w:rsid w:val="00A5134E"/>
    <w:rsid w:val="00A51440"/>
    <w:rsid w:val="00A515CB"/>
    <w:rsid w:val="00A5186D"/>
    <w:rsid w:val="00A5190D"/>
    <w:rsid w:val="00A51AA8"/>
    <w:rsid w:val="00A51B14"/>
    <w:rsid w:val="00A51B18"/>
    <w:rsid w:val="00A51C4A"/>
    <w:rsid w:val="00A51C8E"/>
    <w:rsid w:val="00A51DA5"/>
    <w:rsid w:val="00A51FFE"/>
    <w:rsid w:val="00A520BC"/>
    <w:rsid w:val="00A52428"/>
    <w:rsid w:val="00A5245A"/>
    <w:rsid w:val="00A5262F"/>
    <w:rsid w:val="00A52768"/>
    <w:rsid w:val="00A528B0"/>
    <w:rsid w:val="00A52965"/>
    <w:rsid w:val="00A52A6C"/>
    <w:rsid w:val="00A52D1C"/>
    <w:rsid w:val="00A52F18"/>
    <w:rsid w:val="00A52F1D"/>
    <w:rsid w:val="00A531D2"/>
    <w:rsid w:val="00A532B5"/>
    <w:rsid w:val="00A532E5"/>
    <w:rsid w:val="00A533B6"/>
    <w:rsid w:val="00A53420"/>
    <w:rsid w:val="00A53472"/>
    <w:rsid w:val="00A53940"/>
    <w:rsid w:val="00A539CE"/>
    <w:rsid w:val="00A53A5E"/>
    <w:rsid w:val="00A53A9D"/>
    <w:rsid w:val="00A53B08"/>
    <w:rsid w:val="00A53B74"/>
    <w:rsid w:val="00A53C32"/>
    <w:rsid w:val="00A5402A"/>
    <w:rsid w:val="00A5416B"/>
    <w:rsid w:val="00A54189"/>
    <w:rsid w:val="00A547A5"/>
    <w:rsid w:val="00A549E6"/>
    <w:rsid w:val="00A54D05"/>
    <w:rsid w:val="00A550A9"/>
    <w:rsid w:val="00A55193"/>
    <w:rsid w:val="00A552A3"/>
    <w:rsid w:val="00A556DB"/>
    <w:rsid w:val="00A5575C"/>
    <w:rsid w:val="00A55AD3"/>
    <w:rsid w:val="00A55B08"/>
    <w:rsid w:val="00A55C2F"/>
    <w:rsid w:val="00A55D60"/>
    <w:rsid w:val="00A55D70"/>
    <w:rsid w:val="00A55F72"/>
    <w:rsid w:val="00A5600A"/>
    <w:rsid w:val="00A56090"/>
    <w:rsid w:val="00A5621C"/>
    <w:rsid w:val="00A562A3"/>
    <w:rsid w:val="00A562AB"/>
    <w:rsid w:val="00A5632D"/>
    <w:rsid w:val="00A563DF"/>
    <w:rsid w:val="00A56496"/>
    <w:rsid w:val="00A564D0"/>
    <w:rsid w:val="00A56539"/>
    <w:rsid w:val="00A56619"/>
    <w:rsid w:val="00A56642"/>
    <w:rsid w:val="00A566B6"/>
    <w:rsid w:val="00A5678B"/>
    <w:rsid w:val="00A567B2"/>
    <w:rsid w:val="00A5681B"/>
    <w:rsid w:val="00A56BD1"/>
    <w:rsid w:val="00A56C1C"/>
    <w:rsid w:val="00A56C7F"/>
    <w:rsid w:val="00A56F7D"/>
    <w:rsid w:val="00A57432"/>
    <w:rsid w:val="00A57621"/>
    <w:rsid w:val="00A5778B"/>
    <w:rsid w:val="00A577F9"/>
    <w:rsid w:val="00A5785B"/>
    <w:rsid w:val="00A57A33"/>
    <w:rsid w:val="00A57A3E"/>
    <w:rsid w:val="00A57A98"/>
    <w:rsid w:val="00A57C3F"/>
    <w:rsid w:val="00A57EDA"/>
    <w:rsid w:val="00A60035"/>
    <w:rsid w:val="00A6027E"/>
    <w:rsid w:val="00A602A8"/>
    <w:rsid w:val="00A602F1"/>
    <w:rsid w:val="00A6032C"/>
    <w:rsid w:val="00A6049D"/>
    <w:rsid w:val="00A605F5"/>
    <w:rsid w:val="00A60654"/>
    <w:rsid w:val="00A60751"/>
    <w:rsid w:val="00A60843"/>
    <w:rsid w:val="00A609C8"/>
    <w:rsid w:val="00A60A71"/>
    <w:rsid w:val="00A60B7C"/>
    <w:rsid w:val="00A60C12"/>
    <w:rsid w:val="00A60C8D"/>
    <w:rsid w:val="00A60D99"/>
    <w:rsid w:val="00A60E2D"/>
    <w:rsid w:val="00A60F00"/>
    <w:rsid w:val="00A60F3C"/>
    <w:rsid w:val="00A610CC"/>
    <w:rsid w:val="00A612F3"/>
    <w:rsid w:val="00A613A4"/>
    <w:rsid w:val="00A61482"/>
    <w:rsid w:val="00A61612"/>
    <w:rsid w:val="00A61A32"/>
    <w:rsid w:val="00A61B82"/>
    <w:rsid w:val="00A61D47"/>
    <w:rsid w:val="00A61D59"/>
    <w:rsid w:val="00A61EB8"/>
    <w:rsid w:val="00A620F1"/>
    <w:rsid w:val="00A6227F"/>
    <w:rsid w:val="00A623D7"/>
    <w:rsid w:val="00A62403"/>
    <w:rsid w:val="00A627D8"/>
    <w:rsid w:val="00A627D9"/>
    <w:rsid w:val="00A628CD"/>
    <w:rsid w:val="00A62CA7"/>
    <w:rsid w:val="00A62DFE"/>
    <w:rsid w:val="00A62EE4"/>
    <w:rsid w:val="00A6305E"/>
    <w:rsid w:val="00A63091"/>
    <w:rsid w:val="00A631E4"/>
    <w:rsid w:val="00A63375"/>
    <w:rsid w:val="00A63407"/>
    <w:rsid w:val="00A63577"/>
    <w:rsid w:val="00A635F9"/>
    <w:rsid w:val="00A638C7"/>
    <w:rsid w:val="00A63CAC"/>
    <w:rsid w:val="00A63DAA"/>
    <w:rsid w:val="00A63FA6"/>
    <w:rsid w:val="00A64154"/>
    <w:rsid w:val="00A64235"/>
    <w:rsid w:val="00A642D5"/>
    <w:rsid w:val="00A643C6"/>
    <w:rsid w:val="00A64504"/>
    <w:rsid w:val="00A64652"/>
    <w:rsid w:val="00A6480E"/>
    <w:rsid w:val="00A648A9"/>
    <w:rsid w:val="00A64921"/>
    <w:rsid w:val="00A64922"/>
    <w:rsid w:val="00A64BAC"/>
    <w:rsid w:val="00A64BC4"/>
    <w:rsid w:val="00A64CD9"/>
    <w:rsid w:val="00A64EBC"/>
    <w:rsid w:val="00A64F9F"/>
    <w:rsid w:val="00A65050"/>
    <w:rsid w:val="00A65054"/>
    <w:rsid w:val="00A651BD"/>
    <w:rsid w:val="00A65237"/>
    <w:rsid w:val="00A656B3"/>
    <w:rsid w:val="00A656D2"/>
    <w:rsid w:val="00A65714"/>
    <w:rsid w:val="00A65873"/>
    <w:rsid w:val="00A6590B"/>
    <w:rsid w:val="00A65D0F"/>
    <w:rsid w:val="00A65E81"/>
    <w:rsid w:val="00A66009"/>
    <w:rsid w:val="00A66092"/>
    <w:rsid w:val="00A66141"/>
    <w:rsid w:val="00A6620A"/>
    <w:rsid w:val="00A66331"/>
    <w:rsid w:val="00A665CE"/>
    <w:rsid w:val="00A6669B"/>
    <w:rsid w:val="00A667BD"/>
    <w:rsid w:val="00A66836"/>
    <w:rsid w:val="00A668EF"/>
    <w:rsid w:val="00A66BA3"/>
    <w:rsid w:val="00A66C62"/>
    <w:rsid w:val="00A66D76"/>
    <w:rsid w:val="00A66E27"/>
    <w:rsid w:val="00A66E31"/>
    <w:rsid w:val="00A67174"/>
    <w:rsid w:val="00A67271"/>
    <w:rsid w:val="00A6732D"/>
    <w:rsid w:val="00A673AE"/>
    <w:rsid w:val="00A67512"/>
    <w:rsid w:val="00A675F3"/>
    <w:rsid w:val="00A676A1"/>
    <w:rsid w:val="00A67781"/>
    <w:rsid w:val="00A67EA4"/>
    <w:rsid w:val="00A67FA0"/>
    <w:rsid w:val="00A67FBB"/>
    <w:rsid w:val="00A700D2"/>
    <w:rsid w:val="00A7016B"/>
    <w:rsid w:val="00A702F2"/>
    <w:rsid w:val="00A70347"/>
    <w:rsid w:val="00A70389"/>
    <w:rsid w:val="00A705CF"/>
    <w:rsid w:val="00A70819"/>
    <w:rsid w:val="00A709D5"/>
    <w:rsid w:val="00A70C81"/>
    <w:rsid w:val="00A70E9D"/>
    <w:rsid w:val="00A70F07"/>
    <w:rsid w:val="00A70F1C"/>
    <w:rsid w:val="00A70F4C"/>
    <w:rsid w:val="00A7101F"/>
    <w:rsid w:val="00A7116B"/>
    <w:rsid w:val="00A71184"/>
    <w:rsid w:val="00A711ED"/>
    <w:rsid w:val="00A7144E"/>
    <w:rsid w:val="00A71539"/>
    <w:rsid w:val="00A7155D"/>
    <w:rsid w:val="00A71B66"/>
    <w:rsid w:val="00A71DA6"/>
    <w:rsid w:val="00A71F49"/>
    <w:rsid w:val="00A71F9C"/>
    <w:rsid w:val="00A723DF"/>
    <w:rsid w:val="00A723E6"/>
    <w:rsid w:val="00A724AF"/>
    <w:rsid w:val="00A72678"/>
    <w:rsid w:val="00A72692"/>
    <w:rsid w:val="00A728CB"/>
    <w:rsid w:val="00A729DF"/>
    <w:rsid w:val="00A72B4D"/>
    <w:rsid w:val="00A72BC1"/>
    <w:rsid w:val="00A72DE9"/>
    <w:rsid w:val="00A72E80"/>
    <w:rsid w:val="00A730A8"/>
    <w:rsid w:val="00A731AF"/>
    <w:rsid w:val="00A732D6"/>
    <w:rsid w:val="00A73399"/>
    <w:rsid w:val="00A7351B"/>
    <w:rsid w:val="00A7380F"/>
    <w:rsid w:val="00A739E2"/>
    <w:rsid w:val="00A73B15"/>
    <w:rsid w:val="00A73D82"/>
    <w:rsid w:val="00A73DAF"/>
    <w:rsid w:val="00A73EAA"/>
    <w:rsid w:val="00A742DE"/>
    <w:rsid w:val="00A744F0"/>
    <w:rsid w:val="00A745BE"/>
    <w:rsid w:val="00A74AA8"/>
    <w:rsid w:val="00A74AC4"/>
    <w:rsid w:val="00A74CF6"/>
    <w:rsid w:val="00A74D2E"/>
    <w:rsid w:val="00A74D31"/>
    <w:rsid w:val="00A74DCF"/>
    <w:rsid w:val="00A74ECC"/>
    <w:rsid w:val="00A74F1E"/>
    <w:rsid w:val="00A74F95"/>
    <w:rsid w:val="00A750CC"/>
    <w:rsid w:val="00A75208"/>
    <w:rsid w:val="00A7536E"/>
    <w:rsid w:val="00A754DD"/>
    <w:rsid w:val="00A75513"/>
    <w:rsid w:val="00A7560D"/>
    <w:rsid w:val="00A756BD"/>
    <w:rsid w:val="00A756DF"/>
    <w:rsid w:val="00A75A46"/>
    <w:rsid w:val="00A75A66"/>
    <w:rsid w:val="00A75DC0"/>
    <w:rsid w:val="00A75E07"/>
    <w:rsid w:val="00A762C8"/>
    <w:rsid w:val="00A76397"/>
    <w:rsid w:val="00A76413"/>
    <w:rsid w:val="00A76877"/>
    <w:rsid w:val="00A76BA7"/>
    <w:rsid w:val="00A76E23"/>
    <w:rsid w:val="00A77037"/>
    <w:rsid w:val="00A77100"/>
    <w:rsid w:val="00A772D5"/>
    <w:rsid w:val="00A77586"/>
    <w:rsid w:val="00A775C1"/>
    <w:rsid w:val="00A775EB"/>
    <w:rsid w:val="00A775ED"/>
    <w:rsid w:val="00A776B4"/>
    <w:rsid w:val="00A77C55"/>
    <w:rsid w:val="00A77D9C"/>
    <w:rsid w:val="00A77E18"/>
    <w:rsid w:val="00A77E2B"/>
    <w:rsid w:val="00A8016E"/>
    <w:rsid w:val="00A8035C"/>
    <w:rsid w:val="00A8042A"/>
    <w:rsid w:val="00A804D3"/>
    <w:rsid w:val="00A80671"/>
    <w:rsid w:val="00A806DB"/>
    <w:rsid w:val="00A809C7"/>
    <w:rsid w:val="00A809C8"/>
    <w:rsid w:val="00A80F4E"/>
    <w:rsid w:val="00A80F84"/>
    <w:rsid w:val="00A80FE3"/>
    <w:rsid w:val="00A81053"/>
    <w:rsid w:val="00A811E0"/>
    <w:rsid w:val="00A8136D"/>
    <w:rsid w:val="00A816FC"/>
    <w:rsid w:val="00A817D0"/>
    <w:rsid w:val="00A8199F"/>
    <w:rsid w:val="00A819B2"/>
    <w:rsid w:val="00A81B67"/>
    <w:rsid w:val="00A81DFE"/>
    <w:rsid w:val="00A81E32"/>
    <w:rsid w:val="00A81EBF"/>
    <w:rsid w:val="00A81EE3"/>
    <w:rsid w:val="00A82215"/>
    <w:rsid w:val="00A82348"/>
    <w:rsid w:val="00A825B1"/>
    <w:rsid w:val="00A82896"/>
    <w:rsid w:val="00A82B6F"/>
    <w:rsid w:val="00A82C23"/>
    <w:rsid w:val="00A82D7C"/>
    <w:rsid w:val="00A82DC3"/>
    <w:rsid w:val="00A82F09"/>
    <w:rsid w:val="00A82FD7"/>
    <w:rsid w:val="00A83049"/>
    <w:rsid w:val="00A83182"/>
    <w:rsid w:val="00A8323A"/>
    <w:rsid w:val="00A8334E"/>
    <w:rsid w:val="00A835F7"/>
    <w:rsid w:val="00A8362F"/>
    <w:rsid w:val="00A8375F"/>
    <w:rsid w:val="00A8381E"/>
    <w:rsid w:val="00A83952"/>
    <w:rsid w:val="00A83A4E"/>
    <w:rsid w:val="00A83B7C"/>
    <w:rsid w:val="00A83C3F"/>
    <w:rsid w:val="00A83DBD"/>
    <w:rsid w:val="00A84155"/>
    <w:rsid w:val="00A84541"/>
    <w:rsid w:val="00A84722"/>
    <w:rsid w:val="00A847BF"/>
    <w:rsid w:val="00A84A2C"/>
    <w:rsid w:val="00A84D60"/>
    <w:rsid w:val="00A84D65"/>
    <w:rsid w:val="00A84FDF"/>
    <w:rsid w:val="00A85144"/>
    <w:rsid w:val="00A851D1"/>
    <w:rsid w:val="00A851D5"/>
    <w:rsid w:val="00A85259"/>
    <w:rsid w:val="00A854DB"/>
    <w:rsid w:val="00A855E2"/>
    <w:rsid w:val="00A85738"/>
    <w:rsid w:val="00A85991"/>
    <w:rsid w:val="00A85DB4"/>
    <w:rsid w:val="00A85E08"/>
    <w:rsid w:val="00A85E41"/>
    <w:rsid w:val="00A85E42"/>
    <w:rsid w:val="00A85FF4"/>
    <w:rsid w:val="00A86001"/>
    <w:rsid w:val="00A8638B"/>
    <w:rsid w:val="00A86417"/>
    <w:rsid w:val="00A867C2"/>
    <w:rsid w:val="00A868BF"/>
    <w:rsid w:val="00A8697B"/>
    <w:rsid w:val="00A86B1F"/>
    <w:rsid w:val="00A86CFC"/>
    <w:rsid w:val="00A86D93"/>
    <w:rsid w:val="00A86ED4"/>
    <w:rsid w:val="00A86FEC"/>
    <w:rsid w:val="00A8710C"/>
    <w:rsid w:val="00A8714B"/>
    <w:rsid w:val="00A874A7"/>
    <w:rsid w:val="00A875B4"/>
    <w:rsid w:val="00A876D2"/>
    <w:rsid w:val="00A876E5"/>
    <w:rsid w:val="00A878E6"/>
    <w:rsid w:val="00A879F9"/>
    <w:rsid w:val="00A87A41"/>
    <w:rsid w:val="00A87AB2"/>
    <w:rsid w:val="00A87B5A"/>
    <w:rsid w:val="00A87DB5"/>
    <w:rsid w:val="00A90210"/>
    <w:rsid w:val="00A90320"/>
    <w:rsid w:val="00A9033C"/>
    <w:rsid w:val="00A903AB"/>
    <w:rsid w:val="00A906DF"/>
    <w:rsid w:val="00A906F6"/>
    <w:rsid w:val="00A9076A"/>
    <w:rsid w:val="00A90837"/>
    <w:rsid w:val="00A9087A"/>
    <w:rsid w:val="00A90994"/>
    <w:rsid w:val="00A90A79"/>
    <w:rsid w:val="00A90BD7"/>
    <w:rsid w:val="00A90CEF"/>
    <w:rsid w:val="00A90D24"/>
    <w:rsid w:val="00A90D5F"/>
    <w:rsid w:val="00A90FB9"/>
    <w:rsid w:val="00A91070"/>
    <w:rsid w:val="00A912A8"/>
    <w:rsid w:val="00A91314"/>
    <w:rsid w:val="00A91389"/>
    <w:rsid w:val="00A9153B"/>
    <w:rsid w:val="00A915F0"/>
    <w:rsid w:val="00A91804"/>
    <w:rsid w:val="00A91852"/>
    <w:rsid w:val="00A918C2"/>
    <w:rsid w:val="00A91BFC"/>
    <w:rsid w:val="00A921BF"/>
    <w:rsid w:val="00A9230E"/>
    <w:rsid w:val="00A92385"/>
    <w:rsid w:val="00A9250F"/>
    <w:rsid w:val="00A92561"/>
    <w:rsid w:val="00A92562"/>
    <w:rsid w:val="00A92576"/>
    <w:rsid w:val="00A925D1"/>
    <w:rsid w:val="00A92900"/>
    <w:rsid w:val="00A92924"/>
    <w:rsid w:val="00A9296B"/>
    <w:rsid w:val="00A92CB3"/>
    <w:rsid w:val="00A92DCB"/>
    <w:rsid w:val="00A92E08"/>
    <w:rsid w:val="00A92E7E"/>
    <w:rsid w:val="00A92F25"/>
    <w:rsid w:val="00A931F9"/>
    <w:rsid w:val="00A932C4"/>
    <w:rsid w:val="00A932F9"/>
    <w:rsid w:val="00A93376"/>
    <w:rsid w:val="00A936C3"/>
    <w:rsid w:val="00A93A9A"/>
    <w:rsid w:val="00A93B13"/>
    <w:rsid w:val="00A93F73"/>
    <w:rsid w:val="00A940F1"/>
    <w:rsid w:val="00A94119"/>
    <w:rsid w:val="00A94605"/>
    <w:rsid w:val="00A9476A"/>
    <w:rsid w:val="00A94BA2"/>
    <w:rsid w:val="00A94C47"/>
    <w:rsid w:val="00A94C62"/>
    <w:rsid w:val="00A94F6F"/>
    <w:rsid w:val="00A95082"/>
    <w:rsid w:val="00A9519F"/>
    <w:rsid w:val="00A9537B"/>
    <w:rsid w:val="00A9549B"/>
    <w:rsid w:val="00A955AD"/>
    <w:rsid w:val="00A956D9"/>
    <w:rsid w:val="00A9571B"/>
    <w:rsid w:val="00A95784"/>
    <w:rsid w:val="00A9580F"/>
    <w:rsid w:val="00A960AE"/>
    <w:rsid w:val="00A960E7"/>
    <w:rsid w:val="00A9620B"/>
    <w:rsid w:val="00A96345"/>
    <w:rsid w:val="00A9678E"/>
    <w:rsid w:val="00A967BE"/>
    <w:rsid w:val="00A968A7"/>
    <w:rsid w:val="00A96BF7"/>
    <w:rsid w:val="00A96EEE"/>
    <w:rsid w:val="00A9725A"/>
    <w:rsid w:val="00A975D4"/>
    <w:rsid w:val="00A976D3"/>
    <w:rsid w:val="00A97796"/>
    <w:rsid w:val="00A9786E"/>
    <w:rsid w:val="00A978D5"/>
    <w:rsid w:val="00A97B96"/>
    <w:rsid w:val="00A97BA0"/>
    <w:rsid w:val="00A97C24"/>
    <w:rsid w:val="00A97C2A"/>
    <w:rsid w:val="00A97CDA"/>
    <w:rsid w:val="00A97DB9"/>
    <w:rsid w:val="00A97F35"/>
    <w:rsid w:val="00A97F3E"/>
    <w:rsid w:val="00A97FF0"/>
    <w:rsid w:val="00AA00D7"/>
    <w:rsid w:val="00AA023E"/>
    <w:rsid w:val="00AA03DD"/>
    <w:rsid w:val="00AA0520"/>
    <w:rsid w:val="00AA0678"/>
    <w:rsid w:val="00AA079D"/>
    <w:rsid w:val="00AA0945"/>
    <w:rsid w:val="00AA09EA"/>
    <w:rsid w:val="00AA1015"/>
    <w:rsid w:val="00AA1235"/>
    <w:rsid w:val="00AA132F"/>
    <w:rsid w:val="00AA15E5"/>
    <w:rsid w:val="00AA18CC"/>
    <w:rsid w:val="00AA1BA7"/>
    <w:rsid w:val="00AA1CA1"/>
    <w:rsid w:val="00AA1D82"/>
    <w:rsid w:val="00AA1DAB"/>
    <w:rsid w:val="00AA1DE7"/>
    <w:rsid w:val="00AA21EC"/>
    <w:rsid w:val="00AA22DA"/>
    <w:rsid w:val="00AA231F"/>
    <w:rsid w:val="00AA2380"/>
    <w:rsid w:val="00AA23F7"/>
    <w:rsid w:val="00AA2493"/>
    <w:rsid w:val="00AA2694"/>
    <w:rsid w:val="00AA283E"/>
    <w:rsid w:val="00AA28DF"/>
    <w:rsid w:val="00AA2C23"/>
    <w:rsid w:val="00AA2D58"/>
    <w:rsid w:val="00AA2D6A"/>
    <w:rsid w:val="00AA2E15"/>
    <w:rsid w:val="00AA3084"/>
    <w:rsid w:val="00AA3090"/>
    <w:rsid w:val="00AA31F4"/>
    <w:rsid w:val="00AA320C"/>
    <w:rsid w:val="00AA3302"/>
    <w:rsid w:val="00AA345F"/>
    <w:rsid w:val="00AA3461"/>
    <w:rsid w:val="00AA354D"/>
    <w:rsid w:val="00AA3562"/>
    <w:rsid w:val="00AA3576"/>
    <w:rsid w:val="00AA3668"/>
    <w:rsid w:val="00AA39D9"/>
    <w:rsid w:val="00AA39DD"/>
    <w:rsid w:val="00AA3A2E"/>
    <w:rsid w:val="00AA3B85"/>
    <w:rsid w:val="00AA3C78"/>
    <w:rsid w:val="00AA3D44"/>
    <w:rsid w:val="00AA3E49"/>
    <w:rsid w:val="00AA408F"/>
    <w:rsid w:val="00AA4415"/>
    <w:rsid w:val="00AA454E"/>
    <w:rsid w:val="00AA45E8"/>
    <w:rsid w:val="00AA46FC"/>
    <w:rsid w:val="00AA4850"/>
    <w:rsid w:val="00AA49EC"/>
    <w:rsid w:val="00AA4C5B"/>
    <w:rsid w:val="00AA4DB9"/>
    <w:rsid w:val="00AA5102"/>
    <w:rsid w:val="00AA531B"/>
    <w:rsid w:val="00AA5532"/>
    <w:rsid w:val="00AA57E7"/>
    <w:rsid w:val="00AA5A02"/>
    <w:rsid w:val="00AA5A2E"/>
    <w:rsid w:val="00AA5B60"/>
    <w:rsid w:val="00AA5BBC"/>
    <w:rsid w:val="00AA5CA5"/>
    <w:rsid w:val="00AA5E10"/>
    <w:rsid w:val="00AA5ECD"/>
    <w:rsid w:val="00AA5FE6"/>
    <w:rsid w:val="00AA605B"/>
    <w:rsid w:val="00AA6073"/>
    <w:rsid w:val="00AA6204"/>
    <w:rsid w:val="00AA626A"/>
    <w:rsid w:val="00AA6670"/>
    <w:rsid w:val="00AA675A"/>
    <w:rsid w:val="00AA69EE"/>
    <w:rsid w:val="00AA6D77"/>
    <w:rsid w:val="00AA6E94"/>
    <w:rsid w:val="00AA703A"/>
    <w:rsid w:val="00AA7775"/>
    <w:rsid w:val="00AA7969"/>
    <w:rsid w:val="00AA7972"/>
    <w:rsid w:val="00AA7CC8"/>
    <w:rsid w:val="00AA7EC6"/>
    <w:rsid w:val="00AA7FFE"/>
    <w:rsid w:val="00AB0088"/>
    <w:rsid w:val="00AB01B4"/>
    <w:rsid w:val="00AB05C1"/>
    <w:rsid w:val="00AB0A40"/>
    <w:rsid w:val="00AB0E07"/>
    <w:rsid w:val="00AB0E0A"/>
    <w:rsid w:val="00AB1032"/>
    <w:rsid w:val="00AB103B"/>
    <w:rsid w:val="00AB152F"/>
    <w:rsid w:val="00AB16F7"/>
    <w:rsid w:val="00AB1755"/>
    <w:rsid w:val="00AB1852"/>
    <w:rsid w:val="00AB1984"/>
    <w:rsid w:val="00AB1AD2"/>
    <w:rsid w:val="00AB1B63"/>
    <w:rsid w:val="00AB1B68"/>
    <w:rsid w:val="00AB1E27"/>
    <w:rsid w:val="00AB22F4"/>
    <w:rsid w:val="00AB231D"/>
    <w:rsid w:val="00AB242C"/>
    <w:rsid w:val="00AB2462"/>
    <w:rsid w:val="00AB24F0"/>
    <w:rsid w:val="00AB2718"/>
    <w:rsid w:val="00AB2721"/>
    <w:rsid w:val="00AB2823"/>
    <w:rsid w:val="00AB29CF"/>
    <w:rsid w:val="00AB2A21"/>
    <w:rsid w:val="00AB2D13"/>
    <w:rsid w:val="00AB2E06"/>
    <w:rsid w:val="00AB306F"/>
    <w:rsid w:val="00AB31AD"/>
    <w:rsid w:val="00AB31C9"/>
    <w:rsid w:val="00AB32C2"/>
    <w:rsid w:val="00AB3314"/>
    <w:rsid w:val="00AB3353"/>
    <w:rsid w:val="00AB3549"/>
    <w:rsid w:val="00AB358B"/>
    <w:rsid w:val="00AB35E3"/>
    <w:rsid w:val="00AB363C"/>
    <w:rsid w:val="00AB37F0"/>
    <w:rsid w:val="00AB3A39"/>
    <w:rsid w:val="00AB3D16"/>
    <w:rsid w:val="00AB3DB2"/>
    <w:rsid w:val="00AB3E26"/>
    <w:rsid w:val="00AB3FF7"/>
    <w:rsid w:val="00AB4584"/>
    <w:rsid w:val="00AB4778"/>
    <w:rsid w:val="00AB492D"/>
    <w:rsid w:val="00AB4968"/>
    <w:rsid w:val="00AB4C8C"/>
    <w:rsid w:val="00AB4CD8"/>
    <w:rsid w:val="00AB4DAF"/>
    <w:rsid w:val="00AB537E"/>
    <w:rsid w:val="00AB554B"/>
    <w:rsid w:val="00AB5585"/>
    <w:rsid w:val="00AB55F7"/>
    <w:rsid w:val="00AB565E"/>
    <w:rsid w:val="00AB5693"/>
    <w:rsid w:val="00AB5709"/>
    <w:rsid w:val="00AB5765"/>
    <w:rsid w:val="00AB57B9"/>
    <w:rsid w:val="00AB57CC"/>
    <w:rsid w:val="00AB58B8"/>
    <w:rsid w:val="00AB59E3"/>
    <w:rsid w:val="00AB5A06"/>
    <w:rsid w:val="00AB5B82"/>
    <w:rsid w:val="00AB5CBF"/>
    <w:rsid w:val="00AB5CC2"/>
    <w:rsid w:val="00AB5D88"/>
    <w:rsid w:val="00AB5FB4"/>
    <w:rsid w:val="00AB5FF4"/>
    <w:rsid w:val="00AB612C"/>
    <w:rsid w:val="00AB6284"/>
    <w:rsid w:val="00AB64DD"/>
    <w:rsid w:val="00AB64DE"/>
    <w:rsid w:val="00AB6542"/>
    <w:rsid w:val="00AB6582"/>
    <w:rsid w:val="00AB680A"/>
    <w:rsid w:val="00AB6942"/>
    <w:rsid w:val="00AB69D0"/>
    <w:rsid w:val="00AB6B3D"/>
    <w:rsid w:val="00AB6BE2"/>
    <w:rsid w:val="00AB6E7E"/>
    <w:rsid w:val="00AB6F1C"/>
    <w:rsid w:val="00AB705D"/>
    <w:rsid w:val="00AB713A"/>
    <w:rsid w:val="00AB7140"/>
    <w:rsid w:val="00AB7331"/>
    <w:rsid w:val="00AB7393"/>
    <w:rsid w:val="00AB742E"/>
    <w:rsid w:val="00AB7838"/>
    <w:rsid w:val="00AB7A8C"/>
    <w:rsid w:val="00AB7AC9"/>
    <w:rsid w:val="00AB7F6E"/>
    <w:rsid w:val="00AC008D"/>
    <w:rsid w:val="00AC00AF"/>
    <w:rsid w:val="00AC0157"/>
    <w:rsid w:val="00AC0271"/>
    <w:rsid w:val="00AC0478"/>
    <w:rsid w:val="00AC04A4"/>
    <w:rsid w:val="00AC057E"/>
    <w:rsid w:val="00AC0749"/>
    <w:rsid w:val="00AC0A28"/>
    <w:rsid w:val="00AC0B0B"/>
    <w:rsid w:val="00AC0DFE"/>
    <w:rsid w:val="00AC0E75"/>
    <w:rsid w:val="00AC0E99"/>
    <w:rsid w:val="00AC0EC5"/>
    <w:rsid w:val="00AC0EE7"/>
    <w:rsid w:val="00AC181A"/>
    <w:rsid w:val="00AC1859"/>
    <w:rsid w:val="00AC18FE"/>
    <w:rsid w:val="00AC1972"/>
    <w:rsid w:val="00AC1993"/>
    <w:rsid w:val="00AC1A40"/>
    <w:rsid w:val="00AC1E02"/>
    <w:rsid w:val="00AC1E0C"/>
    <w:rsid w:val="00AC252F"/>
    <w:rsid w:val="00AC25E8"/>
    <w:rsid w:val="00AC275B"/>
    <w:rsid w:val="00AC2863"/>
    <w:rsid w:val="00AC293B"/>
    <w:rsid w:val="00AC2CD0"/>
    <w:rsid w:val="00AC2CF2"/>
    <w:rsid w:val="00AC2DD3"/>
    <w:rsid w:val="00AC31DB"/>
    <w:rsid w:val="00AC3240"/>
    <w:rsid w:val="00AC3337"/>
    <w:rsid w:val="00AC347D"/>
    <w:rsid w:val="00AC3540"/>
    <w:rsid w:val="00AC354A"/>
    <w:rsid w:val="00AC35B0"/>
    <w:rsid w:val="00AC3895"/>
    <w:rsid w:val="00AC3A88"/>
    <w:rsid w:val="00AC3AB2"/>
    <w:rsid w:val="00AC3AD3"/>
    <w:rsid w:val="00AC3E03"/>
    <w:rsid w:val="00AC3ECB"/>
    <w:rsid w:val="00AC4181"/>
    <w:rsid w:val="00AC42EB"/>
    <w:rsid w:val="00AC4419"/>
    <w:rsid w:val="00AC4477"/>
    <w:rsid w:val="00AC4487"/>
    <w:rsid w:val="00AC463A"/>
    <w:rsid w:val="00AC4885"/>
    <w:rsid w:val="00AC48DF"/>
    <w:rsid w:val="00AC4A08"/>
    <w:rsid w:val="00AC4B63"/>
    <w:rsid w:val="00AC4E8B"/>
    <w:rsid w:val="00AC4EAE"/>
    <w:rsid w:val="00AC4ECB"/>
    <w:rsid w:val="00AC4F01"/>
    <w:rsid w:val="00AC5352"/>
    <w:rsid w:val="00AC569C"/>
    <w:rsid w:val="00AC5804"/>
    <w:rsid w:val="00AC5821"/>
    <w:rsid w:val="00AC58B8"/>
    <w:rsid w:val="00AC5B59"/>
    <w:rsid w:val="00AC5BA6"/>
    <w:rsid w:val="00AC5BCD"/>
    <w:rsid w:val="00AC5EDF"/>
    <w:rsid w:val="00AC5F30"/>
    <w:rsid w:val="00AC60D1"/>
    <w:rsid w:val="00AC60E9"/>
    <w:rsid w:val="00AC6273"/>
    <w:rsid w:val="00AC628F"/>
    <w:rsid w:val="00AC63CC"/>
    <w:rsid w:val="00AC64DC"/>
    <w:rsid w:val="00AC6533"/>
    <w:rsid w:val="00AC65F3"/>
    <w:rsid w:val="00AC6653"/>
    <w:rsid w:val="00AC6C02"/>
    <w:rsid w:val="00AC6CD7"/>
    <w:rsid w:val="00AC6D18"/>
    <w:rsid w:val="00AC6FE1"/>
    <w:rsid w:val="00AC7006"/>
    <w:rsid w:val="00AC7089"/>
    <w:rsid w:val="00AC712D"/>
    <w:rsid w:val="00AC71BB"/>
    <w:rsid w:val="00AC739F"/>
    <w:rsid w:val="00AC73E1"/>
    <w:rsid w:val="00AC75E8"/>
    <w:rsid w:val="00AC7694"/>
    <w:rsid w:val="00AC7751"/>
    <w:rsid w:val="00AC7A41"/>
    <w:rsid w:val="00AC7AF7"/>
    <w:rsid w:val="00AC7B76"/>
    <w:rsid w:val="00AC7D91"/>
    <w:rsid w:val="00AC7DB0"/>
    <w:rsid w:val="00AD0037"/>
    <w:rsid w:val="00AD0112"/>
    <w:rsid w:val="00AD01D1"/>
    <w:rsid w:val="00AD03BE"/>
    <w:rsid w:val="00AD04CB"/>
    <w:rsid w:val="00AD096D"/>
    <w:rsid w:val="00AD0A6B"/>
    <w:rsid w:val="00AD0AB1"/>
    <w:rsid w:val="00AD0BA8"/>
    <w:rsid w:val="00AD0F7D"/>
    <w:rsid w:val="00AD1297"/>
    <w:rsid w:val="00AD16BB"/>
    <w:rsid w:val="00AD171A"/>
    <w:rsid w:val="00AD178D"/>
    <w:rsid w:val="00AD17D6"/>
    <w:rsid w:val="00AD17FB"/>
    <w:rsid w:val="00AD180E"/>
    <w:rsid w:val="00AD1955"/>
    <w:rsid w:val="00AD19BC"/>
    <w:rsid w:val="00AD1CB5"/>
    <w:rsid w:val="00AD1E8D"/>
    <w:rsid w:val="00AD1F9C"/>
    <w:rsid w:val="00AD200F"/>
    <w:rsid w:val="00AD2031"/>
    <w:rsid w:val="00AD21A7"/>
    <w:rsid w:val="00AD2357"/>
    <w:rsid w:val="00AD25F7"/>
    <w:rsid w:val="00AD296E"/>
    <w:rsid w:val="00AD298A"/>
    <w:rsid w:val="00AD2C06"/>
    <w:rsid w:val="00AD31DF"/>
    <w:rsid w:val="00AD366B"/>
    <w:rsid w:val="00AD3822"/>
    <w:rsid w:val="00AD3A7E"/>
    <w:rsid w:val="00AD3B8F"/>
    <w:rsid w:val="00AD3C8E"/>
    <w:rsid w:val="00AD3D20"/>
    <w:rsid w:val="00AD3E62"/>
    <w:rsid w:val="00AD3EE1"/>
    <w:rsid w:val="00AD41D8"/>
    <w:rsid w:val="00AD45CA"/>
    <w:rsid w:val="00AD46FB"/>
    <w:rsid w:val="00AD4D51"/>
    <w:rsid w:val="00AD503E"/>
    <w:rsid w:val="00AD50C4"/>
    <w:rsid w:val="00AD5109"/>
    <w:rsid w:val="00AD5155"/>
    <w:rsid w:val="00AD521C"/>
    <w:rsid w:val="00AD52C4"/>
    <w:rsid w:val="00AD52C5"/>
    <w:rsid w:val="00AD537C"/>
    <w:rsid w:val="00AD5480"/>
    <w:rsid w:val="00AD563C"/>
    <w:rsid w:val="00AD5916"/>
    <w:rsid w:val="00AD5B56"/>
    <w:rsid w:val="00AD5C7F"/>
    <w:rsid w:val="00AD5DFF"/>
    <w:rsid w:val="00AD6008"/>
    <w:rsid w:val="00AD628E"/>
    <w:rsid w:val="00AD6403"/>
    <w:rsid w:val="00AD64B5"/>
    <w:rsid w:val="00AD65A8"/>
    <w:rsid w:val="00AD66E3"/>
    <w:rsid w:val="00AD67B7"/>
    <w:rsid w:val="00AD67BB"/>
    <w:rsid w:val="00AD69F7"/>
    <w:rsid w:val="00AD6A68"/>
    <w:rsid w:val="00AD6B2E"/>
    <w:rsid w:val="00AD6C64"/>
    <w:rsid w:val="00AD6CC3"/>
    <w:rsid w:val="00AD6E3B"/>
    <w:rsid w:val="00AD6FE4"/>
    <w:rsid w:val="00AD707B"/>
    <w:rsid w:val="00AD7194"/>
    <w:rsid w:val="00AD71D2"/>
    <w:rsid w:val="00AD73FE"/>
    <w:rsid w:val="00AD7667"/>
    <w:rsid w:val="00AD7696"/>
    <w:rsid w:val="00AD77BB"/>
    <w:rsid w:val="00AD7A41"/>
    <w:rsid w:val="00AD7D2F"/>
    <w:rsid w:val="00AD7FCC"/>
    <w:rsid w:val="00AE0030"/>
    <w:rsid w:val="00AE00FD"/>
    <w:rsid w:val="00AE0225"/>
    <w:rsid w:val="00AE02DB"/>
    <w:rsid w:val="00AE0599"/>
    <w:rsid w:val="00AE0693"/>
    <w:rsid w:val="00AE0753"/>
    <w:rsid w:val="00AE0C1E"/>
    <w:rsid w:val="00AE0D50"/>
    <w:rsid w:val="00AE0D53"/>
    <w:rsid w:val="00AE0E25"/>
    <w:rsid w:val="00AE0E4A"/>
    <w:rsid w:val="00AE0F50"/>
    <w:rsid w:val="00AE1080"/>
    <w:rsid w:val="00AE10E4"/>
    <w:rsid w:val="00AE1244"/>
    <w:rsid w:val="00AE127B"/>
    <w:rsid w:val="00AE137C"/>
    <w:rsid w:val="00AE1386"/>
    <w:rsid w:val="00AE1413"/>
    <w:rsid w:val="00AE16D8"/>
    <w:rsid w:val="00AE17E5"/>
    <w:rsid w:val="00AE17EB"/>
    <w:rsid w:val="00AE1DAC"/>
    <w:rsid w:val="00AE1DE8"/>
    <w:rsid w:val="00AE1DFC"/>
    <w:rsid w:val="00AE1E63"/>
    <w:rsid w:val="00AE1FFA"/>
    <w:rsid w:val="00AE20B1"/>
    <w:rsid w:val="00AE2166"/>
    <w:rsid w:val="00AE21FD"/>
    <w:rsid w:val="00AE2257"/>
    <w:rsid w:val="00AE2459"/>
    <w:rsid w:val="00AE24D5"/>
    <w:rsid w:val="00AE2557"/>
    <w:rsid w:val="00AE255B"/>
    <w:rsid w:val="00AE27F0"/>
    <w:rsid w:val="00AE2825"/>
    <w:rsid w:val="00AE284A"/>
    <w:rsid w:val="00AE28FE"/>
    <w:rsid w:val="00AE29C3"/>
    <w:rsid w:val="00AE2E5C"/>
    <w:rsid w:val="00AE2F7B"/>
    <w:rsid w:val="00AE2F93"/>
    <w:rsid w:val="00AE33A8"/>
    <w:rsid w:val="00AE3534"/>
    <w:rsid w:val="00AE3968"/>
    <w:rsid w:val="00AE3985"/>
    <w:rsid w:val="00AE39FD"/>
    <w:rsid w:val="00AE3A24"/>
    <w:rsid w:val="00AE3DBF"/>
    <w:rsid w:val="00AE3FBD"/>
    <w:rsid w:val="00AE40FD"/>
    <w:rsid w:val="00AE4498"/>
    <w:rsid w:val="00AE4791"/>
    <w:rsid w:val="00AE47E8"/>
    <w:rsid w:val="00AE481A"/>
    <w:rsid w:val="00AE48E3"/>
    <w:rsid w:val="00AE4A34"/>
    <w:rsid w:val="00AE4B20"/>
    <w:rsid w:val="00AE4D40"/>
    <w:rsid w:val="00AE4DDF"/>
    <w:rsid w:val="00AE4DF0"/>
    <w:rsid w:val="00AE5398"/>
    <w:rsid w:val="00AE5583"/>
    <w:rsid w:val="00AE5890"/>
    <w:rsid w:val="00AE5893"/>
    <w:rsid w:val="00AE5B53"/>
    <w:rsid w:val="00AE5D32"/>
    <w:rsid w:val="00AE5EF7"/>
    <w:rsid w:val="00AE5F8C"/>
    <w:rsid w:val="00AE61A4"/>
    <w:rsid w:val="00AE635F"/>
    <w:rsid w:val="00AE6390"/>
    <w:rsid w:val="00AE65AE"/>
    <w:rsid w:val="00AE67A3"/>
    <w:rsid w:val="00AE6853"/>
    <w:rsid w:val="00AE6A74"/>
    <w:rsid w:val="00AE6AE0"/>
    <w:rsid w:val="00AE6CC9"/>
    <w:rsid w:val="00AE6D7A"/>
    <w:rsid w:val="00AE6E76"/>
    <w:rsid w:val="00AE6F43"/>
    <w:rsid w:val="00AE727B"/>
    <w:rsid w:val="00AE72F2"/>
    <w:rsid w:val="00AE73D1"/>
    <w:rsid w:val="00AE7815"/>
    <w:rsid w:val="00AE7823"/>
    <w:rsid w:val="00AE78F8"/>
    <w:rsid w:val="00AE7A43"/>
    <w:rsid w:val="00AE7E5D"/>
    <w:rsid w:val="00AF00A0"/>
    <w:rsid w:val="00AF00FA"/>
    <w:rsid w:val="00AF01D8"/>
    <w:rsid w:val="00AF0741"/>
    <w:rsid w:val="00AF0820"/>
    <w:rsid w:val="00AF0B2E"/>
    <w:rsid w:val="00AF0DE3"/>
    <w:rsid w:val="00AF0E0B"/>
    <w:rsid w:val="00AF0EF7"/>
    <w:rsid w:val="00AF11D7"/>
    <w:rsid w:val="00AF120C"/>
    <w:rsid w:val="00AF1269"/>
    <w:rsid w:val="00AF130E"/>
    <w:rsid w:val="00AF14ED"/>
    <w:rsid w:val="00AF1527"/>
    <w:rsid w:val="00AF1645"/>
    <w:rsid w:val="00AF1891"/>
    <w:rsid w:val="00AF1963"/>
    <w:rsid w:val="00AF1F06"/>
    <w:rsid w:val="00AF1F10"/>
    <w:rsid w:val="00AF1F41"/>
    <w:rsid w:val="00AF2190"/>
    <w:rsid w:val="00AF2607"/>
    <w:rsid w:val="00AF274E"/>
    <w:rsid w:val="00AF27DF"/>
    <w:rsid w:val="00AF3078"/>
    <w:rsid w:val="00AF3084"/>
    <w:rsid w:val="00AF30B6"/>
    <w:rsid w:val="00AF3122"/>
    <w:rsid w:val="00AF3151"/>
    <w:rsid w:val="00AF3251"/>
    <w:rsid w:val="00AF3358"/>
    <w:rsid w:val="00AF3424"/>
    <w:rsid w:val="00AF35AB"/>
    <w:rsid w:val="00AF3675"/>
    <w:rsid w:val="00AF37A8"/>
    <w:rsid w:val="00AF3853"/>
    <w:rsid w:val="00AF3872"/>
    <w:rsid w:val="00AF39B2"/>
    <w:rsid w:val="00AF3ADB"/>
    <w:rsid w:val="00AF3ED4"/>
    <w:rsid w:val="00AF41CB"/>
    <w:rsid w:val="00AF42CF"/>
    <w:rsid w:val="00AF44DC"/>
    <w:rsid w:val="00AF4618"/>
    <w:rsid w:val="00AF481A"/>
    <w:rsid w:val="00AF4842"/>
    <w:rsid w:val="00AF48C0"/>
    <w:rsid w:val="00AF48EE"/>
    <w:rsid w:val="00AF498E"/>
    <w:rsid w:val="00AF4AFE"/>
    <w:rsid w:val="00AF4B93"/>
    <w:rsid w:val="00AF4F17"/>
    <w:rsid w:val="00AF5019"/>
    <w:rsid w:val="00AF5162"/>
    <w:rsid w:val="00AF55B3"/>
    <w:rsid w:val="00AF57B3"/>
    <w:rsid w:val="00AF58A9"/>
    <w:rsid w:val="00AF5902"/>
    <w:rsid w:val="00AF5B22"/>
    <w:rsid w:val="00AF5B8B"/>
    <w:rsid w:val="00AF5E65"/>
    <w:rsid w:val="00AF5EA5"/>
    <w:rsid w:val="00AF6161"/>
    <w:rsid w:val="00AF61B2"/>
    <w:rsid w:val="00AF63BC"/>
    <w:rsid w:val="00AF6722"/>
    <w:rsid w:val="00AF687F"/>
    <w:rsid w:val="00AF6905"/>
    <w:rsid w:val="00AF6BDC"/>
    <w:rsid w:val="00AF6DCB"/>
    <w:rsid w:val="00AF6E95"/>
    <w:rsid w:val="00AF6EED"/>
    <w:rsid w:val="00AF70F7"/>
    <w:rsid w:val="00AF715D"/>
    <w:rsid w:val="00AF7278"/>
    <w:rsid w:val="00AF72DA"/>
    <w:rsid w:val="00AF73F5"/>
    <w:rsid w:val="00AF7533"/>
    <w:rsid w:val="00AF75E2"/>
    <w:rsid w:val="00AF7682"/>
    <w:rsid w:val="00AF782C"/>
    <w:rsid w:val="00AF7945"/>
    <w:rsid w:val="00AF7AD9"/>
    <w:rsid w:val="00AF7F47"/>
    <w:rsid w:val="00B001B3"/>
    <w:rsid w:val="00B0021F"/>
    <w:rsid w:val="00B00242"/>
    <w:rsid w:val="00B00526"/>
    <w:rsid w:val="00B0099A"/>
    <w:rsid w:val="00B009A5"/>
    <w:rsid w:val="00B00B06"/>
    <w:rsid w:val="00B00B5B"/>
    <w:rsid w:val="00B00BA5"/>
    <w:rsid w:val="00B00CCF"/>
    <w:rsid w:val="00B00E06"/>
    <w:rsid w:val="00B0114C"/>
    <w:rsid w:val="00B011CF"/>
    <w:rsid w:val="00B01321"/>
    <w:rsid w:val="00B014CD"/>
    <w:rsid w:val="00B015AA"/>
    <w:rsid w:val="00B01601"/>
    <w:rsid w:val="00B01634"/>
    <w:rsid w:val="00B016A8"/>
    <w:rsid w:val="00B01B40"/>
    <w:rsid w:val="00B01C99"/>
    <w:rsid w:val="00B01EF1"/>
    <w:rsid w:val="00B02330"/>
    <w:rsid w:val="00B0237A"/>
    <w:rsid w:val="00B025DA"/>
    <w:rsid w:val="00B0269E"/>
    <w:rsid w:val="00B026AF"/>
    <w:rsid w:val="00B027A6"/>
    <w:rsid w:val="00B027AA"/>
    <w:rsid w:val="00B027ED"/>
    <w:rsid w:val="00B029E0"/>
    <w:rsid w:val="00B029F9"/>
    <w:rsid w:val="00B02A87"/>
    <w:rsid w:val="00B02B67"/>
    <w:rsid w:val="00B02B6B"/>
    <w:rsid w:val="00B02BB9"/>
    <w:rsid w:val="00B02DCF"/>
    <w:rsid w:val="00B02E88"/>
    <w:rsid w:val="00B02F08"/>
    <w:rsid w:val="00B03048"/>
    <w:rsid w:val="00B030E0"/>
    <w:rsid w:val="00B0319A"/>
    <w:rsid w:val="00B033DF"/>
    <w:rsid w:val="00B034F8"/>
    <w:rsid w:val="00B038CA"/>
    <w:rsid w:val="00B039CD"/>
    <w:rsid w:val="00B03B2E"/>
    <w:rsid w:val="00B03D69"/>
    <w:rsid w:val="00B03DDC"/>
    <w:rsid w:val="00B03E5D"/>
    <w:rsid w:val="00B03F6C"/>
    <w:rsid w:val="00B03F8E"/>
    <w:rsid w:val="00B042D6"/>
    <w:rsid w:val="00B04670"/>
    <w:rsid w:val="00B04681"/>
    <w:rsid w:val="00B046E9"/>
    <w:rsid w:val="00B0481B"/>
    <w:rsid w:val="00B04927"/>
    <w:rsid w:val="00B0494B"/>
    <w:rsid w:val="00B0499B"/>
    <w:rsid w:val="00B049EC"/>
    <w:rsid w:val="00B04A75"/>
    <w:rsid w:val="00B04C5A"/>
    <w:rsid w:val="00B04D53"/>
    <w:rsid w:val="00B04FC1"/>
    <w:rsid w:val="00B05129"/>
    <w:rsid w:val="00B051D6"/>
    <w:rsid w:val="00B05355"/>
    <w:rsid w:val="00B055EB"/>
    <w:rsid w:val="00B055EC"/>
    <w:rsid w:val="00B0574D"/>
    <w:rsid w:val="00B05B41"/>
    <w:rsid w:val="00B05CFA"/>
    <w:rsid w:val="00B05E03"/>
    <w:rsid w:val="00B062E9"/>
    <w:rsid w:val="00B06412"/>
    <w:rsid w:val="00B0660D"/>
    <w:rsid w:val="00B066BA"/>
    <w:rsid w:val="00B06CE6"/>
    <w:rsid w:val="00B06D37"/>
    <w:rsid w:val="00B06DF8"/>
    <w:rsid w:val="00B06E08"/>
    <w:rsid w:val="00B06E7F"/>
    <w:rsid w:val="00B06F2E"/>
    <w:rsid w:val="00B0713E"/>
    <w:rsid w:val="00B071CF"/>
    <w:rsid w:val="00B07257"/>
    <w:rsid w:val="00B07318"/>
    <w:rsid w:val="00B07740"/>
    <w:rsid w:val="00B0792A"/>
    <w:rsid w:val="00B07962"/>
    <w:rsid w:val="00B079B2"/>
    <w:rsid w:val="00B07BBB"/>
    <w:rsid w:val="00B07CE6"/>
    <w:rsid w:val="00B07DB2"/>
    <w:rsid w:val="00B07F55"/>
    <w:rsid w:val="00B10141"/>
    <w:rsid w:val="00B1033A"/>
    <w:rsid w:val="00B1033C"/>
    <w:rsid w:val="00B10341"/>
    <w:rsid w:val="00B103E1"/>
    <w:rsid w:val="00B104B7"/>
    <w:rsid w:val="00B105FA"/>
    <w:rsid w:val="00B1065F"/>
    <w:rsid w:val="00B106BD"/>
    <w:rsid w:val="00B10852"/>
    <w:rsid w:val="00B10A65"/>
    <w:rsid w:val="00B10AB2"/>
    <w:rsid w:val="00B10ADF"/>
    <w:rsid w:val="00B10B20"/>
    <w:rsid w:val="00B10B71"/>
    <w:rsid w:val="00B10D41"/>
    <w:rsid w:val="00B110A9"/>
    <w:rsid w:val="00B11180"/>
    <w:rsid w:val="00B11207"/>
    <w:rsid w:val="00B1123A"/>
    <w:rsid w:val="00B11253"/>
    <w:rsid w:val="00B11270"/>
    <w:rsid w:val="00B113D9"/>
    <w:rsid w:val="00B1141D"/>
    <w:rsid w:val="00B1158E"/>
    <w:rsid w:val="00B115A1"/>
    <w:rsid w:val="00B115FD"/>
    <w:rsid w:val="00B117B0"/>
    <w:rsid w:val="00B118D7"/>
    <w:rsid w:val="00B1191A"/>
    <w:rsid w:val="00B119B6"/>
    <w:rsid w:val="00B11BE1"/>
    <w:rsid w:val="00B11EF8"/>
    <w:rsid w:val="00B11F30"/>
    <w:rsid w:val="00B11FE7"/>
    <w:rsid w:val="00B12248"/>
    <w:rsid w:val="00B12292"/>
    <w:rsid w:val="00B1237D"/>
    <w:rsid w:val="00B123C6"/>
    <w:rsid w:val="00B123CC"/>
    <w:rsid w:val="00B124EA"/>
    <w:rsid w:val="00B126FC"/>
    <w:rsid w:val="00B12910"/>
    <w:rsid w:val="00B12B72"/>
    <w:rsid w:val="00B12B99"/>
    <w:rsid w:val="00B12E3E"/>
    <w:rsid w:val="00B12F95"/>
    <w:rsid w:val="00B131D9"/>
    <w:rsid w:val="00B13236"/>
    <w:rsid w:val="00B13291"/>
    <w:rsid w:val="00B132C7"/>
    <w:rsid w:val="00B1346F"/>
    <w:rsid w:val="00B13651"/>
    <w:rsid w:val="00B13BEE"/>
    <w:rsid w:val="00B13C3B"/>
    <w:rsid w:val="00B13D34"/>
    <w:rsid w:val="00B13E65"/>
    <w:rsid w:val="00B13ED0"/>
    <w:rsid w:val="00B13F8D"/>
    <w:rsid w:val="00B140CE"/>
    <w:rsid w:val="00B14104"/>
    <w:rsid w:val="00B1426B"/>
    <w:rsid w:val="00B142BD"/>
    <w:rsid w:val="00B142DE"/>
    <w:rsid w:val="00B143B5"/>
    <w:rsid w:val="00B14414"/>
    <w:rsid w:val="00B1448D"/>
    <w:rsid w:val="00B144BC"/>
    <w:rsid w:val="00B14518"/>
    <w:rsid w:val="00B14553"/>
    <w:rsid w:val="00B147E9"/>
    <w:rsid w:val="00B14CEF"/>
    <w:rsid w:val="00B14E79"/>
    <w:rsid w:val="00B15129"/>
    <w:rsid w:val="00B152B0"/>
    <w:rsid w:val="00B153F4"/>
    <w:rsid w:val="00B15514"/>
    <w:rsid w:val="00B15521"/>
    <w:rsid w:val="00B155FE"/>
    <w:rsid w:val="00B15717"/>
    <w:rsid w:val="00B15C28"/>
    <w:rsid w:val="00B15C9F"/>
    <w:rsid w:val="00B15D61"/>
    <w:rsid w:val="00B15E41"/>
    <w:rsid w:val="00B160D1"/>
    <w:rsid w:val="00B16667"/>
    <w:rsid w:val="00B16C16"/>
    <w:rsid w:val="00B16E3E"/>
    <w:rsid w:val="00B1701D"/>
    <w:rsid w:val="00B1727D"/>
    <w:rsid w:val="00B1734F"/>
    <w:rsid w:val="00B174A6"/>
    <w:rsid w:val="00B17648"/>
    <w:rsid w:val="00B178B0"/>
    <w:rsid w:val="00B1792F"/>
    <w:rsid w:val="00B179F1"/>
    <w:rsid w:val="00B17A59"/>
    <w:rsid w:val="00B200BF"/>
    <w:rsid w:val="00B20264"/>
    <w:rsid w:val="00B2031A"/>
    <w:rsid w:val="00B2048F"/>
    <w:rsid w:val="00B20688"/>
    <w:rsid w:val="00B20897"/>
    <w:rsid w:val="00B20D0D"/>
    <w:rsid w:val="00B20E55"/>
    <w:rsid w:val="00B20E57"/>
    <w:rsid w:val="00B20F47"/>
    <w:rsid w:val="00B2101B"/>
    <w:rsid w:val="00B21069"/>
    <w:rsid w:val="00B210A1"/>
    <w:rsid w:val="00B211F1"/>
    <w:rsid w:val="00B21219"/>
    <w:rsid w:val="00B21286"/>
    <w:rsid w:val="00B21351"/>
    <w:rsid w:val="00B2156E"/>
    <w:rsid w:val="00B216F8"/>
    <w:rsid w:val="00B217A5"/>
    <w:rsid w:val="00B217C7"/>
    <w:rsid w:val="00B21A55"/>
    <w:rsid w:val="00B22238"/>
    <w:rsid w:val="00B224DF"/>
    <w:rsid w:val="00B2281E"/>
    <w:rsid w:val="00B22820"/>
    <w:rsid w:val="00B229DB"/>
    <w:rsid w:val="00B22ABF"/>
    <w:rsid w:val="00B22AC9"/>
    <w:rsid w:val="00B22BA9"/>
    <w:rsid w:val="00B22E8C"/>
    <w:rsid w:val="00B22EDB"/>
    <w:rsid w:val="00B22F03"/>
    <w:rsid w:val="00B22F72"/>
    <w:rsid w:val="00B22FC6"/>
    <w:rsid w:val="00B23089"/>
    <w:rsid w:val="00B23146"/>
    <w:rsid w:val="00B2323E"/>
    <w:rsid w:val="00B23376"/>
    <w:rsid w:val="00B23384"/>
    <w:rsid w:val="00B235CB"/>
    <w:rsid w:val="00B2385E"/>
    <w:rsid w:val="00B2389C"/>
    <w:rsid w:val="00B239CE"/>
    <w:rsid w:val="00B23AAA"/>
    <w:rsid w:val="00B23B9B"/>
    <w:rsid w:val="00B23C11"/>
    <w:rsid w:val="00B23C67"/>
    <w:rsid w:val="00B23C88"/>
    <w:rsid w:val="00B23D5F"/>
    <w:rsid w:val="00B23DBF"/>
    <w:rsid w:val="00B23ED1"/>
    <w:rsid w:val="00B23F60"/>
    <w:rsid w:val="00B240B0"/>
    <w:rsid w:val="00B24188"/>
    <w:rsid w:val="00B241CB"/>
    <w:rsid w:val="00B241D4"/>
    <w:rsid w:val="00B24413"/>
    <w:rsid w:val="00B244D4"/>
    <w:rsid w:val="00B24522"/>
    <w:rsid w:val="00B24528"/>
    <w:rsid w:val="00B246F4"/>
    <w:rsid w:val="00B249E9"/>
    <w:rsid w:val="00B24BAD"/>
    <w:rsid w:val="00B24BF0"/>
    <w:rsid w:val="00B24DD2"/>
    <w:rsid w:val="00B24E3B"/>
    <w:rsid w:val="00B2507B"/>
    <w:rsid w:val="00B2529B"/>
    <w:rsid w:val="00B2544F"/>
    <w:rsid w:val="00B255D9"/>
    <w:rsid w:val="00B255EC"/>
    <w:rsid w:val="00B2579D"/>
    <w:rsid w:val="00B25B27"/>
    <w:rsid w:val="00B25B87"/>
    <w:rsid w:val="00B25BE1"/>
    <w:rsid w:val="00B25C58"/>
    <w:rsid w:val="00B25F41"/>
    <w:rsid w:val="00B26326"/>
    <w:rsid w:val="00B2640A"/>
    <w:rsid w:val="00B26498"/>
    <w:rsid w:val="00B26541"/>
    <w:rsid w:val="00B2674F"/>
    <w:rsid w:val="00B26877"/>
    <w:rsid w:val="00B26D29"/>
    <w:rsid w:val="00B26D36"/>
    <w:rsid w:val="00B26E56"/>
    <w:rsid w:val="00B26F2A"/>
    <w:rsid w:val="00B26F68"/>
    <w:rsid w:val="00B271D3"/>
    <w:rsid w:val="00B273C3"/>
    <w:rsid w:val="00B27442"/>
    <w:rsid w:val="00B2749D"/>
    <w:rsid w:val="00B275DE"/>
    <w:rsid w:val="00B278B1"/>
    <w:rsid w:val="00B27A7A"/>
    <w:rsid w:val="00B27EB7"/>
    <w:rsid w:val="00B27FF7"/>
    <w:rsid w:val="00B30114"/>
    <w:rsid w:val="00B301A4"/>
    <w:rsid w:val="00B30233"/>
    <w:rsid w:val="00B30271"/>
    <w:rsid w:val="00B302A3"/>
    <w:rsid w:val="00B302BB"/>
    <w:rsid w:val="00B30473"/>
    <w:rsid w:val="00B30490"/>
    <w:rsid w:val="00B305FB"/>
    <w:rsid w:val="00B30A84"/>
    <w:rsid w:val="00B30C06"/>
    <w:rsid w:val="00B30C33"/>
    <w:rsid w:val="00B30C34"/>
    <w:rsid w:val="00B30D89"/>
    <w:rsid w:val="00B3101B"/>
    <w:rsid w:val="00B31155"/>
    <w:rsid w:val="00B31293"/>
    <w:rsid w:val="00B31456"/>
    <w:rsid w:val="00B315C5"/>
    <w:rsid w:val="00B3167D"/>
    <w:rsid w:val="00B31914"/>
    <w:rsid w:val="00B319C4"/>
    <w:rsid w:val="00B31B48"/>
    <w:rsid w:val="00B31DAD"/>
    <w:rsid w:val="00B31DFA"/>
    <w:rsid w:val="00B31F08"/>
    <w:rsid w:val="00B31FA9"/>
    <w:rsid w:val="00B32069"/>
    <w:rsid w:val="00B32225"/>
    <w:rsid w:val="00B3238D"/>
    <w:rsid w:val="00B3244E"/>
    <w:rsid w:val="00B327C3"/>
    <w:rsid w:val="00B32AAC"/>
    <w:rsid w:val="00B32BB9"/>
    <w:rsid w:val="00B33054"/>
    <w:rsid w:val="00B3316A"/>
    <w:rsid w:val="00B331FF"/>
    <w:rsid w:val="00B3327D"/>
    <w:rsid w:val="00B3338F"/>
    <w:rsid w:val="00B335AC"/>
    <w:rsid w:val="00B33AE6"/>
    <w:rsid w:val="00B33E2B"/>
    <w:rsid w:val="00B33E7B"/>
    <w:rsid w:val="00B33F5D"/>
    <w:rsid w:val="00B33FCB"/>
    <w:rsid w:val="00B342FD"/>
    <w:rsid w:val="00B3433B"/>
    <w:rsid w:val="00B34A0A"/>
    <w:rsid w:val="00B34C97"/>
    <w:rsid w:val="00B34F85"/>
    <w:rsid w:val="00B35239"/>
    <w:rsid w:val="00B354C8"/>
    <w:rsid w:val="00B35855"/>
    <w:rsid w:val="00B359D0"/>
    <w:rsid w:val="00B359E5"/>
    <w:rsid w:val="00B35A7A"/>
    <w:rsid w:val="00B35B1A"/>
    <w:rsid w:val="00B35E14"/>
    <w:rsid w:val="00B35F18"/>
    <w:rsid w:val="00B36326"/>
    <w:rsid w:val="00B36EB9"/>
    <w:rsid w:val="00B37064"/>
    <w:rsid w:val="00B373F2"/>
    <w:rsid w:val="00B37579"/>
    <w:rsid w:val="00B375A9"/>
    <w:rsid w:val="00B3778D"/>
    <w:rsid w:val="00B3786A"/>
    <w:rsid w:val="00B37E2D"/>
    <w:rsid w:val="00B40162"/>
    <w:rsid w:val="00B40169"/>
    <w:rsid w:val="00B402E3"/>
    <w:rsid w:val="00B40361"/>
    <w:rsid w:val="00B406F2"/>
    <w:rsid w:val="00B40766"/>
    <w:rsid w:val="00B40780"/>
    <w:rsid w:val="00B40CD7"/>
    <w:rsid w:val="00B40D13"/>
    <w:rsid w:val="00B41085"/>
    <w:rsid w:val="00B410BE"/>
    <w:rsid w:val="00B410F5"/>
    <w:rsid w:val="00B411AA"/>
    <w:rsid w:val="00B411F0"/>
    <w:rsid w:val="00B41387"/>
    <w:rsid w:val="00B4161D"/>
    <w:rsid w:val="00B41837"/>
    <w:rsid w:val="00B41B43"/>
    <w:rsid w:val="00B41B73"/>
    <w:rsid w:val="00B41C8F"/>
    <w:rsid w:val="00B41C93"/>
    <w:rsid w:val="00B41DFA"/>
    <w:rsid w:val="00B4205A"/>
    <w:rsid w:val="00B420A7"/>
    <w:rsid w:val="00B42115"/>
    <w:rsid w:val="00B42613"/>
    <w:rsid w:val="00B428C2"/>
    <w:rsid w:val="00B42908"/>
    <w:rsid w:val="00B429E4"/>
    <w:rsid w:val="00B42A3F"/>
    <w:rsid w:val="00B42B20"/>
    <w:rsid w:val="00B42B43"/>
    <w:rsid w:val="00B42CB4"/>
    <w:rsid w:val="00B42D98"/>
    <w:rsid w:val="00B4303A"/>
    <w:rsid w:val="00B43408"/>
    <w:rsid w:val="00B434FE"/>
    <w:rsid w:val="00B43731"/>
    <w:rsid w:val="00B4383F"/>
    <w:rsid w:val="00B43899"/>
    <w:rsid w:val="00B438EE"/>
    <w:rsid w:val="00B4396D"/>
    <w:rsid w:val="00B43A1A"/>
    <w:rsid w:val="00B43C4C"/>
    <w:rsid w:val="00B43D0C"/>
    <w:rsid w:val="00B43D38"/>
    <w:rsid w:val="00B43E57"/>
    <w:rsid w:val="00B43F17"/>
    <w:rsid w:val="00B43FAD"/>
    <w:rsid w:val="00B4403B"/>
    <w:rsid w:val="00B44241"/>
    <w:rsid w:val="00B442E2"/>
    <w:rsid w:val="00B44321"/>
    <w:rsid w:val="00B443C4"/>
    <w:rsid w:val="00B44454"/>
    <w:rsid w:val="00B4462A"/>
    <w:rsid w:val="00B44ACB"/>
    <w:rsid w:val="00B44C44"/>
    <w:rsid w:val="00B44EA0"/>
    <w:rsid w:val="00B44EB5"/>
    <w:rsid w:val="00B45375"/>
    <w:rsid w:val="00B454E7"/>
    <w:rsid w:val="00B45CDB"/>
    <w:rsid w:val="00B46072"/>
    <w:rsid w:val="00B46112"/>
    <w:rsid w:val="00B462FA"/>
    <w:rsid w:val="00B463EC"/>
    <w:rsid w:val="00B46405"/>
    <w:rsid w:val="00B46515"/>
    <w:rsid w:val="00B46639"/>
    <w:rsid w:val="00B46675"/>
    <w:rsid w:val="00B46679"/>
    <w:rsid w:val="00B468D5"/>
    <w:rsid w:val="00B46A5D"/>
    <w:rsid w:val="00B46A69"/>
    <w:rsid w:val="00B46D0A"/>
    <w:rsid w:val="00B47025"/>
    <w:rsid w:val="00B472AA"/>
    <w:rsid w:val="00B4739A"/>
    <w:rsid w:val="00B47407"/>
    <w:rsid w:val="00B4744A"/>
    <w:rsid w:val="00B476A7"/>
    <w:rsid w:val="00B477E9"/>
    <w:rsid w:val="00B479EE"/>
    <w:rsid w:val="00B47AE7"/>
    <w:rsid w:val="00B47C85"/>
    <w:rsid w:val="00B47DAF"/>
    <w:rsid w:val="00B47E14"/>
    <w:rsid w:val="00B47F07"/>
    <w:rsid w:val="00B47F0B"/>
    <w:rsid w:val="00B5029C"/>
    <w:rsid w:val="00B50593"/>
    <w:rsid w:val="00B50699"/>
    <w:rsid w:val="00B50720"/>
    <w:rsid w:val="00B507D8"/>
    <w:rsid w:val="00B5094D"/>
    <w:rsid w:val="00B50A5C"/>
    <w:rsid w:val="00B50B9B"/>
    <w:rsid w:val="00B50CF0"/>
    <w:rsid w:val="00B50D20"/>
    <w:rsid w:val="00B50ECD"/>
    <w:rsid w:val="00B50FE2"/>
    <w:rsid w:val="00B51000"/>
    <w:rsid w:val="00B5105D"/>
    <w:rsid w:val="00B5108F"/>
    <w:rsid w:val="00B510E1"/>
    <w:rsid w:val="00B510EC"/>
    <w:rsid w:val="00B51194"/>
    <w:rsid w:val="00B519CA"/>
    <w:rsid w:val="00B51A3F"/>
    <w:rsid w:val="00B51AD1"/>
    <w:rsid w:val="00B51BC1"/>
    <w:rsid w:val="00B51BD2"/>
    <w:rsid w:val="00B51D06"/>
    <w:rsid w:val="00B51F96"/>
    <w:rsid w:val="00B520C9"/>
    <w:rsid w:val="00B521FC"/>
    <w:rsid w:val="00B5226A"/>
    <w:rsid w:val="00B52357"/>
    <w:rsid w:val="00B524A1"/>
    <w:rsid w:val="00B525AF"/>
    <w:rsid w:val="00B525E1"/>
    <w:rsid w:val="00B52785"/>
    <w:rsid w:val="00B527A8"/>
    <w:rsid w:val="00B52D53"/>
    <w:rsid w:val="00B52D69"/>
    <w:rsid w:val="00B52EE2"/>
    <w:rsid w:val="00B53338"/>
    <w:rsid w:val="00B533D2"/>
    <w:rsid w:val="00B534CF"/>
    <w:rsid w:val="00B537C0"/>
    <w:rsid w:val="00B5389F"/>
    <w:rsid w:val="00B53B42"/>
    <w:rsid w:val="00B53B98"/>
    <w:rsid w:val="00B53C9F"/>
    <w:rsid w:val="00B54073"/>
    <w:rsid w:val="00B540D8"/>
    <w:rsid w:val="00B54238"/>
    <w:rsid w:val="00B5433D"/>
    <w:rsid w:val="00B5440C"/>
    <w:rsid w:val="00B54481"/>
    <w:rsid w:val="00B545A4"/>
    <w:rsid w:val="00B54885"/>
    <w:rsid w:val="00B5494C"/>
    <w:rsid w:val="00B54B3C"/>
    <w:rsid w:val="00B54BC4"/>
    <w:rsid w:val="00B54D09"/>
    <w:rsid w:val="00B54DDC"/>
    <w:rsid w:val="00B54F0B"/>
    <w:rsid w:val="00B54FD4"/>
    <w:rsid w:val="00B5535E"/>
    <w:rsid w:val="00B55553"/>
    <w:rsid w:val="00B5577F"/>
    <w:rsid w:val="00B55A00"/>
    <w:rsid w:val="00B55A9C"/>
    <w:rsid w:val="00B55AFB"/>
    <w:rsid w:val="00B55B56"/>
    <w:rsid w:val="00B55BBF"/>
    <w:rsid w:val="00B55BED"/>
    <w:rsid w:val="00B55EBB"/>
    <w:rsid w:val="00B55F40"/>
    <w:rsid w:val="00B55F62"/>
    <w:rsid w:val="00B55FA2"/>
    <w:rsid w:val="00B560EA"/>
    <w:rsid w:val="00B56744"/>
    <w:rsid w:val="00B56765"/>
    <w:rsid w:val="00B56784"/>
    <w:rsid w:val="00B56813"/>
    <w:rsid w:val="00B569F8"/>
    <w:rsid w:val="00B56BC6"/>
    <w:rsid w:val="00B56BF9"/>
    <w:rsid w:val="00B56C7F"/>
    <w:rsid w:val="00B56E38"/>
    <w:rsid w:val="00B56FF8"/>
    <w:rsid w:val="00B57056"/>
    <w:rsid w:val="00B570E1"/>
    <w:rsid w:val="00B57142"/>
    <w:rsid w:val="00B571A9"/>
    <w:rsid w:val="00B57309"/>
    <w:rsid w:val="00B57322"/>
    <w:rsid w:val="00B57347"/>
    <w:rsid w:val="00B575BD"/>
    <w:rsid w:val="00B57690"/>
    <w:rsid w:val="00B5773F"/>
    <w:rsid w:val="00B5787D"/>
    <w:rsid w:val="00B578C5"/>
    <w:rsid w:val="00B57B3B"/>
    <w:rsid w:val="00B57CEB"/>
    <w:rsid w:val="00B57D69"/>
    <w:rsid w:val="00B57EF8"/>
    <w:rsid w:val="00B60062"/>
    <w:rsid w:val="00B60285"/>
    <w:rsid w:val="00B6031D"/>
    <w:rsid w:val="00B60526"/>
    <w:rsid w:val="00B60653"/>
    <w:rsid w:val="00B6074A"/>
    <w:rsid w:val="00B608B3"/>
    <w:rsid w:val="00B60AAE"/>
    <w:rsid w:val="00B60BC0"/>
    <w:rsid w:val="00B60D87"/>
    <w:rsid w:val="00B60E62"/>
    <w:rsid w:val="00B60F91"/>
    <w:rsid w:val="00B611D9"/>
    <w:rsid w:val="00B61376"/>
    <w:rsid w:val="00B61435"/>
    <w:rsid w:val="00B617C7"/>
    <w:rsid w:val="00B61B36"/>
    <w:rsid w:val="00B61DF7"/>
    <w:rsid w:val="00B62222"/>
    <w:rsid w:val="00B62248"/>
    <w:rsid w:val="00B6250F"/>
    <w:rsid w:val="00B62978"/>
    <w:rsid w:val="00B62C6C"/>
    <w:rsid w:val="00B62D57"/>
    <w:rsid w:val="00B62EF4"/>
    <w:rsid w:val="00B6305A"/>
    <w:rsid w:val="00B635C2"/>
    <w:rsid w:val="00B63770"/>
    <w:rsid w:val="00B63789"/>
    <w:rsid w:val="00B637F2"/>
    <w:rsid w:val="00B63811"/>
    <w:rsid w:val="00B63961"/>
    <w:rsid w:val="00B63AAE"/>
    <w:rsid w:val="00B63ACA"/>
    <w:rsid w:val="00B63C4E"/>
    <w:rsid w:val="00B63D0C"/>
    <w:rsid w:val="00B63FD2"/>
    <w:rsid w:val="00B6405C"/>
    <w:rsid w:val="00B6418E"/>
    <w:rsid w:val="00B6421C"/>
    <w:rsid w:val="00B6444F"/>
    <w:rsid w:val="00B64488"/>
    <w:rsid w:val="00B6466A"/>
    <w:rsid w:val="00B649E9"/>
    <w:rsid w:val="00B64AE3"/>
    <w:rsid w:val="00B64BBE"/>
    <w:rsid w:val="00B64C07"/>
    <w:rsid w:val="00B64C58"/>
    <w:rsid w:val="00B64FB5"/>
    <w:rsid w:val="00B64FC6"/>
    <w:rsid w:val="00B6513F"/>
    <w:rsid w:val="00B65216"/>
    <w:rsid w:val="00B6535C"/>
    <w:rsid w:val="00B6543A"/>
    <w:rsid w:val="00B6553E"/>
    <w:rsid w:val="00B6593A"/>
    <w:rsid w:val="00B659F1"/>
    <w:rsid w:val="00B65A18"/>
    <w:rsid w:val="00B65AC5"/>
    <w:rsid w:val="00B65C68"/>
    <w:rsid w:val="00B66203"/>
    <w:rsid w:val="00B66243"/>
    <w:rsid w:val="00B6632E"/>
    <w:rsid w:val="00B664A1"/>
    <w:rsid w:val="00B6659D"/>
    <w:rsid w:val="00B665BE"/>
    <w:rsid w:val="00B6666B"/>
    <w:rsid w:val="00B66709"/>
    <w:rsid w:val="00B66762"/>
    <w:rsid w:val="00B66931"/>
    <w:rsid w:val="00B66A08"/>
    <w:rsid w:val="00B66AD7"/>
    <w:rsid w:val="00B66B83"/>
    <w:rsid w:val="00B66D9A"/>
    <w:rsid w:val="00B6722F"/>
    <w:rsid w:val="00B67242"/>
    <w:rsid w:val="00B6796D"/>
    <w:rsid w:val="00B679BC"/>
    <w:rsid w:val="00B67A2D"/>
    <w:rsid w:val="00B67AB6"/>
    <w:rsid w:val="00B67CC4"/>
    <w:rsid w:val="00B67D30"/>
    <w:rsid w:val="00B67DBC"/>
    <w:rsid w:val="00B700A1"/>
    <w:rsid w:val="00B700AA"/>
    <w:rsid w:val="00B700DE"/>
    <w:rsid w:val="00B70385"/>
    <w:rsid w:val="00B70496"/>
    <w:rsid w:val="00B7056F"/>
    <w:rsid w:val="00B70606"/>
    <w:rsid w:val="00B7063B"/>
    <w:rsid w:val="00B7066B"/>
    <w:rsid w:val="00B706A0"/>
    <w:rsid w:val="00B70839"/>
    <w:rsid w:val="00B70955"/>
    <w:rsid w:val="00B70A63"/>
    <w:rsid w:val="00B70B60"/>
    <w:rsid w:val="00B70CE7"/>
    <w:rsid w:val="00B71297"/>
    <w:rsid w:val="00B71535"/>
    <w:rsid w:val="00B71661"/>
    <w:rsid w:val="00B718C6"/>
    <w:rsid w:val="00B71908"/>
    <w:rsid w:val="00B71A7B"/>
    <w:rsid w:val="00B71A9D"/>
    <w:rsid w:val="00B71AAE"/>
    <w:rsid w:val="00B71DCF"/>
    <w:rsid w:val="00B71EB1"/>
    <w:rsid w:val="00B721A4"/>
    <w:rsid w:val="00B72262"/>
    <w:rsid w:val="00B723CC"/>
    <w:rsid w:val="00B723E9"/>
    <w:rsid w:val="00B72522"/>
    <w:rsid w:val="00B72664"/>
    <w:rsid w:val="00B7294C"/>
    <w:rsid w:val="00B72AF2"/>
    <w:rsid w:val="00B72BB5"/>
    <w:rsid w:val="00B7306C"/>
    <w:rsid w:val="00B73275"/>
    <w:rsid w:val="00B73519"/>
    <w:rsid w:val="00B735A6"/>
    <w:rsid w:val="00B7380E"/>
    <w:rsid w:val="00B73B3A"/>
    <w:rsid w:val="00B73D7D"/>
    <w:rsid w:val="00B73DF3"/>
    <w:rsid w:val="00B73EFC"/>
    <w:rsid w:val="00B73FC8"/>
    <w:rsid w:val="00B74031"/>
    <w:rsid w:val="00B74200"/>
    <w:rsid w:val="00B74212"/>
    <w:rsid w:val="00B7431B"/>
    <w:rsid w:val="00B7444A"/>
    <w:rsid w:val="00B74463"/>
    <w:rsid w:val="00B746CB"/>
    <w:rsid w:val="00B74864"/>
    <w:rsid w:val="00B748FB"/>
    <w:rsid w:val="00B74A0B"/>
    <w:rsid w:val="00B74C38"/>
    <w:rsid w:val="00B74E32"/>
    <w:rsid w:val="00B750B2"/>
    <w:rsid w:val="00B75252"/>
    <w:rsid w:val="00B75266"/>
    <w:rsid w:val="00B753D8"/>
    <w:rsid w:val="00B7565F"/>
    <w:rsid w:val="00B757A6"/>
    <w:rsid w:val="00B75C17"/>
    <w:rsid w:val="00B75CC9"/>
    <w:rsid w:val="00B75CEC"/>
    <w:rsid w:val="00B75EF3"/>
    <w:rsid w:val="00B75F94"/>
    <w:rsid w:val="00B760E2"/>
    <w:rsid w:val="00B7617F"/>
    <w:rsid w:val="00B762C2"/>
    <w:rsid w:val="00B764AA"/>
    <w:rsid w:val="00B76821"/>
    <w:rsid w:val="00B76967"/>
    <w:rsid w:val="00B769AE"/>
    <w:rsid w:val="00B76A23"/>
    <w:rsid w:val="00B76AAF"/>
    <w:rsid w:val="00B76ADD"/>
    <w:rsid w:val="00B76C9A"/>
    <w:rsid w:val="00B76D16"/>
    <w:rsid w:val="00B76DE2"/>
    <w:rsid w:val="00B76EBF"/>
    <w:rsid w:val="00B7715F"/>
    <w:rsid w:val="00B77396"/>
    <w:rsid w:val="00B775B1"/>
    <w:rsid w:val="00B775E3"/>
    <w:rsid w:val="00B77636"/>
    <w:rsid w:val="00B77692"/>
    <w:rsid w:val="00B777E8"/>
    <w:rsid w:val="00B77965"/>
    <w:rsid w:val="00B7797C"/>
    <w:rsid w:val="00B77D3A"/>
    <w:rsid w:val="00B77E94"/>
    <w:rsid w:val="00B801A6"/>
    <w:rsid w:val="00B80236"/>
    <w:rsid w:val="00B80274"/>
    <w:rsid w:val="00B80324"/>
    <w:rsid w:val="00B803AC"/>
    <w:rsid w:val="00B805E6"/>
    <w:rsid w:val="00B80648"/>
    <w:rsid w:val="00B80655"/>
    <w:rsid w:val="00B80693"/>
    <w:rsid w:val="00B80846"/>
    <w:rsid w:val="00B809B9"/>
    <w:rsid w:val="00B809BD"/>
    <w:rsid w:val="00B80AAE"/>
    <w:rsid w:val="00B80E69"/>
    <w:rsid w:val="00B80FE7"/>
    <w:rsid w:val="00B81047"/>
    <w:rsid w:val="00B81059"/>
    <w:rsid w:val="00B811BE"/>
    <w:rsid w:val="00B811C1"/>
    <w:rsid w:val="00B812E0"/>
    <w:rsid w:val="00B81510"/>
    <w:rsid w:val="00B81518"/>
    <w:rsid w:val="00B8159E"/>
    <w:rsid w:val="00B81638"/>
    <w:rsid w:val="00B816B1"/>
    <w:rsid w:val="00B81795"/>
    <w:rsid w:val="00B81867"/>
    <w:rsid w:val="00B81979"/>
    <w:rsid w:val="00B81A51"/>
    <w:rsid w:val="00B81AF8"/>
    <w:rsid w:val="00B82232"/>
    <w:rsid w:val="00B8233F"/>
    <w:rsid w:val="00B82371"/>
    <w:rsid w:val="00B82409"/>
    <w:rsid w:val="00B82423"/>
    <w:rsid w:val="00B82429"/>
    <w:rsid w:val="00B8249C"/>
    <w:rsid w:val="00B825A2"/>
    <w:rsid w:val="00B82770"/>
    <w:rsid w:val="00B82CFC"/>
    <w:rsid w:val="00B82D1D"/>
    <w:rsid w:val="00B82FE0"/>
    <w:rsid w:val="00B830D7"/>
    <w:rsid w:val="00B83230"/>
    <w:rsid w:val="00B8326B"/>
    <w:rsid w:val="00B835A0"/>
    <w:rsid w:val="00B835B4"/>
    <w:rsid w:val="00B83659"/>
    <w:rsid w:val="00B837E2"/>
    <w:rsid w:val="00B83802"/>
    <w:rsid w:val="00B83CC1"/>
    <w:rsid w:val="00B83F30"/>
    <w:rsid w:val="00B83FFD"/>
    <w:rsid w:val="00B841D4"/>
    <w:rsid w:val="00B84345"/>
    <w:rsid w:val="00B8434E"/>
    <w:rsid w:val="00B84371"/>
    <w:rsid w:val="00B844E7"/>
    <w:rsid w:val="00B845A4"/>
    <w:rsid w:val="00B845D7"/>
    <w:rsid w:val="00B848B7"/>
    <w:rsid w:val="00B84A0E"/>
    <w:rsid w:val="00B84DCF"/>
    <w:rsid w:val="00B84E15"/>
    <w:rsid w:val="00B850D6"/>
    <w:rsid w:val="00B85104"/>
    <w:rsid w:val="00B85135"/>
    <w:rsid w:val="00B853B7"/>
    <w:rsid w:val="00B8562A"/>
    <w:rsid w:val="00B8574E"/>
    <w:rsid w:val="00B859B7"/>
    <w:rsid w:val="00B85A83"/>
    <w:rsid w:val="00B85B13"/>
    <w:rsid w:val="00B85B94"/>
    <w:rsid w:val="00B85BA6"/>
    <w:rsid w:val="00B85CFB"/>
    <w:rsid w:val="00B85D6E"/>
    <w:rsid w:val="00B85D92"/>
    <w:rsid w:val="00B85EB4"/>
    <w:rsid w:val="00B8637D"/>
    <w:rsid w:val="00B8640E"/>
    <w:rsid w:val="00B86618"/>
    <w:rsid w:val="00B86814"/>
    <w:rsid w:val="00B86835"/>
    <w:rsid w:val="00B86A57"/>
    <w:rsid w:val="00B86BAB"/>
    <w:rsid w:val="00B86C58"/>
    <w:rsid w:val="00B86C98"/>
    <w:rsid w:val="00B86CE2"/>
    <w:rsid w:val="00B86D3E"/>
    <w:rsid w:val="00B86F9D"/>
    <w:rsid w:val="00B86FC1"/>
    <w:rsid w:val="00B870DE"/>
    <w:rsid w:val="00B871DE"/>
    <w:rsid w:val="00B875D7"/>
    <w:rsid w:val="00B878DE"/>
    <w:rsid w:val="00B87935"/>
    <w:rsid w:val="00B8794B"/>
    <w:rsid w:val="00B87BFF"/>
    <w:rsid w:val="00B87C2B"/>
    <w:rsid w:val="00B87D0D"/>
    <w:rsid w:val="00B87D99"/>
    <w:rsid w:val="00B87E05"/>
    <w:rsid w:val="00B87ED9"/>
    <w:rsid w:val="00B87F34"/>
    <w:rsid w:val="00B87F3C"/>
    <w:rsid w:val="00B9029C"/>
    <w:rsid w:val="00B9037E"/>
    <w:rsid w:val="00B904F5"/>
    <w:rsid w:val="00B9083E"/>
    <w:rsid w:val="00B9087B"/>
    <w:rsid w:val="00B90AF2"/>
    <w:rsid w:val="00B90CB7"/>
    <w:rsid w:val="00B90D5C"/>
    <w:rsid w:val="00B90DFB"/>
    <w:rsid w:val="00B90FA2"/>
    <w:rsid w:val="00B91092"/>
    <w:rsid w:val="00B91420"/>
    <w:rsid w:val="00B916E3"/>
    <w:rsid w:val="00B919C5"/>
    <w:rsid w:val="00B91CE0"/>
    <w:rsid w:val="00B91F2D"/>
    <w:rsid w:val="00B91F90"/>
    <w:rsid w:val="00B9220D"/>
    <w:rsid w:val="00B92306"/>
    <w:rsid w:val="00B92391"/>
    <w:rsid w:val="00B92414"/>
    <w:rsid w:val="00B92470"/>
    <w:rsid w:val="00B9274C"/>
    <w:rsid w:val="00B92A39"/>
    <w:rsid w:val="00B92DB2"/>
    <w:rsid w:val="00B92E01"/>
    <w:rsid w:val="00B9305F"/>
    <w:rsid w:val="00B931AE"/>
    <w:rsid w:val="00B932B8"/>
    <w:rsid w:val="00B933D9"/>
    <w:rsid w:val="00B93549"/>
    <w:rsid w:val="00B935BF"/>
    <w:rsid w:val="00B9362B"/>
    <w:rsid w:val="00B9364D"/>
    <w:rsid w:val="00B93808"/>
    <w:rsid w:val="00B938F8"/>
    <w:rsid w:val="00B93938"/>
    <w:rsid w:val="00B9393A"/>
    <w:rsid w:val="00B93A0F"/>
    <w:rsid w:val="00B93BC7"/>
    <w:rsid w:val="00B93E42"/>
    <w:rsid w:val="00B93E43"/>
    <w:rsid w:val="00B94098"/>
    <w:rsid w:val="00B943F5"/>
    <w:rsid w:val="00B9453E"/>
    <w:rsid w:val="00B946B6"/>
    <w:rsid w:val="00B947F0"/>
    <w:rsid w:val="00B94BB2"/>
    <w:rsid w:val="00B94E23"/>
    <w:rsid w:val="00B94E68"/>
    <w:rsid w:val="00B94EA6"/>
    <w:rsid w:val="00B94EBB"/>
    <w:rsid w:val="00B94EFA"/>
    <w:rsid w:val="00B94F12"/>
    <w:rsid w:val="00B95098"/>
    <w:rsid w:val="00B950D7"/>
    <w:rsid w:val="00B954E0"/>
    <w:rsid w:val="00B955B0"/>
    <w:rsid w:val="00B95695"/>
    <w:rsid w:val="00B957B2"/>
    <w:rsid w:val="00B95964"/>
    <w:rsid w:val="00B95A36"/>
    <w:rsid w:val="00B95A84"/>
    <w:rsid w:val="00B95B09"/>
    <w:rsid w:val="00B95E67"/>
    <w:rsid w:val="00B95E7C"/>
    <w:rsid w:val="00B95E88"/>
    <w:rsid w:val="00B95F3A"/>
    <w:rsid w:val="00B9653E"/>
    <w:rsid w:val="00B967B6"/>
    <w:rsid w:val="00B96895"/>
    <w:rsid w:val="00B969C4"/>
    <w:rsid w:val="00B96A0F"/>
    <w:rsid w:val="00B96AC9"/>
    <w:rsid w:val="00B96B95"/>
    <w:rsid w:val="00B96C1F"/>
    <w:rsid w:val="00B96D6A"/>
    <w:rsid w:val="00B96DD5"/>
    <w:rsid w:val="00B96E50"/>
    <w:rsid w:val="00B96F7B"/>
    <w:rsid w:val="00B97169"/>
    <w:rsid w:val="00B9717D"/>
    <w:rsid w:val="00B975EC"/>
    <w:rsid w:val="00B97A05"/>
    <w:rsid w:val="00B97A9F"/>
    <w:rsid w:val="00B97B9F"/>
    <w:rsid w:val="00B97CB2"/>
    <w:rsid w:val="00B97D7E"/>
    <w:rsid w:val="00B97E95"/>
    <w:rsid w:val="00B97F62"/>
    <w:rsid w:val="00B97F6B"/>
    <w:rsid w:val="00BA0035"/>
    <w:rsid w:val="00BA00C2"/>
    <w:rsid w:val="00BA01F2"/>
    <w:rsid w:val="00BA0455"/>
    <w:rsid w:val="00BA063B"/>
    <w:rsid w:val="00BA0A34"/>
    <w:rsid w:val="00BA0A8E"/>
    <w:rsid w:val="00BA0B7B"/>
    <w:rsid w:val="00BA0DFC"/>
    <w:rsid w:val="00BA0E35"/>
    <w:rsid w:val="00BA0E7B"/>
    <w:rsid w:val="00BA0FE2"/>
    <w:rsid w:val="00BA0FF8"/>
    <w:rsid w:val="00BA10D0"/>
    <w:rsid w:val="00BA1250"/>
    <w:rsid w:val="00BA12A4"/>
    <w:rsid w:val="00BA12C4"/>
    <w:rsid w:val="00BA18F4"/>
    <w:rsid w:val="00BA1A33"/>
    <w:rsid w:val="00BA1AAC"/>
    <w:rsid w:val="00BA1DA8"/>
    <w:rsid w:val="00BA1F2D"/>
    <w:rsid w:val="00BA275F"/>
    <w:rsid w:val="00BA29C6"/>
    <w:rsid w:val="00BA29EC"/>
    <w:rsid w:val="00BA2ACE"/>
    <w:rsid w:val="00BA2CDE"/>
    <w:rsid w:val="00BA2EE5"/>
    <w:rsid w:val="00BA2F53"/>
    <w:rsid w:val="00BA2F72"/>
    <w:rsid w:val="00BA31E6"/>
    <w:rsid w:val="00BA3471"/>
    <w:rsid w:val="00BA348B"/>
    <w:rsid w:val="00BA3553"/>
    <w:rsid w:val="00BA3605"/>
    <w:rsid w:val="00BA3817"/>
    <w:rsid w:val="00BA38AA"/>
    <w:rsid w:val="00BA3AAD"/>
    <w:rsid w:val="00BA402B"/>
    <w:rsid w:val="00BA41D8"/>
    <w:rsid w:val="00BA438B"/>
    <w:rsid w:val="00BA48E7"/>
    <w:rsid w:val="00BA4941"/>
    <w:rsid w:val="00BA4A4A"/>
    <w:rsid w:val="00BA4C2C"/>
    <w:rsid w:val="00BA4C5C"/>
    <w:rsid w:val="00BA4C6D"/>
    <w:rsid w:val="00BA4CBA"/>
    <w:rsid w:val="00BA4CC2"/>
    <w:rsid w:val="00BA4CE3"/>
    <w:rsid w:val="00BA4D81"/>
    <w:rsid w:val="00BA4ED8"/>
    <w:rsid w:val="00BA50B4"/>
    <w:rsid w:val="00BA5154"/>
    <w:rsid w:val="00BA519F"/>
    <w:rsid w:val="00BA5251"/>
    <w:rsid w:val="00BA538A"/>
    <w:rsid w:val="00BA5509"/>
    <w:rsid w:val="00BA5679"/>
    <w:rsid w:val="00BA5710"/>
    <w:rsid w:val="00BA5A83"/>
    <w:rsid w:val="00BA5D34"/>
    <w:rsid w:val="00BA5FFB"/>
    <w:rsid w:val="00BA6133"/>
    <w:rsid w:val="00BA679A"/>
    <w:rsid w:val="00BA67CF"/>
    <w:rsid w:val="00BA6925"/>
    <w:rsid w:val="00BA6AE0"/>
    <w:rsid w:val="00BA6B22"/>
    <w:rsid w:val="00BA6C43"/>
    <w:rsid w:val="00BA6C87"/>
    <w:rsid w:val="00BA6CFC"/>
    <w:rsid w:val="00BA6D04"/>
    <w:rsid w:val="00BA6E3F"/>
    <w:rsid w:val="00BA6F08"/>
    <w:rsid w:val="00BA6F80"/>
    <w:rsid w:val="00BA7137"/>
    <w:rsid w:val="00BA7536"/>
    <w:rsid w:val="00BA7646"/>
    <w:rsid w:val="00BA767A"/>
    <w:rsid w:val="00BA7BB8"/>
    <w:rsid w:val="00BA7CA6"/>
    <w:rsid w:val="00BB044D"/>
    <w:rsid w:val="00BB0515"/>
    <w:rsid w:val="00BB0826"/>
    <w:rsid w:val="00BB0896"/>
    <w:rsid w:val="00BB0962"/>
    <w:rsid w:val="00BB0999"/>
    <w:rsid w:val="00BB09BB"/>
    <w:rsid w:val="00BB0A9D"/>
    <w:rsid w:val="00BB0AAD"/>
    <w:rsid w:val="00BB0BCD"/>
    <w:rsid w:val="00BB113A"/>
    <w:rsid w:val="00BB1251"/>
    <w:rsid w:val="00BB138E"/>
    <w:rsid w:val="00BB13CA"/>
    <w:rsid w:val="00BB177C"/>
    <w:rsid w:val="00BB17D0"/>
    <w:rsid w:val="00BB1949"/>
    <w:rsid w:val="00BB1A97"/>
    <w:rsid w:val="00BB1B05"/>
    <w:rsid w:val="00BB1DED"/>
    <w:rsid w:val="00BB2213"/>
    <w:rsid w:val="00BB222C"/>
    <w:rsid w:val="00BB223C"/>
    <w:rsid w:val="00BB23F6"/>
    <w:rsid w:val="00BB24BD"/>
    <w:rsid w:val="00BB2BA6"/>
    <w:rsid w:val="00BB2CEB"/>
    <w:rsid w:val="00BB2E21"/>
    <w:rsid w:val="00BB3166"/>
    <w:rsid w:val="00BB3406"/>
    <w:rsid w:val="00BB3472"/>
    <w:rsid w:val="00BB3498"/>
    <w:rsid w:val="00BB3661"/>
    <w:rsid w:val="00BB3BC8"/>
    <w:rsid w:val="00BB3C9E"/>
    <w:rsid w:val="00BB3FF8"/>
    <w:rsid w:val="00BB4513"/>
    <w:rsid w:val="00BB4665"/>
    <w:rsid w:val="00BB4A4C"/>
    <w:rsid w:val="00BB4D4F"/>
    <w:rsid w:val="00BB4E03"/>
    <w:rsid w:val="00BB500F"/>
    <w:rsid w:val="00BB5289"/>
    <w:rsid w:val="00BB52CA"/>
    <w:rsid w:val="00BB5402"/>
    <w:rsid w:val="00BB548F"/>
    <w:rsid w:val="00BB569A"/>
    <w:rsid w:val="00BB5A27"/>
    <w:rsid w:val="00BB5D5A"/>
    <w:rsid w:val="00BB6072"/>
    <w:rsid w:val="00BB6149"/>
    <w:rsid w:val="00BB63D0"/>
    <w:rsid w:val="00BB64A2"/>
    <w:rsid w:val="00BB6608"/>
    <w:rsid w:val="00BB6987"/>
    <w:rsid w:val="00BB6A1D"/>
    <w:rsid w:val="00BB6BE8"/>
    <w:rsid w:val="00BB6C68"/>
    <w:rsid w:val="00BB6D46"/>
    <w:rsid w:val="00BB6DF6"/>
    <w:rsid w:val="00BB6EEE"/>
    <w:rsid w:val="00BB6FF7"/>
    <w:rsid w:val="00BB71CE"/>
    <w:rsid w:val="00BB72C7"/>
    <w:rsid w:val="00BB738B"/>
    <w:rsid w:val="00BB74A2"/>
    <w:rsid w:val="00BB7632"/>
    <w:rsid w:val="00BB774B"/>
    <w:rsid w:val="00BB7938"/>
    <w:rsid w:val="00BB7965"/>
    <w:rsid w:val="00BB7ECD"/>
    <w:rsid w:val="00BC0098"/>
    <w:rsid w:val="00BC03A0"/>
    <w:rsid w:val="00BC03BA"/>
    <w:rsid w:val="00BC03E9"/>
    <w:rsid w:val="00BC0515"/>
    <w:rsid w:val="00BC0560"/>
    <w:rsid w:val="00BC06B6"/>
    <w:rsid w:val="00BC097D"/>
    <w:rsid w:val="00BC0C2B"/>
    <w:rsid w:val="00BC0DE4"/>
    <w:rsid w:val="00BC0EDE"/>
    <w:rsid w:val="00BC0F6A"/>
    <w:rsid w:val="00BC1040"/>
    <w:rsid w:val="00BC1042"/>
    <w:rsid w:val="00BC12C9"/>
    <w:rsid w:val="00BC1322"/>
    <w:rsid w:val="00BC13E8"/>
    <w:rsid w:val="00BC1449"/>
    <w:rsid w:val="00BC1646"/>
    <w:rsid w:val="00BC1829"/>
    <w:rsid w:val="00BC190D"/>
    <w:rsid w:val="00BC19DC"/>
    <w:rsid w:val="00BC19F3"/>
    <w:rsid w:val="00BC1A0C"/>
    <w:rsid w:val="00BC1B06"/>
    <w:rsid w:val="00BC1B71"/>
    <w:rsid w:val="00BC1C03"/>
    <w:rsid w:val="00BC1D12"/>
    <w:rsid w:val="00BC1D96"/>
    <w:rsid w:val="00BC1E16"/>
    <w:rsid w:val="00BC21D1"/>
    <w:rsid w:val="00BC2225"/>
    <w:rsid w:val="00BC22FA"/>
    <w:rsid w:val="00BC23B9"/>
    <w:rsid w:val="00BC23E4"/>
    <w:rsid w:val="00BC242E"/>
    <w:rsid w:val="00BC26E7"/>
    <w:rsid w:val="00BC26F6"/>
    <w:rsid w:val="00BC2741"/>
    <w:rsid w:val="00BC28B9"/>
    <w:rsid w:val="00BC2A1B"/>
    <w:rsid w:val="00BC2ABB"/>
    <w:rsid w:val="00BC2C11"/>
    <w:rsid w:val="00BC2FF9"/>
    <w:rsid w:val="00BC306B"/>
    <w:rsid w:val="00BC32BE"/>
    <w:rsid w:val="00BC38C2"/>
    <w:rsid w:val="00BC3B11"/>
    <w:rsid w:val="00BC3C00"/>
    <w:rsid w:val="00BC3C5B"/>
    <w:rsid w:val="00BC3DCC"/>
    <w:rsid w:val="00BC3DEB"/>
    <w:rsid w:val="00BC3FC3"/>
    <w:rsid w:val="00BC409F"/>
    <w:rsid w:val="00BC40FD"/>
    <w:rsid w:val="00BC463E"/>
    <w:rsid w:val="00BC490D"/>
    <w:rsid w:val="00BC498A"/>
    <w:rsid w:val="00BC4AC2"/>
    <w:rsid w:val="00BC4BEE"/>
    <w:rsid w:val="00BC4C4E"/>
    <w:rsid w:val="00BC4C7C"/>
    <w:rsid w:val="00BC4D3C"/>
    <w:rsid w:val="00BC4DDF"/>
    <w:rsid w:val="00BC514B"/>
    <w:rsid w:val="00BC51DC"/>
    <w:rsid w:val="00BC5308"/>
    <w:rsid w:val="00BC53A9"/>
    <w:rsid w:val="00BC541C"/>
    <w:rsid w:val="00BC5469"/>
    <w:rsid w:val="00BC565F"/>
    <w:rsid w:val="00BC5876"/>
    <w:rsid w:val="00BC5A07"/>
    <w:rsid w:val="00BC5ABD"/>
    <w:rsid w:val="00BC5B8B"/>
    <w:rsid w:val="00BC5BD7"/>
    <w:rsid w:val="00BC5DE9"/>
    <w:rsid w:val="00BC603C"/>
    <w:rsid w:val="00BC61FA"/>
    <w:rsid w:val="00BC634F"/>
    <w:rsid w:val="00BC63D1"/>
    <w:rsid w:val="00BC64A2"/>
    <w:rsid w:val="00BC67FF"/>
    <w:rsid w:val="00BC6CAA"/>
    <w:rsid w:val="00BC70B5"/>
    <w:rsid w:val="00BC724F"/>
    <w:rsid w:val="00BC733D"/>
    <w:rsid w:val="00BC7541"/>
    <w:rsid w:val="00BC75A8"/>
    <w:rsid w:val="00BC761C"/>
    <w:rsid w:val="00BC788F"/>
    <w:rsid w:val="00BC7A75"/>
    <w:rsid w:val="00BC7A99"/>
    <w:rsid w:val="00BC7B85"/>
    <w:rsid w:val="00BC7C4B"/>
    <w:rsid w:val="00BC7F91"/>
    <w:rsid w:val="00BD0241"/>
    <w:rsid w:val="00BD028F"/>
    <w:rsid w:val="00BD058D"/>
    <w:rsid w:val="00BD080B"/>
    <w:rsid w:val="00BD086E"/>
    <w:rsid w:val="00BD087E"/>
    <w:rsid w:val="00BD0893"/>
    <w:rsid w:val="00BD08B7"/>
    <w:rsid w:val="00BD096C"/>
    <w:rsid w:val="00BD097D"/>
    <w:rsid w:val="00BD0A6A"/>
    <w:rsid w:val="00BD0B06"/>
    <w:rsid w:val="00BD0D7D"/>
    <w:rsid w:val="00BD0E73"/>
    <w:rsid w:val="00BD1302"/>
    <w:rsid w:val="00BD168D"/>
    <w:rsid w:val="00BD16A0"/>
    <w:rsid w:val="00BD175B"/>
    <w:rsid w:val="00BD1959"/>
    <w:rsid w:val="00BD1A41"/>
    <w:rsid w:val="00BD1B67"/>
    <w:rsid w:val="00BD1C94"/>
    <w:rsid w:val="00BD1D81"/>
    <w:rsid w:val="00BD216B"/>
    <w:rsid w:val="00BD22CD"/>
    <w:rsid w:val="00BD255C"/>
    <w:rsid w:val="00BD25FB"/>
    <w:rsid w:val="00BD26F2"/>
    <w:rsid w:val="00BD2950"/>
    <w:rsid w:val="00BD2AEC"/>
    <w:rsid w:val="00BD2B2D"/>
    <w:rsid w:val="00BD2CD7"/>
    <w:rsid w:val="00BD2EF3"/>
    <w:rsid w:val="00BD2F4A"/>
    <w:rsid w:val="00BD2F90"/>
    <w:rsid w:val="00BD30B1"/>
    <w:rsid w:val="00BD3141"/>
    <w:rsid w:val="00BD33DE"/>
    <w:rsid w:val="00BD3437"/>
    <w:rsid w:val="00BD34AA"/>
    <w:rsid w:val="00BD3568"/>
    <w:rsid w:val="00BD37A4"/>
    <w:rsid w:val="00BD3A99"/>
    <w:rsid w:val="00BD3FF7"/>
    <w:rsid w:val="00BD4107"/>
    <w:rsid w:val="00BD41C3"/>
    <w:rsid w:val="00BD44A6"/>
    <w:rsid w:val="00BD4520"/>
    <w:rsid w:val="00BD4669"/>
    <w:rsid w:val="00BD46CE"/>
    <w:rsid w:val="00BD471B"/>
    <w:rsid w:val="00BD4761"/>
    <w:rsid w:val="00BD482F"/>
    <w:rsid w:val="00BD4894"/>
    <w:rsid w:val="00BD4A41"/>
    <w:rsid w:val="00BD4A66"/>
    <w:rsid w:val="00BD4D5B"/>
    <w:rsid w:val="00BD4F31"/>
    <w:rsid w:val="00BD53D3"/>
    <w:rsid w:val="00BD544E"/>
    <w:rsid w:val="00BD55BD"/>
    <w:rsid w:val="00BD5669"/>
    <w:rsid w:val="00BD5780"/>
    <w:rsid w:val="00BD5830"/>
    <w:rsid w:val="00BD5860"/>
    <w:rsid w:val="00BD587E"/>
    <w:rsid w:val="00BD59D5"/>
    <w:rsid w:val="00BD5C36"/>
    <w:rsid w:val="00BD5D06"/>
    <w:rsid w:val="00BD5EEF"/>
    <w:rsid w:val="00BD60A3"/>
    <w:rsid w:val="00BD60EC"/>
    <w:rsid w:val="00BD612E"/>
    <w:rsid w:val="00BD61DE"/>
    <w:rsid w:val="00BD6254"/>
    <w:rsid w:val="00BD62F3"/>
    <w:rsid w:val="00BD6C62"/>
    <w:rsid w:val="00BD6FB6"/>
    <w:rsid w:val="00BD701A"/>
    <w:rsid w:val="00BD71B0"/>
    <w:rsid w:val="00BD731B"/>
    <w:rsid w:val="00BD73C7"/>
    <w:rsid w:val="00BD7539"/>
    <w:rsid w:val="00BD75F8"/>
    <w:rsid w:val="00BD78F8"/>
    <w:rsid w:val="00BD79CF"/>
    <w:rsid w:val="00BD7A8D"/>
    <w:rsid w:val="00BD7B02"/>
    <w:rsid w:val="00BD7D37"/>
    <w:rsid w:val="00BD7D68"/>
    <w:rsid w:val="00BD7E5D"/>
    <w:rsid w:val="00BE0020"/>
    <w:rsid w:val="00BE01A7"/>
    <w:rsid w:val="00BE01B1"/>
    <w:rsid w:val="00BE0207"/>
    <w:rsid w:val="00BE0226"/>
    <w:rsid w:val="00BE0235"/>
    <w:rsid w:val="00BE041B"/>
    <w:rsid w:val="00BE04AD"/>
    <w:rsid w:val="00BE0551"/>
    <w:rsid w:val="00BE05A0"/>
    <w:rsid w:val="00BE0762"/>
    <w:rsid w:val="00BE07E0"/>
    <w:rsid w:val="00BE08B3"/>
    <w:rsid w:val="00BE08D1"/>
    <w:rsid w:val="00BE0A2A"/>
    <w:rsid w:val="00BE0A93"/>
    <w:rsid w:val="00BE0AAB"/>
    <w:rsid w:val="00BE0BB7"/>
    <w:rsid w:val="00BE0CA9"/>
    <w:rsid w:val="00BE0CBF"/>
    <w:rsid w:val="00BE0EC9"/>
    <w:rsid w:val="00BE1107"/>
    <w:rsid w:val="00BE1266"/>
    <w:rsid w:val="00BE1572"/>
    <w:rsid w:val="00BE1591"/>
    <w:rsid w:val="00BE16E3"/>
    <w:rsid w:val="00BE1743"/>
    <w:rsid w:val="00BE178A"/>
    <w:rsid w:val="00BE184D"/>
    <w:rsid w:val="00BE1856"/>
    <w:rsid w:val="00BE186F"/>
    <w:rsid w:val="00BE1887"/>
    <w:rsid w:val="00BE1972"/>
    <w:rsid w:val="00BE1A01"/>
    <w:rsid w:val="00BE1B8C"/>
    <w:rsid w:val="00BE1BFB"/>
    <w:rsid w:val="00BE1C00"/>
    <w:rsid w:val="00BE1F39"/>
    <w:rsid w:val="00BE1FDD"/>
    <w:rsid w:val="00BE214B"/>
    <w:rsid w:val="00BE218D"/>
    <w:rsid w:val="00BE21B4"/>
    <w:rsid w:val="00BE21C0"/>
    <w:rsid w:val="00BE21E5"/>
    <w:rsid w:val="00BE23D3"/>
    <w:rsid w:val="00BE269A"/>
    <w:rsid w:val="00BE2D95"/>
    <w:rsid w:val="00BE2DD1"/>
    <w:rsid w:val="00BE343B"/>
    <w:rsid w:val="00BE3500"/>
    <w:rsid w:val="00BE35D4"/>
    <w:rsid w:val="00BE35DB"/>
    <w:rsid w:val="00BE3649"/>
    <w:rsid w:val="00BE3665"/>
    <w:rsid w:val="00BE36CC"/>
    <w:rsid w:val="00BE3862"/>
    <w:rsid w:val="00BE38BE"/>
    <w:rsid w:val="00BE3CC3"/>
    <w:rsid w:val="00BE3EF5"/>
    <w:rsid w:val="00BE3FE3"/>
    <w:rsid w:val="00BE428F"/>
    <w:rsid w:val="00BE455C"/>
    <w:rsid w:val="00BE457D"/>
    <w:rsid w:val="00BE46EB"/>
    <w:rsid w:val="00BE496C"/>
    <w:rsid w:val="00BE4B1E"/>
    <w:rsid w:val="00BE4B94"/>
    <w:rsid w:val="00BE4C3D"/>
    <w:rsid w:val="00BE4D28"/>
    <w:rsid w:val="00BE4DFD"/>
    <w:rsid w:val="00BE4E9A"/>
    <w:rsid w:val="00BE504E"/>
    <w:rsid w:val="00BE509D"/>
    <w:rsid w:val="00BE5131"/>
    <w:rsid w:val="00BE51A7"/>
    <w:rsid w:val="00BE51ED"/>
    <w:rsid w:val="00BE5310"/>
    <w:rsid w:val="00BE535A"/>
    <w:rsid w:val="00BE539D"/>
    <w:rsid w:val="00BE53BA"/>
    <w:rsid w:val="00BE58AC"/>
    <w:rsid w:val="00BE5A0E"/>
    <w:rsid w:val="00BE5A70"/>
    <w:rsid w:val="00BE5BFF"/>
    <w:rsid w:val="00BE5D3E"/>
    <w:rsid w:val="00BE5D45"/>
    <w:rsid w:val="00BE5E23"/>
    <w:rsid w:val="00BE5E75"/>
    <w:rsid w:val="00BE6217"/>
    <w:rsid w:val="00BE62DC"/>
    <w:rsid w:val="00BE63C7"/>
    <w:rsid w:val="00BE63ED"/>
    <w:rsid w:val="00BE6460"/>
    <w:rsid w:val="00BE65FE"/>
    <w:rsid w:val="00BE6653"/>
    <w:rsid w:val="00BE6747"/>
    <w:rsid w:val="00BE68C6"/>
    <w:rsid w:val="00BE69BD"/>
    <w:rsid w:val="00BE6AE3"/>
    <w:rsid w:val="00BE6DB5"/>
    <w:rsid w:val="00BE6EB3"/>
    <w:rsid w:val="00BE6F76"/>
    <w:rsid w:val="00BE74AF"/>
    <w:rsid w:val="00BE75B5"/>
    <w:rsid w:val="00BE7719"/>
    <w:rsid w:val="00BE7727"/>
    <w:rsid w:val="00BE7927"/>
    <w:rsid w:val="00BE795A"/>
    <w:rsid w:val="00BE7998"/>
    <w:rsid w:val="00BE7A41"/>
    <w:rsid w:val="00BE7B7E"/>
    <w:rsid w:val="00BE7BFE"/>
    <w:rsid w:val="00BE7CE8"/>
    <w:rsid w:val="00BF0393"/>
    <w:rsid w:val="00BF0399"/>
    <w:rsid w:val="00BF0468"/>
    <w:rsid w:val="00BF05F2"/>
    <w:rsid w:val="00BF0678"/>
    <w:rsid w:val="00BF07A4"/>
    <w:rsid w:val="00BF0CAC"/>
    <w:rsid w:val="00BF0CE7"/>
    <w:rsid w:val="00BF0E25"/>
    <w:rsid w:val="00BF0F87"/>
    <w:rsid w:val="00BF0FE7"/>
    <w:rsid w:val="00BF109E"/>
    <w:rsid w:val="00BF10D4"/>
    <w:rsid w:val="00BF1196"/>
    <w:rsid w:val="00BF12BF"/>
    <w:rsid w:val="00BF12C5"/>
    <w:rsid w:val="00BF1483"/>
    <w:rsid w:val="00BF1B28"/>
    <w:rsid w:val="00BF1F76"/>
    <w:rsid w:val="00BF2952"/>
    <w:rsid w:val="00BF2A24"/>
    <w:rsid w:val="00BF2B89"/>
    <w:rsid w:val="00BF325F"/>
    <w:rsid w:val="00BF327F"/>
    <w:rsid w:val="00BF3334"/>
    <w:rsid w:val="00BF3764"/>
    <w:rsid w:val="00BF3850"/>
    <w:rsid w:val="00BF38DA"/>
    <w:rsid w:val="00BF3A43"/>
    <w:rsid w:val="00BF3B23"/>
    <w:rsid w:val="00BF3C68"/>
    <w:rsid w:val="00BF3C9F"/>
    <w:rsid w:val="00BF3E14"/>
    <w:rsid w:val="00BF4362"/>
    <w:rsid w:val="00BF452D"/>
    <w:rsid w:val="00BF45E7"/>
    <w:rsid w:val="00BF4C37"/>
    <w:rsid w:val="00BF4ED2"/>
    <w:rsid w:val="00BF507A"/>
    <w:rsid w:val="00BF50DD"/>
    <w:rsid w:val="00BF51B7"/>
    <w:rsid w:val="00BF51D1"/>
    <w:rsid w:val="00BF53EF"/>
    <w:rsid w:val="00BF54D8"/>
    <w:rsid w:val="00BF5511"/>
    <w:rsid w:val="00BF554A"/>
    <w:rsid w:val="00BF58BF"/>
    <w:rsid w:val="00BF5930"/>
    <w:rsid w:val="00BF5B0A"/>
    <w:rsid w:val="00BF5B1B"/>
    <w:rsid w:val="00BF5D3E"/>
    <w:rsid w:val="00BF5E7C"/>
    <w:rsid w:val="00BF5E84"/>
    <w:rsid w:val="00BF600D"/>
    <w:rsid w:val="00BF6047"/>
    <w:rsid w:val="00BF61A5"/>
    <w:rsid w:val="00BF64AB"/>
    <w:rsid w:val="00BF6695"/>
    <w:rsid w:val="00BF672D"/>
    <w:rsid w:val="00BF679B"/>
    <w:rsid w:val="00BF682F"/>
    <w:rsid w:val="00BF68B7"/>
    <w:rsid w:val="00BF68F0"/>
    <w:rsid w:val="00BF6A23"/>
    <w:rsid w:val="00BF6D16"/>
    <w:rsid w:val="00BF6DC2"/>
    <w:rsid w:val="00BF6EDD"/>
    <w:rsid w:val="00BF7009"/>
    <w:rsid w:val="00BF71B6"/>
    <w:rsid w:val="00BF7242"/>
    <w:rsid w:val="00BF75DA"/>
    <w:rsid w:val="00BF7BDC"/>
    <w:rsid w:val="00BF7CD9"/>
    <w:rsid w:val="00BF7E8F"/>
    <w:rsid w:val="00BF7F8C"/>
    <w:rsid w:val="00BF7FC6"/>
    <w:rsid w:val="00C00103"/>
    <w:rsid w:val="00C00495"/>
    <w:rsid w:val="00C00559"/>
    <w:rsid w:val="00C00743"/>
    <w:rsid w:val="00C008B4"/>
    <w:rsid w:val="00C0096A"/>
    <w:rsid w:val="00C00989"/>
    <w:rsid w:val="00C009FD"/>
    <w:rsid w:val="00C00A16"/>
    <w:rsid w:val="00C00A4D"/>
    <w:rsid w:val="00C00AD8"/>
    <w:rsid w:val="00C00AFC"/>
    <w:rsid w:val="00C00C63"/>
    <w:rsid w:val="00C00E38"/>
    <w:rsid w:val="00C00FA1"/>
    <w:rsid w:val="00C01191"/>
    <w:rsid w:val="00C011C8"/>
    <w:rsid w:val="00C013A7"/>
    <w:rsid w:val="00C01454"/>
    <w:rsid w:val="00C0152C"/>
    <w:rsid w:val="00C015B2"/>
    <w:rsid w:val="00C01671"/>
    <w:rsid w:val="00C017B9"/>
    <w:rsid w:val="00C017FA"/>
    <w:rsid w:val="00C01D38"/>
    <w:rsid w:val="00C01E29"/>
    <w:rsid w:val="00C01E2C"/>
    <w:rsid w:val="00C01E69"/>
    <w:rsid w:val="00C020D3"/>
    <w:rsid w:val="00C02105"/>
    <w:rsid w:val="00C02155"/>
    <w:rsid w:val="00C0219E"/>
    <w:rsid w:val="00C021C7"/>
    <w:rsid w:val="00C02213"/>
    <w:rsid w:val="00C0224A"/>
    <w:rsid w:val="00C022BD"/>
    <w:rsid w:val="00C022D3"/>
    <w:rsid w:val="00C0237A"/>
    <w:rsid w:val="00C02554"/>
    <w:rsid w:val="00C02605"/>
    <w:rsid w:val="00C028E7"/>
    <w:rsid w:val="00C02972"/>
    <w:rsid w:val="00C02D75"/>
    <w:rsid w:val="00C02DB5"/>
    <w:rsid w:val="00C02E21"/>
    <w:rsid w:val="00C02F2A"/>
    <w:rsid w:val="00C03033"/>
    <w:rsid w:val="00C03158"/>
    <w:rsid w:val="00C03302"/>
    <w:rsid w:val="00C03445"/>
    <w:rsid w:val="00C03727"/>
    <w:rsid w:val="00C03B66"/>
    <w:rsid w:val="00C03B7D"/>
    <w:rsid w:val="00C03C7B"/>
    <w:rsid w:val="00C03DCC"/>
    <w:rsid w:val="00C046CA"/>
    <w:rsid w:val="00C046E1"/>
    <w:rsid w:val="00C04AEC"/>
    <w:rsid w:val="00C04C00"/>
    <w:rsid w:val="00C04CC5"/>
    <w:rsid w:val="00C04D7D"/>
    <w:rsid w:val="00C04DC0"/>
    <w:rsid w:val="00C04E35"/>
    <w:rsid w:val="00C04E4D"/>
    <w:rsid w:val="00C04FE4"/>
    <w:rsid w:val="00C0514C"/>
    <w:rsid w:val="00C05219"/>
    <w:rsid w:val="00C05413"/>
    <w:rsid w:val="00C0565B"/>
    <w:rsid w:val="00C057DE"/>
    <w:rsid w:val="00C05872"/>
    <w:rsid w:val="00C05946"/>
    <w:rsid w:val="00C05984"/>
    <w:rsid w:val="00C05A97"/>
    <w:rsid w:val="00C05ACB"/>
    <w:rsid w:val="00C05B27"/>
    <w:rsid w:val="00C05C27"/>
    <w:rsid w:val="00C05CDD"/>
    <w:rsid w:val="00C05EDD"/>
    <w:rsid w:val="00C05FCF"/>
    <w:rsid w:val="00C061AF"/>
    <w:rsid w:val="00C061DF"/>
    <w:rsid w:val="00C061FE"/>
    <w:rsid w:val="00C06702"/>
    <w:rsid w:val="00C069F7"/>
    <w:rsid w:val="00C06B8B"/>
    <w:rsid w:val="00C06BCB"/>
    <w:rsid w:val="00C06C83"/>
    <w:rsid w:val="00C06E23"/>
    <w:rsid w:val="00C06EE1"/>
    <w:rsid w:val="00C06F72"/>
    <w:rsid w:val="00C07141"/>
    <w:rsid w:val="00C0726E"/>
    <w:rsid w:val="00C07542"/>
    <w:rsid w:val="00C07551"/>
    <w:rsid w:val="00C0771A"/>
    <w:rsid w:val="00C07736"/>
    <w:rsid w:val="00C07923"/>
    <w:rsid w:val="00C07A2F"/>
    <w:rsid w:val="00C07B65"/>
    <w:rsid w:val="00C07EAD"/>
    <w:rsid w:val="00C07EF2"/>
    <w:rsid w:val="00C07F68"/>
    <w:rsid w:val="00C1004C"/>
    <w:rsid w:val="00C10576"/>
    <w:rsid w:val="00C106A3"/>
    <w:rsid w:val="00C10797"/>
    <w:rsid w:val="00C10A00"/>
    <w:rsid w:val="00C10B2F"/>
    <w:rsid w:val="00C10BF7"/>
    <w:rsid w:val="00C10FDB"/>
    <w:rsid w:val="00C110E8"/>
    <w:rsid w:val="00C111C6"/>
    <w:rsid w:val="00C1124B"/>
    <w:rsid w:val="00C113F6"/>
    <w:rsid w:val="00C11704"/>
    <w:rsid w:val="00C1177A"/>
    <w:rsid w:val="00C1180A"/>
    <w:rsid w:val="00C118F2"/>
    <w:rsid w:val="00C118F6"/>
    <w:rsid w:val="00C1191A"/>
    <w:rsid w:val="00C11942"/>
    <w:rsid w:val="00C11944"/>
    <w:rsid w:val="00C11B03"/>
    <w:rsid w:val="00C11CAA"/>
    <w:rsid w:val="00C11E40"/>
    <w:rsid w:val="00C123EC"/>
    <w:rsid w:val="00C12484"/>
    <w:rsid w:val="00C12496"/>
    <w:rsid w:val="00C127B6"/>
    <w:rsid w:val="00C1282B"/>
    <w:rsid w:val="00C12956"/>
    <w:rsid w:val="00C12A5D"/>
    <w:rsid w:val="00C12C8D"/>
    <w:rsid w:val="00C12FC1"/>
    <w:rsid w:val="00C12FC9"/>
    <w:rsid w:val="00C130A0"/>
    <w:rsid w:val="00C131B6"/>
    <w:rsid w:val="00C13569"/>
    <w:rsid w:val="00C13605"/>
    <w:rsid w:val="00C136F2"/>
    <w:rsid w:val="00C13B84"/>
    <w:rsid w:val="00C13CEC"/>
    <w:rsid w:val="00C13E59"/>
    <w:rsid w:val="00C14011"/>
    <w:rsid w:val="00C140D5"/>
    <w:rsid w:val="00C14701"/>
    <w:rsid w:val="00C14920"/>
    <w:rsid w:val="00C14AC9"/>
    <w:rsid w:val="00C14C18"/>
    <w:rsid w:val="00C14D7D"/>
    <w:rsid w:val="00C14E75"/>
    <w:rsid w:val="00C14F39"/>
    <w:rsid w:val="00C14F6B"/>
    <w:rsid w:val="00C14FFF"/>
    <w:rsid w:val="00C1605A"/>
    <w:rsid w:val="00C16302"/>
    <w:rsid w:val="00C1632A"/>
    <w:rsid w:val="00C16539"/>
    <w:rsid w:val="00C16631"/>
    <w:rsid w:val="00C166DC"/>
    <w:rsid w:val="00C166E4"/>
    <w:rsid w:val="00C167AB"/>
    <w:rsid w:val="00C16827"/>
    <w:rsid w:val="00C16835"/>
    <w:rsid w:val="00C16891"/>
    <w:rsid w:val="00C16AA3"/>
    <w:rsid w:val="00C16B59"/>
    <w:rsid w:val="00C16C79"/>
    <w:rsid w:val="00C16DCE"/>
    <w:rsid w:val="00C16EDF"/>
    <w:rsid w:val="00C17104"/>
    <w:rsid w:val="00C171F5"/>
    <w:rsid w:val="00C17229"/>
    <w:rsid w:val="00C1731A"/>
    <w:rsid w:val="00C17802"/>
    <w:rsid w:val="00C178FE"/>
    <w:rsid w:val="00C17B57"/>
    <w:rsid w:val="00C17C12"/>
    <w:rsid w:val="00C17CE6"/>
    <w:rsid w:val="00C2002E"/>
    <w:rsid w:val="00C20327"/>
    <w:rsid w:val="00C20750"/>
    <w:rsid w:val="00C208EB"/>
    <w:rsid w:val="00C20B84"/>
    <w:rsid w:val="00C20CB3"/>
    <w:rsid w:val="00C20D04"/>
    <w:rsid w:val="00C20D4C"/>
    <w:rsid w:val="00C20E32"/>
    <w:rsid w:val="00C20F24"/>
    <w:rsid w:val="00C21057"/>
    <w:rsid w:val="00C21075"/>
    <w:rsid w:val="00C2113F"/>
    <w:rsid w:val="00C21216"/>
    <w:rsid w:val="00C212A6"/>
    <w:rsid w:val="00C214DF"/>
    <w:rsid w:val="00C21528"/>
    <w:rsid w:val="00C217EF"/>
    <w:rsid w:val="00C21904"/>
    <w:rsid w:val="00C21A04"/>
    <w:rsid w:val="00C21A70"/>
    <w:rsid w:val="00C21A71"/>
    <w:rsid w:val="00C21ED6"/>
    <w:rsid w:val="00C21EFB"/>
    <w:rsid w:val="00C21FD6"/>
    <w:rsid w:val="00C222C6"/>
    <w:rsid w:val="00C222E0"/>
    <w:rsid w:val="00C22307"/>
    <w:rsid w:val="00C223C8"/>
    <w:rsid w:val="00C223E9"/>
    <w:rsid w:val="00C2255D"/>
    <w:rsid w:val="00C227EB"/>
    <w:rsid w:val="00C2281C"/>
    <w:rsid w:val="00C229D3"/>
    <w:rsid w:val="00C22A25"/>
    <w:rsid w:val="00C22B0B"/>
    <w:rsid w:val="00C22C28"/>
    <w:rsid w:val="00C22C5F"/>
    <w:rsid w:val="00C22CB7"/>
    <w:rsid w:val="00C22CF6"/>
    <w:rsid w:val="00C22EF0"/>
    <w:rsid w:val="00C22F72"/>
    <w:rsid w:val="00C23315"/>
    <w:rsid w:val="00C234F8"/>
    <w:rsid w:val="00C238B8"/>
    <w:rsid w:val="00C23D65"/>
    <w:rsid w:val="00C23E01"/>
    <w:rsid w:val="00C24435"/>
    <w:rsid w:val="00C244D1"/>
    <w:rsid w:val="00C24531"/>
    <w:rsid w:val="00C245F8"/>
    <w:rsid w:val="00C2483F"/>
    <w:rsid w:val="00C248E2"/>
    <w:rsid w:val="00C24922"/>
    <w:rsid w:val="00C2492E"/>
    <w:rsid w:val="00C2498C"/>
    <w:rsid w:val="00C25103"/>
    <w:rsid w:val="00C251D3"/>
    <w:rsid w:val="00C251ED"/>
    <w:rsid w:val="00C252F7"/>
    <w:rsid w:val="00C25A60"/>
    <w:rsid w:val="00C25D1F"/>
    <w:rsid w:val="00C25F05"/>
    <w:rsid w:val="00C2612C"/>
    <w:rsid w:val="00C261B4"/>
    <w:rsid w:val="00C26586"/>
    <w:rsid w:val="00C26675"/>
    <w:rsid w:val="00C26712"/>
    <w:rsid w:val="00C26C42"/>
    <w:rsid w:val="00C26DA5"/>
    <w:rsid w:val="00C26F2C"/>
    <w:rsid w:val="00C26FB8"/>
    <w:rsid w:val="00C26FD7"/>
    <w:rsid w:val="00C27127"/>
    <w:rsid w:val="00C27215"/>
    <w:rsid w:val="00C2728B"/>
    <w:rsid w:val="00C2751C"/>
    <w:rsid w:val="00C27691"/>
    <w:rsid w:val="00C27C69"/>
    <w:rsid w:val="00C27D62"/>
    <w:rsid w:val="00C30027"/>
    <w:rsid w:val="00C3017B"/>
    <w:rsid w:val="00C3036E"/>
    <w:rsid w:val="00C30373"/>
    <w:rsid w:val="00C303E4"/>
    <w:rsid w:val="00C3041C"/>
    <w:rsid w:val="00C30625"/>
    <w:rsid w:val="00C30A26"/>
    <w:rsid w:val="00C30A8A"/>
    <w:rsid w:val="00C30AD6"/>
    <w:rsid w:val="00C30B29"/>
    <w:rsid w:val="00C30C51"/>
    <w:rsid w:val="00C30E59"/>
    <w:rsid w:val="00C30F44"/>
    <w:rsid w:val="00C3120D"/>
    <w:rsid w:val="00C3122B"/>
    <w:rsid w:val="00C314B0"/>
    <w:rsid w:val="00C315C0"/>
    <w:rsid w:val="00C315C5"/>
    <w:rsid w:val="00C31657"/>
    <w:rsid w:val="00C31ABB"/>
    <w:rsid w:val="00C31F84"/>
    <w:rsid w:val="00C32090"/>
    <w:rsid w:val="00C320A0"/>
    <w:rsid w:val="00C32120"/>
    <w:rsid w:val="00C32253"/>
    <w:rsid w:val="00C326B4"/>
    <w:rsid w:val="00C3272C"/>
    <w:rsid w:val="00C328EA"/>
    <w:rsid w:val="00C32A23"/>
    <w:rsid w:val="00C32BA8"/>
    <w:rsid w:val="00C32E34"/>
    <w:rsid w:val="00C32E44"/>
    <w:rsid w:val="00C32F38"/>
    <w:rsid w:val="00C33003"/>
    <w:rsid w:val="00C33314"/>
    <w:rsid w:val="00C33550"/>
    <w:rsid w:val="00C3382E"/>
    <w:rsid w:val="00C3385D"/>
    <w:rsid w:val="00C33948"/>
    <w:rsid w:val="00C339CB"/>
    <w:rsid w:val="00C33A0B"/>
    <w:rsid w:val="00C33AFF"/>
    <w:rsid w:val="00C33B09"/>
    <w:rsid w:val="00C33C63"/>
    <w:rsid w:val="00C33E68"/>
    <w:rsid w:val="00C33E8D"/>
    <w:rsid w:val="00C33F0A"/>
    <w:rsid w:val="00C34042"/>
    <w:rsid w:val="00C343A1"/>
    <w:rsid w:val="00C34794"/>
    <w:rsid w:val="00C34A07"/>
    <w:rsid w:val="00C34C0C"/>
    <w:rsid w:val="00C34EF0"/>
    <w:rsid w:val="00C34F02"/>
    <w:rsid w:val="00C3506E"/>
    <w:rsid w:val="00C350C8"/>
    <w:rsid w:val="00C35223"/>
    <w:rsid w:val="00C3539E"/>
    <w:rsid w:val="00C353A2"/>
    <w:rsid w:val="00C355BD"/>
    <w:rsid w:val="00C35758"/>
    <w:rsid w:val="00C35BA3"/>
    <w:rsid w:val="00C35BE8"/>
    <w:rsid w:val="00C35C28"/>
    <w:rsid w:val="00C35DC7"/>
    <w:rsid w:val="00C35DE5"/>
    <w:rsid w:val="00C35E54"/>
    <w:rsid w:val="00C35F65"/>
    <w:rsid w:val="00C35FB1"/>
    <w:rsid w:val="00C361ED"/>
    <w:rsid w:val="00C3660C"/>
    <w:rsid w:val="00C367E9"/>
    <w:rsid w:val="00C36898"/>
    <w:rsid w:val="00C3693F"/>
    <w:rsid w:val="00C36EE4"/>
    <w:rsid w:val="00C37046"/>
    <w:rsid w:val="00C3718F"/>
    <w:rsid w:val="00C373B2"/>
    <w:rsid w:val="00C37981"/>
    <w:rsid w:val="00C37B0B"/>
    <w:rsid w:val="00C37B78"/>
    <w:rsid w:val="00C37C13"/>
    <w:rsid w:val="00C37EE2"/>
    <w:rsid w:val="00C40030"/>
    <w:rsid w:val="00C40221"/>
    <w:rsid w:val="00C404FE"/>
    <w:rsid w:val="00C40825"/>
    <w:rsid w:val="00C40A7D"/>
    <w:rsid w:val="00C40BA3"/>
    <w:rsid w:val="00C40CA7"/>
    <w:rsid w:val="00C40E37"/>
    <w:rsid w:val="00C410BC"/>
    <w:rsid w:val="00C41179"/>
    <w:rsid w:val="00C411CB"/>
    <w:rsid w:val="00C411EE"/>
    <w:rsid w:val="00C4120C"/>
    <w:rsid w:val="00C41356"/>
    <w:rsid w:val="00C41370"/>
    <w:rsid w:val="00C41498"/>
    <w:rsid w:val="00C4156A"/>
    <w:rsid w:val="00C41AD6"/>
    <w:rsid w:val="00C41B3E"/>
    <w:rsid w:val="00C42140"/>
    <w:rsid w:val="00C422F0"/>
    <w:rsid w:val="00C42766"/>
    <w:rsid w:val="00C42798"/>
    <w:rsid w:val="00C42875"/>
    <w:rsid w:val="00C42A3B"/>
    <w:rsid w:val="00C42A66"/>
    <w:rsid w:val="00C42AF1"/>
    <w:rsid w:val="00C430F1"/>
    <w:rsid w:val="00C43140"/>
    <w:rsid w:val="00C43434"/>
    <w:rsid w:val="00C4376F"/>
    <w:rsid w:val="00C437A5"/>
    <w:rsid w:val="00C43842"/>
    <w:rsid w:val="00C43923"/>
    <w:rsid w:val="00C43ABA"/>
    <w:rsid w:val="00C43B1D"/>
    <w:rsid w:val="00C43B22"/>
    <w:rsid w:val="00C43C31"/>
    <w:rsid w:val="00C43F60"/>
    <w:rsid w:val="00C44158"/>
    <w:rsid w:val="00C44368"/>
    <w:rsid w:val="00C4462A"/>
    <w:rsid w:val="00C44670"/>
    <w:rsid w:val="00C447D1"/>
    <w:rsid w:val="00C447DD"/>
    <w:rsid w:val="00C44912"/>
    <w:rsid w:val="00C450F6"/>
    <w:rsid w:val="00C4516F"/>
    <w:rsid w:val="00C45293"/>
    <w:rsid w:val="00C4530A"/>
    <w:rsid w:val="00C45452"/>
    <w:rsid w:val="00C4548B"/>
    <w:rsid w:val="00C456AC"/>
    <w:rsid w:val="00C456DA"/>
    <w:rsid w:val="00C457D1"/>
    <w:rsid w:val="00C45991"/>
    <w:rsid w:val="00C45A38"/>
    <w:rsid w:val="00C45C35"/>
    <w:rsid w:val="00C45CC7"/>
    <w:rsid w:val="00C4614C"/>
    <w:rsid w:val="00C461CF"/>
    <w:rsid w:val="00C4626E"/>
    <w:rsid w:val="00C463BB"/>
    <w:rsid w:val="00C46544"/>
    <w:rsid w:val="00C465BF"/>
    <w:rsid w:val="00C4661B"/>
    <w:rsid w:val="00C46706"/>
    <w:rsid w:val="00C46AEE"/>
    <w:rsid w:val="00C46F62"/>
    <w:rsid w:val="00C46FB5"/>
    <w:rsid w:val="00C47092"/>
    <w:rsid w:val="00C47144"/>
    <w:rsid w:val="00C47590"/>
    <w:rsid w:val="00C4772C"/>
    <w:rsid w:val="00C4786F"/>
    <w:rsid w:val="00C47AC5"/>
    <w:rsid w:val="00C47C82"/>
    <w:rsid w:val="00C501E2"/>
    <w:rsid w:val="00C50508"/>
    <w:rsid w:val="00C50605"/>
    <w:rsid w:val="00C50672"/>
    <w:rsid w:val="00C50D1C"/>
    <w:rsid w:val="00C50E1F"/>
    <w:rsid w:val="00C50E94"/>
    <w:rsid w:val="00C51203"/>
    <w:rsid w:val="00C5128C"/>
    <w:rsid w:val="00C5156E"/>
    <w:rsid w:val="00C51573"/>
    <w:rsid w:val="00C515C1"/>
    <w:rsid w:val="00C5166B"/>
    <w:rsid w:val="00C517E4"/>
    <w:rsid w:val="00C5191B"/>
    <w:rsid w:val="00C519AE"/>
    <w:rsid w:val="00C51C52"/>
    <w:rsid w:val="00C51D2B"/>
    <w:rsid w:val="00C525C7"/>
    <w:rsid w:val="00C5267E"/>
    <w:rsid w:val="00C52965"/>
    <w:rsid w:val="00C5297B"/>
    <w:rsid w:val="00C52A0A"/>
    <w:rsid w:val="00C52BF2"/>
    <w:rsid w:val="00C52D28"/>
    <w:rsid w:val="00C52D2A"/>
    <w:rsid w:val="00C52E04"/>
    <w:rsid w:val="00C531D1"/>
    <w:rsid w:val="00C53269"/>
    <w:rsid w:val="00C533F7"/>
    <w:rsid w:val="00C53419"/>
    <w:rsid w:val="00C5344B"/>
    <w:rsid w:val="00C537CD"/>
    <w:rsid w:val="00C53906"/>
    <w:rsid w:val="00C5394B"/>
    <w:rsid w:val="00C53C6F"/>
    <w:rsid w:val="00C53D22"/>
    <w:rsid w:val="00C53EB7"/>
    <w:rsid w:val="00C54027"/>
    <w:rsid w:val="00C5412D"/>
    <w:rsid w:val="00C54242"/>
    <w:rsid w:val="00C54427"/>
    <w:rsid w:val="00C5443F"/>
    <w:rsid w:val="00C546E0"/>
    <w:rsid w:val="00C54797"/>
    <w:rsid w:val="00C54CAB"/>
    <w:rsid w:val="00C54D2E"/>
    <w:rsid w:val="00C54D62"/>
    <w:rsid w:val="00C54FAF"/>
    <w:rsid w:val="00C551CB"/>
    <w:rsid w:val="00C553D2"/>
    <w:rsid w:val="00C553E1"/>
    <w:rsid w:val="00C553F6"/>
    <w:rsid w:val="00C555D0"/>
    <w:rsid w:val="00C557DC"/>
    <w:rsid w:val="00C55867"/>
    <w:rsid w:val="00C5589B"/>
    <w:rsid w:val="00C55B27"/>
    <w:rsid w:val="00C55CA8"/>
    <w:rsid w:val="00C55CF1"/>
    <w:rsid w:val="00C55DB0"/>
    <w:rsid w:val="00C55E57"/>
    <w:rsid w:val="00C55EDA"/>
    <w:rsid w:val="00C5620D"/>
    <w:rsid w:val="00C56226"/>
    <w:rsid w:val="00C562C2"/>
    <w:rsid w:val="00C562FC"/>
    <w:rsid w:val="00C564F7"/>
    <w:rsid w:val="00C56751"/>
    <w:rsid w:val="00C5691B"/>
    <w:rsid w:val="00C56ADD"/>
    <w:rsid w:val="00C56AF6"/>
    <w:rsid w:val="00C56B8A"/>
    <w:rsid w:val="00C56E35"/>
    <w:rsid w:val="00C56F76"/>
    <w:rsid w:val="00C5706F"/>
    <w:rsid w:val="00C5711D"/>
    <w:rsid w:val="00C571D2"/>
    <w:rsid w:val="00C57239"/>
    <w:rsid w:val="00C57251"/>
    <w:rsid w:val="00C57448"/>
    <w:rsid w:val="00C57531"/>
    <w:rsid w:val="00C57C4A"/>
    <w:rsid w:val="00C57D43"/>
    <w:rsid w:val="00C600D8"/>
    <w:rsid w:val="00C602B9"/>
    <w:rsid w:val="00C60670"/>
    <w:rsid w:val="00C606CB"/>
    <w:rsid w:val="00C60772"/>
    <w:rsid w:val="00C609EA"/>
    <w:rsid w:val="00C60C7C"/>
    <w:rsid w:val="00C60CE7"/>
    <w:rsid w:val="00C60F72"/>
    <w:rsid w:val="00C61434"/>
    <w:rsid w:val="00C61554"/>
    <w:rsid w:val="00C61631"/>
    <w:rsid w:val="00C61745"/>
    <w:rsid w:val="00C617B9"/>
    <w:rsid w:val="00C6192F"/>
    <w:rsid w:val="00C61B09"/>
    <w:rsid w:val="00C61C7A"/>
    <w:rsid w:val="00C61CC7"/>
    <w:rsid w:val="00C61EBC"/>
    <w:rsid w:val="00C61ECB"/>
    <w:rsid w:val="00C61F6D"/>
    <w:rsid w:val="00C61F77"/>
    <w:rsid w:val="00C62155"/>
    <w:rsid w:val="00C6224E"/>
    <w:rsid w:val="00C62340"/>
    <w:rsid w:val="00C62611"/>
    <w:rsid w:val="00C626CD"/>
    <w:rsid w:val="00C62A81"/>
    <w:rsid w:val="00C62AD8"/>
    <w:rsid w:val="00C62EC9"/>
    <w:rsid w:val="00C6302D"/>
    <w:rsid w:val="00C63049"/>
    <w:rsid w:val="00C63191"/>
    <w:rsid w:val="00C63255"/>
    <w:rsid w:val="00C6338E"/>
    <w:rsid w:val="00C6368A"/>
    <w:rsid w:val="00C6380D"/>
    <w:rsid w:val="00C639D4"/>
    <w:rsid w:val="00C63C62"/>
    <w:rsid w:val="00C63EF8"/>
    <w:rsid w:val="00C6401B"/>
    <w:rsid w:val="00C6414C"/>
    <w:rsid w:val="00C64172"/>
    <w:rsid w:val="00C642E8"/>
    <w:rsid w:val="00C6448D"/>
    <w:rsid w:val="00C6466D"/>
    <w:rsid w:val="00C647DD"/>
    <w:rsid w:val="00C64855"/>
    <w:rsid w:val="00C6486A"/>
    <w:rsid w:val="00C6493F"/>
    <w:rsid w:val="00C64A91"/>
    <w:rsid w:val="00C64BE6"/>
    <w:rsid w:val="00C6547F"/>
    <w:rsid w:val="00C65558"/>
    <w:rsid w:val="00C65581"/>
    <w:rsid w:val="00C658DE"/>
    <w:rsid w:val="00C65949"/>
    <w:rsid w:val="00C65D28"/>
    <w:rsid w:val="00C65ECE"/>
    <w:rsid w:val="00C65F83"/>
    <w:rsid w:val="00C66244"/>
    <w:rsid w:val="00C66282"/>
    <w:rsid w:val="00C663DB"/>
    <w:rsid w:val="00C66412"/>
    <w:rsid w:val="00C6665B"/>
    <w:rsid w:val="00C667AE"/>
    <w:rsid w:val="00C667F1"/>
    <w:rsid w:val="00C66CE7"/>
    <w:rsid w:val="00C66D65"/>
    <w:rsid w:val="00C66DE6"/>
    <w:rsid w:val="00C66EBD"/>
    <w:rsid w:val="00C66FBB"/>
    <w:rsid w:val="00C67406"/>
    <w:rsid w:val="00C67572"/>
    <w:rsid w:val="00C67687"/>
    <w:rsid w:val="00C677BF"/>
    <w:rsid w:val="00C67A55"/>
    <w:rsid w:val="00C67E51"/>
    <w:rsid w:val="00C67E9E"/>
    <w:rsid w:val="00C67FB7"/>
    <w:rsid w:val="00C70175"/>
    <w:rsid w:val="00C70229"/>
    <w:rsid w:val="00C7023D"/>
    <w:rsid w:val="00C70286"/>
    <w:rsid w:val="00C70566"/>
    <w:rsid w:val="00C70606"/>
    <w:rsid w:val="00C70A3C"/>
    <w:rsid w:val="00C70E9C"/>
    <w:rsid w:val="00C7115B"/>
    <w:rsid w:val="00C71227"/>
    <w:rsid w:val="00C71385"/>
    <w:rsid w:val="00C714F6"/>
    <w:rsid w:val="00C71505"/>
    <w:rsid w:val="00C71507"/>
    <w:rsid w:val="00C715FF"/>
    <w:rsid w:val="00C716AA"/>
    <w:rsid w:val="00C716CD"/>
    <w:rsid w:val="00C71B0C"/>
    <w:rsid w:val="00C71F19"/>
    <w:rsid w:val="00C72049"/>
    <w:rsid w:val="00C72379"/>
    <w:rsid w:val="00C7241E"/>
    <w:rsid w:val="00C72624"/>
    <w:rsid w:val="00C727B9"/>
    <w:rsid w:val="00C727F8"/>
    <w:rsid w:val="00C72D1A"/>
    <w:rsid w:val="00C72D53"/>
    <w:rsid w:val="00C72E1B"/>
    <w:rsid w:val="00C72E8F"/>
    <w:rsid w:val="00C72ED9"/>
    <w:rsid w:val="00C7310D"/>
    <w:rsid w:val="00C7385B"/>
    <w:rsid w:val="00C73A76"/>
    <w:rsid w:val="00C73BA3"/>
    <w:rsid w:val="00C73C1C"/>
    <w:rsid w:val="00C73EB7"/>
    <w:rsid w:val="00C73F68"/>
    <w:rsid w:val="00C740EA"/>
    <w:rsid w:val="00C74173"/>
    <w:rsid w:val="00C741C6"/>
    <w:rsid w:val="00C74397"/>
    <w:rsid w:val="00C744E8"/>
    <w:rsid w:val="00C74665"/>
    <w:rsid w:val="00C7471B"/>
    <w:rsid w:val="00C74770"/>
    <w:rsid w:val="00C747C6"/>
    <w:rsid w:val="00C74862"/>
    <w:rsid w:val="00C748B9"/>
    <w:rsid w:val="00C7496B"/>
    <w:rsid w:val="00C749D0"/>
    <w:rsid w:val="00C74E6E"/>
    <w:rsid w:val="00C74F36"/>
    <w:rsid w:val="00C74FBF"/>
    <w:rsid w:val="00C75990"/>
    <w:rsid w:val="00C759FD"/>
    <w:rsid w:val="00C75A8B"/>
    <w:rsid w:val="00C75B5E"/>
    <w:rsid w:val="00C75D73"/>
    <w:rsid w:val="00C75EB6"/>
    <w:rsid w:val="00C75FD1"/>
    <w:rsid w:val="00C76058"/>
    <w:rsid w:val="00C760E9"/>
    <w:rsid w:val="00C7618E"/>
    <w:rsid w:val="00C761DF"/>
    <w:rsid w:val="00C761E9"/>
    <w:rsid w:val="00C7625B"/>
    <w:rsid w:val="00C763D1"/>
    <w:rsid w:val="00C7659A"/>
    <w:rsid w:val="00C765F5"/>
    <w:rsid w:val="00C7663C"/>
    <w:rsid w:val="00C76893"/>
    <w:rsid w:val="00C7693F"/>
    <w:rsid w:val="00C769C9"/>
    <w:rsid w:val="00C76C2C"/>
    <w:rsid w:val="00C76F00"/>
    <w:rsid w:val="00C7716F"/>
    <w:rsid w:val="00C772EE"/>
    <w:rsid w:val="00C7775C"/>
    <w:rsid w:val="00C777AB"/>
    <w:rsid w:val="00C778CB"/>
    <w:rsid w:val="00C77AA5"/>
    <w:rsid w:val="00C77B42"/>
    <w:rsid w:val="00C77B6A"/>
    <w:rsid w:val="00C77BEC"/>
    <w:rsid w:val="00C77E35"/>
    <w:rsid w:val="00C77E63"/>
    <w:rsid w:val="00C77E85"/>
    <w:rsid w:val="00C801C7"/>
    <w:rsid w:val="00C8020C"/>
    <w:rsid w:val="00C8031C"/>
    <w:rsid w:val="00C807D9"/>
    <w:rsid w:val="00C80B55"/>
    <w:rsid w:val="00C80C6B"/>
    <w:rsid w:val="00C80CD9"/>
    <w:rsid w:val="00C80D2A"/>
    <w:rsid w:val="00C80D3A"/>
    <w:rsid w:val="00C80D44"/>
    <w:rsid w:val="00C80F3E"/>
    <w:rsid w:val="00C811BA"/>
    <w:rsid w:val="00C8129F"/>
    <w:rsid w:val="00C812A1"/>
    <w:rsid w:val="00C814EE"/>
    <w:rsid w:val="00C8174C"/>
    <w:rsid w:val="00C817A9"/>
    <w:rsid w:val="00C81819"/>
    <w:rsid w:val="00C8186E"/>
    <w:rsid w:val="00C818D8"/>
    <w:rsid w:val="00C81BBC"/>
    <w:rsid w:val="00C81DE8"/>
    <w:rsid w:val="00C8207E"/>
    <w:rsid w:val="00C82082"/>
    <w:rsid w:val="00C820A7"/>
    <w:rsid w:val="00C8213C"/>
    <w:rsid w:val="00C82239"/>
    <w:rsid w:val="00C825EE"/>
    <w:rsid w:val="00C82896"/>
    <w:rsid w:val="00C8294C"/>
    <w:rsid w:val="00C82B0B"/>
    <w:rsid w:val="00C82B3C"/>
    <w:rsid w:val="00C82C04"/>
    <w:rsid w:val="00C82D0F"/>
    <w:rsid w:val="00C82EAD"/>
    <w:rsid w:val="00C82ECE"/>
    <w:rsid w:val="00C82EE3"/>
    <w:rsid w:val="00C83360"/>
    <w:rsid w:val="00C833B5"/>
    <w:rsid w:val="00C8353E"/>
    <w:rsid w:val="00C83558"/>
    <w:rsid w:val="00C83571"/>
    <w:rsid w:val="00C83686"/>
    <w:rsid w:val="00C837CA"/>
    <w:rsid w:val="00C83856"/>
    <w:rsid w:val="00C8394A"/>
    <w:rsid w:val="00C83968"/>
    <w:rsid w:val="00C839C2"/>
    <w:rsid w:val="00C83B4A"/>
    <w:rsid w:val="00C84003"/>
    <w:rsid w:val="00C840F1"/>
    <w:rsid w:val="00C8423C"/>
    <w:rsid w:val="00C8424E"/>
    <w:rsid w:val="00C84463"/>
    <w:rsid w:val="00C844FC"/>
    <w:rsid w:val="00C84C0E"/>
    <w:rsid w:val="00C84C42"/>
    <w:rsid w:val="00C84E5C"/>
    <w:rsid w:val="00C85158"/>
    <w:rsid w:val="00C8524D"/>
    <w:rsid w:val="00C85268"/>
    <w:rsid w:val="00C8531E"/>
    <w:rsid w:val="00C8574F"/>
    <w:rsid w:val="00C85782"/>
    <w:rsid w:val="00C8598E"/>
    <w:rsid w:val="00C85F8A"/>
    <w:rsid w:val="00C85FF2"/>
    <w:rsid w:val="00C860D4"/>
    <w:rsid w:val="00C8618A"/>
    <w:rsid w:val="00C861BC"/>
    <w:rsid w:val="00C86234"/>
    <w:rsid w:val="00C862A4"/>
    <w:rsid w:val="00C868FC"/>
    <w:rsid w:val="00C86BED"/>
    <w:rsid w:val="00C86C8D"/>
    <w:rsid w:val="00C870EC"/>
    <w:rsid w:val="00C875BE"/>
    <w:rsid w:val="00C87689"/>
    <w:rsid w:val="00C876DB"/>
    <w:rsid w:val="00C876DD"/>
    <w:rsid w:val="00C877B1"/>
    <w:rsid w:val="00C87888"/>
    <w:rsid w:val="00C87898"/>
    <w:rsid w:val="00C8789A"/>
    <w:rsid w:val="00C87A66"/>
    <w:rsid w:val="00C87AAF"/>
    <w:rsid w:val="00C87AFE"/>
    <w:rsid w:val="00C87BA1"/>
    <w:rsid w:val="00C87D6C"/>
    <w:rsid w:val="00C87E31"/>
    <w:rsid w:val="00C87F3D"/>
    <w:rsid w:val="00C9002B"/>
    <w:rsid w:val="00C90038"/>
    <w:rsid w:val="00C9004C"/>
    <w:rsid w:val="00C90137"/>
    <w:rsid w:val="00C90406"/>
    <w:rsid w:val="00C906C3"/>
    <w:rsid w:val="00C9073E"/>
    <w:rsid w:val="00C907DB"/>
    <w:rsid w:val="00C9082D"/>
    <w:rsid w:val="00C908A3"/>
    <w:rsid w:val="00C908CF"/>
    <w:rsid w:val="00C90923"/>
    <w:rsid w:val="00C90986"/>
    <w:rsid w:val="00C909B0"/>
    <w:rsid w:val="00C90DF3"/>
    <w:rsid w:val="00C90E39"/>
    <w:rsid w:val="00C90FB1"/>
    <w:rsid w:val="00C91113"/>
    <w:rsid w:val="00C9125D"/>
    <w:rsid w:val="00C9127D"/>
    <w:rsid w:val="00C91292"/>
    <w:rsid w:val="00C912DB"/>
    <w:rsid w:val="00C9135E"/>
    <w:rsid w:val="00C913E1"/>
    <w:rsid w:val="00C91436"/>
    <w:rsid w:val="00C91A30"/>
    <w:rsid w:val="00C91AA2"/>
    <w:rsid w:val="00C91B25"/>
    <w:rsid w:val="00C91EA6"/>
    <w:rsid w:val="00C91FC7"/>
    <w:rsid w:val="00C9212D"/>
    <w:rsid w:val="00C92450"/>
    <w:rsid w:val="00C92527"/>
    <w:rsid w:val="00C9269D"/>
    <w:rsid w:val="00C926AD"/>
    <w:rsid w:val="00C926BB"/>
    <w:rsid w:val="00C92726"/>
    <w:rsid w:val="00C92747"/>
    <w:rsid w:val="00C9277D"/>
    <w:rsid w:val="00C927F4"/>
    <w:rsid w:val="00C92845"/>
    <w:rsid w:val="00C92878"/>
    <w:rsid w:val="00C9295F"/>
    <w:rsid w:val="00C92CC0"/>
    <w:rsid w:val="00C92D79"/>
    <w:rsid w:val="00C92F6A"/>
    <w:rsid w:val="00C92FD1"/>
    <w:rsid w:val="00C93254"/>
    <w:rsid w:val="00C935D7"/>
    <w:rsid w:val="00C93605"/>
    <w:rsid w:val="00C93A58"/>
    <w:rsid w:val="00C93B0C"/>
    <w:rsid w:val="00C93CE2"/>
    <w:rsid w:val="00C93D20"/>
    <w:rsid w:val="00C93E26"/>
    <w:rsid w:val="00C93FEC"/>
    <w:rsid w:val="00C94351"/>
    <w:rsid w:val="00C9495A"/>
    <w:rsid w:val="00C94AF7"/>
    <w:rsid w:val="00C9544A"/>
    <w:rsid w:val="00C95540"/>
    <w:rsid w:val="00C95582"/>
    <w:rsid w:val="00C95602"/>
    <w:rsid w:val="00C956D2"/>
    <w:rsid w:val="00C9572A"/>
    <w:rsid w:val="00C95A7A"/>
    <w:rsid w:val="00C95B3A"/>
    <w:rsid w:val="00C95B8C"/>
    <w:rsid w:val="00C95EDB"/>
    <w:rsid w:val="00C96109"/>
    <w:rsid w:val="00C96180"/>
    <w:rsid w:val="00C964AC"/>
    <w:rsid w:val="00C96701"/>
    <w:rsid w:val="00C96A0A"/>
    <w:rsid w:val="00C96BB9"/>
    <w:rsid w:val="00C96D87"/>
    <w:rsid w:val="00C96D8D"/>
    <w:rsid w:val="00C970AF"/>
    <w:rsid w:val="00C970CA"/>
    <w:rsid w:val="00C9722C"/>
    <w:rsid w:val="00C97280"/>
    <w:rsid w:val="00C97335"/>
    <w:rsid w:val="00C97384"/>
    <w:rsid w:val="00C97542"/>
    <w:rsid w:val="00C975C1"/>
    <w:rsid w:val="00C97AC5"/>
    <w:rsid w:val="00C97F07"/>
    <w:rsid w:val="00CA00D9"/>
    <w:rsid w:val="00CA0573"/>
    <w:rsid w:val="00CA0785"/>
    <w:rsid w:val="00CA07D6"/>
    <w:rsid w:val="00CA0987"/>
    <w:rsid w:val="00CA0B97"/>
    <w:rsid w:val="00CA0BE2"/>
    <w:rsid w:val="00CA0C97"/>
    <w:rsid w:val="00CA0EA2"/>
    <w:rsid w:val="00CA107E"/>
    <w:rsid w:val="00CA10F3"/>
    <w:rsid w:val="00CA11F6"/>
    <w:rsid w:val="00CA140C"/>
    <w:rsid w:val="00CA14FA"/>
    <w:rsid w:val="00CA180A"/>
    <w:rsid w:val="00CA1868"/>
    <w:rsid w:val="00CA19FD"/>
    <w:rsid w:val="00CA1C2D"/>
    <w:rsid w:val="00CA1D65"/>
    <w:rsid w:val="00CA1EFD"/>
    <w:rsid w:val="00CA1F11"/>
    <w:rsid w:val="00CA2320"/>
    <w:rsid w:val="00CA263F"/>
    <w:rsid w:val="00CA270F"/>
    <w:rsid w:val="00CA2811"/>
    <w:rsid w:val="00CA2B5A"/>
    <w:rsid w:val="00CA2DCC"/>
    <w:rsid w:val="00CA31B0"/>
    <w:rsid w:val="00CA3514"/>
    <w:rsid w:val="00CA35AF"/>
    <w:rsid w:val="00CA36AF"/>
    <w:rsid w:val="00CA3717"/>
    <w:rsid w:val="00CA37B5"/>
    <w:rsid w:val="00CA3892"/>
    <w:rsid w:val="00CA3A33"/>
    <w:rsid w:val="00CA3B96"/>
    <w:rsid w:val="00CA413F"/>
    <w:rsid w:val="00CA4363"/>
    <w:rsid w:val="00CA43FB"/>
    <w:rsid w:val="00CA468A"/>
    <w:rsid w:val="00CA4731"/>
    <w:rsid w:val="00CA49C2"/>
    <w:rsid w:val="00CA4ACB"/>
    <w:rsid w:val="00CA4AE2"/>
    <w:rsid w:val="00CA4BB5"/>
    <w:rsid w:val="00CA4C40"/>
    <w:rsid w:val="00CA4CAA"/>
    <w:rsid w:val="00CA4D53"/>
    <w:rsid w:val="00CA4E38"/>
    <w:rsid w:val="00CA4F0E"/>
    <w:rsid w:val="00CA501E"/>
    <w:rsid w:val="00CA5136"/>
    <w:rsid w:val="00CA5411"/>
    <w:rsid w:val="00CA5484"/>
    <w:rsid w:val="00CA5539"/>
    <w:rsid w:val="00CA5595"/>
    <w:rsid w:val="00CA56B3"/>
    <w:rsid w:val="00CA58B6"/>
    <w:rsid w:val="00CA58C8"/>
    <w:rsid w:val="00CA5AC1"/>
    <w:rsid w:val="00CA5D4D"/>
    <w:rsid w:val="00CA5F8C"/>
    <w:rsid w:val="00CA60AB"/>
    <w:rsid w:val="00CA60F3"/>
    <w:rsid w:val="00CA6137"/>
    <w:rsid w:val="00CA628C"/>
    <w:rsid w:val="00CA640A"/>
    <w:rsid w:val="00CA650E"/>
    <w:rsid w:val="00CA6716"/>
    <w:rsid w:val="00CA6907"/>
    <w:rsid w:val="00CA6927"/>
    <w:rsid w:val="00CA6D9C"/>
    <w:rsid w:val="00CA6DE0"/>
    <w:rsid w:val="00CA6DF3"/>
    <w:rsid w:val="00CA704F"/>
    <w:rsid w:val="00CA70CB"/>
    <w:rsid w:val="00CA7683"/>
    <w:rsid w:val="00CA76A5"/>
    <w:rsid w:val="00CA7927"/>
    <w:rsid w:val="00CA7C68"/>
    <w:rsid w:val="00CA7DBE"/>
    <w:rsid w:val="00CA7EF0"/>
    <w:rsid w:val="00CA7F76"/>
    <w:rsid w:val="00CB0004"/>
    <w:rsid w:val="00CB0048"/>
    <w:rsid w:val="00CB0271"/>
    <w:rsid w:val="00CB033C"/>
    <w:rsid w:val="00CB08AB"/>
    <w:rsid w:val="00CB0A94"/>
    <w:rsid w:val="00CB0A9D"/>
    <w:rsid w:val="00CB0D46"/>
    <w:rsid w:val="00CB0F98"/>
    <w:rsid w:val="00CB1101"/>
    <w:rsid w:val="00CB1139"/>
    <w:rsid w:val="00CB153C"/>
    <w:rsid w:val="00CB16E1"/>
    <w:rsid w:val="00CB1731"/>
    <w:rsid w:val="00CB179D"/>
    <w:rsid w:val="00CB1A2D"/>
    <w:rsid w:val="00CB1CA9"/>
    <w:rsid w:val="00CB210C"/>
    <w:rsid w:val="00CB2210"/>
    <w:rsid w:val="00CB2321"/>
    <w:rsid w:val="00CB2646"/>
    <w:rsid w:val="00CB2711"/>
    <w:rsid w:val="00CB27ED"/>
    <w:rsid w:val="00CB281A"/>
    <w:rsid w:val="00CB2861"/>
    <w:rsid w:val="00CB2913"/>
    <w:rsid w:val="00CB2A6B"/>
    <w:rsid w:val="00CB2BE5"/>
    <w:rsid w:val="00CB2DD2"/>
    <w:rsid w:val="00CB2E3D"/>
    <w:rsid w:val="00CB2E5E"/>
    <w:rsid w:val="00CB2E7C"/>
    <w:rsid w:val="00CB3013"/>
    <w:rsid w:val="00CB30E1"/>
    <w:rsid w:val="00CB33E9"/>
    <w:rsid w:val="00CB34BC"/>
    <w:rsid w:val="00CB3638"/>
    <w:rsid w:val="00CB37FB"/>
    <w:rsid w:val="00CB38E0"/>
    <w:rsid w:val="00CB3B5C"/>
    <w:rsid w:val="00CB3D8D"/>
    <w:rsid w:val="00CB3DC7"/>
    <w:rsid w:val="00CB3E52"/>
    <w:rsid w:val="00CB404E"/>
    <w:rsid w:val="00CB42D5"/>
    <w:rsid w:val="00CB43F0"/>
    <w:rsid w:val="00CB43FE"/>
    <w:rsid w:val="00CB465D"/>
    <w:rsid w:val="00CB475B"/>
    <w:rsid w:val="00CB4812"/>
    <w:rsid w:val="00CB489C"/>
    <w:rsid w:val="00CB4A2A"/>
    <w:rsid w:val="00CB4A55"/>
    <w:rsid w:val="00CB4B8C"/>
    <w:rsid w:val="00CB4CBD"/>
    <w:rsid w:val="00CB4D64"/>
    <w:rsid w:val="00CB4DD8"/>
    <w:rsid w:val="00CB5153"/>
    <w:rsid w:val="00CB51D6"/>
    <w:rsid w:val="00CB5257"/>
    <w:rsid w:val="00CB52CE"/>
    <w:rsid w:val="00CB5501"/>
    <w:rsid w:val="00CB5808"/>
    <w:rsid w:val="00CB5966"/>
    <w:rsid w:val="00CB59FB"/>
    <w:rsid w:val="00CB5B44"/>
    <w:rsid w:val="00CB5C47"/>
    <w:rsid w:val="00CB5CF0"/>
    <w:rsid w:val="00CB5D92"/>
    <w:rsid w:val="00CB5E53"/>
    <w:rsid w:val="00CB6146"/>
    <w:rsid w:val="00CB614F"/>
    <w:rsid w:val="00CB61B9"/>
    <w:rsid w:val="00CB6221"/>
    <w:rsid w:val="00CB636D"/>
    <w:rsid w:val="00CB63D0"/>
    <w:rsid w:val="00CB6530"/>
    <w:rsid w:val="00CB6749"/>
    <w:rsid w:val="00CB6767"/>
    <w:rsid w:val="00CB685D"/>
    <w:rsid w:val="00CB6933"/>
    <w:rsid w:val="00CB6A85"/>
    <w:rsid w:val="00CB6A90"/>
    <w:rsid w:val="00CB6AD6"/>
    <w:rsid w:val="00CB6B87"/>
    <w:rsid w:val="00CB6D18"/>
    <w:rsid w:val="00CB6D55"/>
    <w:rsid w:val="00CB713C"/>
    <w:rsid w:val="00CB7168"/>
    <w:rsid w:val="00CB740B"/>
    <w:rsid w:val="00CB76D6"/>
    <w:rsid w:val="00CB7706"/>
    <w:rsid w:val="00CB7851"/>
    <w:rsid w:val="00CB7890"/>
    <w:rsid w:val="00CB78B0"/>
    <w:rsid w:val="00CB791A"/>
    <w:rsid w:val="00CB797C"/>
    <w:rsid w:val="00CB7CA3"/>
    <w:rsid w:val="00CB7E40"/>
    <w:rsid w:val="00CB7E7C"/>
    <w:rsid w:val="00CC000E"/>
    <w:rsid w:val="00CC0053"/>
    <w:rsid w:val="00CC0181"/>
    <w:rsid w:val="00CC01A9"/>
    <w:rsid w:val="00CC0305"/>
    <w:rsid w:val="00CC0369"/>
    <w:rsid w:val="00CC03BD"/>
    <w:rsid w:val="00CC03EB"/>
    <w:rsid w:val="00CC0537"/>
    <w:rsid w:val="00CC05D8"/>
    <w:rsid w:val="00CC0786"/>
    <w:rsid w:val="00CC07D7"/>
    <w:rsid w:val="00CC0931"/>
    <w:rsid w:val="00CC0A1B"/>
    <w:rsid w:val="00CC0CDE"/>
    <w:rsid w:val="00CC0F91"/>
    <w:rsid w:val="00CC1231"/>
    <w:rsid w:val="00CC1541"/>
    <w:rsid w:val="00CC1718"/>
    <w:rsid w:val="00CC1851"/>
    <w:rsid w:val="00CC185E"/>
    <w:rsid w:val="00CC18A2"/>
    <w:rsid w:val="00CC1E14"/>
    <w:rsid w:val="00CC1E21"/>
    <w:rsid w:val="00CC29F1"/>
    <w:rsid w:val="00CC2A44"/>
    <w:rsid w:val="00CC2C17"/>
    <w:rsid w:val="00CC2CBF"/>
    <w:rsid w:val="00CC2CE1"/>
    <w:rsid w:val="00CC2D20"/>
    <w:rsid w:val="00CC2E35"/>
    <w:rsid w:val="00CC3194"/>
    <w:rsid w:val="00CC31BB"/>
    <w:rsid w:val="00CC31C2"/>
    <w:rsid w:val="00CC34D6"/>
    <w:rsid w:val="00CC3525"/>
    <w:rsid w:val="00CC3771"/>
    <w:rsid w:val="00CC3A0C"/>
    <w:rsid w:val="00CC3AEF"/>
    <w:rsid w:val="00CC3C08"/>
    <w:rsid w:val="00CC3D8C"/>
    <w:rsid w:val="00CC3F72"/>
    <w:rsid w:val="00CC3FA3"/>
    <w:rsid w:val="00CC3FB7"/>
    <w:rsid w:val="00CC4100"/>
    <w:rsid w:val="00CC4272"/>
    <w:rsid w:val="00CC42D1"/>
    <w:rsid w:val="00CC42ED"/>
    <w:rsid w:val="00CC44D7"/>
    <w:rsid w:val="00CC454D"/>
    <w:rsid w:val="00CC45BA"/>
    <w:rsid w:val="00CC4734"/>
    <w:rsid w:val="00CC4763"/>
    <w:rsid w:val="00CC4822"/>
    <w:rsid w:val="00CC48E2"/>
    <w:rsid w:val="00CC4C12"/>
    <w:rsid w:val="00CC4C7A"/>
    <w:rsid w:val="00CC4D46"/>
    <w:rsid w:val="00CC4DF0"/>
    <w:rsid w:val="00CC5085"/>
    <w:rsid w:val="00CC5149"/>
    <w:rsid w:val="00CC5154"/>
    <w:rsid w:val="00CC5201"/>
    <w:rsid w:val="00CC5468"/>
    <w:rsid w:val="00CC55AE"/>
    <w:rsid w:val="00CC577A"/>
    <w:rsid w:val="00CC5798"/>
    <w:rsid w:val="00CC59B3"/>
    <w:rsid w:val="00CC5A2E"/>
    <w:rsid w:val="00CC5AB6"/>
    <w:rsid w:val="00CC5DF6"/>
    <w:rsid w:val="00CC614B"/>
    <w:rsid w:val="00CC6169"/>
    <w:rsid w:val="00CC63A5"/>
    <w:rsid w:val="00CC6549"/>
    <w:rsid w:val="00CC65C5"/>
    <w:rsid w:val="00CC6682"/>
    <w:rsid w:val="00CC66DD"/>
    <w:rsid w:val="00CC67E8"/>
    <w:rsid w:val="00CC6837"/>
    <w:rsid w:val="00CC6AB4"/>
    <w:rsid w:val="00CC6AFA"/>
    <w:rsid w:val="00CC6D91"/>
    <w:rsid w:val="00CC6DF8"/>
    <w:rsid w:val="00CC7028"/>
    <w:rsid w:val="00CC706A"/>
    <w:rsid w:val="00CC718E"/>
    <w:rsid w:val="00CC71B1"/>
    <w:rsid w:val="00CC773E"/>
    <w:rsid w:val="00CC7AD4"/>
    <w:rsid w:val="00CC7C4F"/>
    <w:rsid w:val="00CC7CD0"/>
    <w:rsid w:val="00CC7DC0"/>
    <w:rsid w:val="00CC7EFD"/>
    <w:rsid w:val="00CC7F35"/>
    <w:rsid w:val="00CC7FF9"/>
    <w:rsid w:val="00CD01FE"/>
    <w:rsid w:val="00CD024D"/>
    <w:rsid w:val="00CD0281"/>
    <w:rsid w:val="00CD029B"/>
    <w:rsid w:val="00CD03CC"/>
    <w:rsid w:val="00CD065B"/>
    <w:rsid w:val="00CD0834"/>
    <w:rsid w:val="00CD0975"/>
    <w:rsid w:val="00CD0A5D"/>
    <w:rsid w:val="00CD0B22"/>
    <w:rsid w:val="00CD0CFE"/>
    <w:rsid w:val="00CD0E77"/>
    <w:rsid w:val="00CD0EFD"/>
    <w:rsid w:val="00CD139E"/>
    <w:rsid w:val="00CD1547"/>
    <w:rsid w:val="00CD1556"/>
    <w:rsid w:val="00CD1892"/>
    <w:rsid w:val="00CD18A7"/>
    <w:rsid w:val="00CD18B1"/>
    <w:rsid w:val="00CD1B89"/>
    <w:rsid w:val="00CD1DA7"/>
    <w:rsid w:val="00CD1DD2"/>
    <w:rsid w:val="00CD1F68"/>
    <w:rsid w:val="00CD1FDA"/>
    <w:rsid w:val="00CD2177"/>
    <w:rsid w:val="00CD2194"/>
    <w:rsid w:val="00CD21FD"/>
    <w:rsid w:val="00CD2240"/>
    <w:rsid w:val="00CD22C9"/>
    <w:rsid w:val="00CD22E8"/>
    <w:rsid w:val="00CD25CC"/>
    <w:rsid w:val="00CD2D9A"/>
    <w:rsid w:val="00CD31CD"/>
    <w:rsid w:val="00CD3355"/>
    <w:rsid w:val="00CD351F"/>
    <w:rsid w:val="00CD35A4"/>
    <w:rsid w:val="00CD375E"/>
    <w:rsid w:val="00CD3811"/>
    <w:rsid w:val="00CD3898"/>
    <w:rsid w:val="00CD396C"/>
    <w:rsid w:val="00CD39EE"/>
    <w:rsid w:val="00CD3DA7"/>
    <w:rsid w:val="00CD3DD0"/>
    <w:rsid w:val="00CD3E38"/>
    <w:rsid w:val="00CD3E6B"/>
    <w:rsid w:val="00CD3FF8"/>
    <w:rsid w:val="00CD413B"/>
    <w:rsid w:val="00CD4428"/>
    <w:rsid w:val="00CD48F3"/>
    <w:rsid w:val="00CD496E"/>
    <w:rsid w:val="00CD4BE5"/>
    <w:rsid w:val="00CD4DA0"/>
    <w:rsid w:val="00CD4DE0"/>
    <w:rsid w:val="00CD4FB5"/>
    <w:rsid w:val="00CD518F"/>
    <w:rsid w:val="00CD5249"/>
    <w:rsid w:val="00CD538B"/>
    <w:rsid w:val="00CD53BF"/>
    <w:rsid w:val="00CD53C5"/>
    <w:rsid w:val="00CD5774"/>
    <w:rsid w:val="00CD5814"/>
    <w:rsid w:val="00CD5890"/>
    <w:rsid w:val="00CD58D8"/>
    <w:rsid w:val="00CD5C5A"/>
    <w:rsid w:val="00CD5D5D"/>
    <w:rsid w:val="00CD5D5F"/>
    <w:rsid w:val="00CD6225"/>
    <w:rsid w:val="00CD62B1"/>
    <w:rsid w:val="00CD63B4"/>
    <w:rsid w:val="00CD65A1"/>
    <w:rsid w:val="00CD65B9"/>
    <w:rsid w:val="00CD6808"/>
    <w:rsid w:val="00CD680F"/>
    <w:rsid w:val="00CD6BAC"/>
    <w:rsid w:val="00CD6C9A"/>
    <w:rsid w:val="00CD6D41"/>
    <w:rsid w:val="00CD6D6F"/>
    <w:rsid w:val="00CD7445"/>
    <w:rsid w:val="00CD76DA"/>
    <w:rsid w:val="00CD7835"/>
    <w:rsid w:val="00CD786E"/>
    <w:rsid w:val="00CD797D"/>
    <w:rsid w:val="00CD7ABA"/>
    <w:rsid w:val="00CD7BE6"/>
    <w:rsid w:val="00CD7C09"/>
    <w:rsid w:val="00CD7E32"/>
    <w:rsid w:val="00CD7EDC"/>
    <w:rsid w:val="00CE0114"/>
    <w:rsid w:val="00CE0145"/>
    <w:rsid w:val="00CE0994"/>
    <w:rsid w:val="00CE0ECD"/>
    <w:rsid w:val="00CE119B"/>
    <w:rsid w:val="00CE1388"/>
    <w:rsid w:val="00CE144D"/>
    <w:rsid w:val="00CE144E"/>
    <w:rsid w:val="00CE1590"/>
    <w:rsid w:val="00CE16F5"/>
    <w:rsid w:val="00CE18CB"/>
    <w:rsid w:val="00CE1C3F"/>
    <w:rsid w:val="00CE1CE6"/>
    <w:rsid w:val="00CE1EA0"/>
    <w:rsid w:val="00CE1FC1"/>
    <w:rsid w:val="00CE1FDC"/>
    <w:rsid w:val="00CE2028"/>
    <w:rsid w:val="00CE2323"/>
    <w:rsid w:val="00CE233A"/>
    <w:rsid w:val="00CE245D"/>
    <w:rsid w:val="00CE2694"/>
    <w:rsid w:val="00CE26B6"/>
    <w:rsid w:val="00CE2947"/>
    <w:rsid w:val="00CE29B5"/>
    <w:rsid w:val="00CE2A08"/>
    <w:rsid w:val="00CE2A3D"/>
    <w:rsid w:val="00CE2AB0"/>
    <w:rsid w:val="00CE2ACC"/>
    <w:rsid w:val="00CE2B64"/>
    <w:rsid w:val="00CE2CB6"/>
    <w:rsid w:val="00CE2EBA"/>
    <w:rsid w:val="00CE301D"/>
    <w:rsid w:val="00CE3165"/>
    <w:rsid w:val="00CE33B8"/>
    <w:rsid w:val="00CE36BE"/>
    <w:rsid w:val="00CE37F7"/>
    <w:rsid w:val="00CE3843"/>
    <w:rsid w:val="00CE385C"/>
    <w:rsid w:val="00CE389F"/>
    <w:rsid w:val="00CE39EA"/>
    <w:rsid w:val="00CE3CAC"/>
    <w:rsid w:val="00CE3D38"/>
    <w:rsid w:val="00CE3DFA"/>
    <w:rsid w:val="00CE416A"/>
    <w:rsid w:val="00CE42D8"/>
    <w:rsid w:val="00CE43B0"/>
    <w:rsid w:val="00CE45AE"/>
    <w:rsid w:val="00CE45D7"/>
    <w:rsid w:val="00CE45DD"/>
    <w:rsid w:val="00CE4B3A"/>
    <w:rsid w:val="00CE4C01"/>
    <w:rsid w:val="00CE4C08"/>
    <w:rsid w:val="00CE4DE3"/>
    <w:rsid w:val="00CE4FFE"/>
    <w:rsid w:val="00CE51C6"/>
    <w:rsid w:val="00CE531D"/>
    <w:rsid w:val="00CE53CF"/>
    <w:rsid w:val="00CE53D8"/>
    <w:rsid w:val="00CE5425"/>
    <w:rsid w:val="00CE5599"/>
    <w:rsid w:val="00CE5609"/>
    <w:rsid w:val="00CE564F"/>
    <w:rsid w:val="00CE568E"/>
    <w:rsid w:val="00CE57B1"/>
    <w:rsid w:val="00CE58B8"/>
    <w:rsid w:val="00CE5942"/>
    <w:rsid w:val="00CE598C"/>
    <w:rsid w:val="00CE5D50"/>
    <w:rsid w:val="00CE62C7"/>
    <w:rsid w:val="00CE62E9"/>
    <w:rsid w:val="00CE648C"/>
    <w:rsid w:val="00CE6544"/>
    <w:rsid w:val="00CE654E"/>
    <w:rsid w:val="00CE66E2"/>
    <w:rsid w:val="00CE6700"/>
    <w:rsid w:val="00CE684F"/>
    <w:rsid w:val="00CE6885"/>
    <w:rsid w:val="00CE6E49"/>
    <w:rsid w:val="00CE6F9B"/>
    <w:rsid w:val="00CE71AB"/>
    <w:rsid w:val="00CE7216"/>
    <w:rsid w:val="00CE7230"/>
    <w:rsid w:val="00CE726F"/>
    <w:rsid w:val="00CE7352"/>
    <w:rsid w:val="00CE748C"/>
    <w:rsid w:val="00CE7696"/>
    <w:rsid w:val="00CE76B9"/>
    <w:rsid w:val="00CE76BD"/>
    <w:rsid w:val="00CE7813"/>
    <w:rsid w:val="00CE7885"/>
    <w:rsid w:val="00CE791D"/>
    <w:rsid w:val="00CE7B2A"/>
    <w:rsid w:val="00CE7BAC"/>
    <w:rsid w:val="00CE7C39"/>
    <w:rsid w:val="00CE7E21"/>
    <w:rsid w:val="00CF014F"/>
    <w:rsid w:val="00CF0241"/>
    <w:rsid w:val="00CF02B3"/>
    <w:rsid w:val="00CF0398"/>
    <w:rsid w:val="00CF0412"/>
    <w:rsid w:val="00CF0862"/>
    <w:rsid w:val="00CF0865"/>
    <w:rsid w:val="00CF0917"/>
    <w:rsid w:val="00CF0958"/>
    <w:rsid w:val="00CF0A68"/>
    <w:rsid w:val="00CF0A7A"/>
    <w:rsid w:val="00CF0D3E"/>
    <w:rsid w:val="00CF0D46"/>
    <w:rsid w:val="00CF0DF4"/>
    <w:rsid w:val="00CF0FD6"/>
    <w:rsid w:val="00CF1002"/>
    <w:rsid w:val="00CF10EB"/>
    <w:rsid w:val="00CF1270"/>
    <w:rsid w:val="00CF14D8"/>
    <w:rsid w:val="00CF158C"/>
    <w:rsid w:val="00CF15B7"/>
    <w:rsid w:val="00CF198B"/>
    <w:rsid w:val="00CF1A04"/>
    <w:rsid w:val="00CF1C4B"/>
    <w:rsid w:val="00CF1CAE"/>
    <w:rsid w:val="00CF1CD5"/>
    <w:rsid w:val="00CF1DBD"/>
    <w:rsid w:val="00CF26C2"/>
    <w:rsid w:val="00CF2769"/>
    <w:rsid w:val="00CF277A"/>
    <w:rsid w:val="00CF2A98"/>
    <w:rsid w:val="00CF2B37"/>
    <w:rsid w:val="00CF2C92"/>
    <w:rsid w:val="00CF3045"/>
    <w:rsid w:val="00CF3091"/>
    <w:rsid w:val="00CF32BB"/>
    <w:rsid w:val="00CF3368"/>
    <w:rsid w:val="00CF34D4"/>
    <w:rsid w:val="00CF356C"/>
    <w:rsid w:val="00CF37CD"/>
    <w:rsid w:val="00CF3886"/>
    <w:rsid w:val="00CF3936"/>
    <w:rsid w:val="00CF39B5"/>
    <w:rsid w:val="00CF39E5"/>
    <w:rsid w:val="00CF3BCB"/>
    <w:rsid w:val="00CF3D6D"/>
    <w:rsid w:val="00CF3D6E"/>
    <w:rsid w:val="00CF3EC7"/>
    <w:rsid w:val="00CF4185"/>
    <w:rsid w:val="00CF421B"/>
    <w:rsid w:val="00CF453F"/>
    <w:rsid w:val="00CF46A1"/>
    <w:rsid w:val="00CF496E"/>
    <w:rsid w:val="00CF4E60"/>
    <w:rsid w:val="00CF4EC8"/>
    <w:rsid w:val="00CF4F89"/>
    <w:rsid w:val="00CF516A"/>
    <w:rsid w:val="00CF51D9"/>
    <w:rsid w:val="00CF523A"/>
    <w:rsid w:val="00CF524A"/>
    <w:rsid w:val="00CF53AB"/>
    <w:rsid w:val="00CF54C2"/>
    <w:rsid w:val="00CF58C9"/>
    <w:rsid w:val="00CF5A18"/>
    <w:rsid w:val="00CF5A43"/>
    <w:rsid w:val="00CF5BC8"/>
    <w:rsid w:val="00CF5C46"/>
    <w:rsid w:val="00CF5C5A"/>
    <w:rsid w:val="00CF5D3D"/>
    <w:rsid w:val="00CF6153"/>
    <w:rsid w:val="00CF627C"/>
    <w:rsid w:val="00CF645A"/>
    <w:rsid w:val="00CF652D"/>
    <w:rsid w:val="00CF67DE"/>
    <w:rsid w:val="00CF68E8"/>
    <w:rsid w:val="00CF68F7"/>
    <w:rsid w:val="00CF6B07"/>
    <w:rsid w:val="00CF6B74"/>
    <w:rsid w:val="00CF6C21"/>
    <w:rsid w:val="00CF6CE0"/>
    <w:rsid w:val="00CF6D95"/>
    <w:rsid w:val="00CF72E7"/>
    <w:rsid w:val="00CF746F"/>
    <w:rsid w:val="00CF756F"/>
    <w:rsid w:val="00CF76E4"/>
    <w:rsid w:val="00CF774B"/>
    <w:rsid w:val="00CF788D"/>
    <w:rsid w:val="00CF78FD"/>
    <w:rsid w:val="00CF7977"/>
    <w:rsid w:val="00CF79C5"/>
    <w:rsid w:val="00CF7BF7"/>
    <w:rsid w:val="00CF7CFF"/>
    <w:rsid w:val="00CF7D60"/>
    <w:rsid w:val="00CF7DEE"/>
    <w:rsid w:val="00CF7DF9"/>
    <w:rsid w:val="00CF7E97"/>
    <w:rsid w:val="00CF7F2C"/>
    <w:rsid w:val="00D00205"/>
    <w:rsid w:val="00D0023E"/>
    <w:rsid w:val="00D00685"/>
    <w:rsid w:val="00D006AC"/>
    <w:rsid w:val="00D00716"/>
    <w:rsid w:val="00D009CC"/>
    <w:rsid w:val="00D00B2D"/>
    <w:rsid w:val="00D00D1D"/>
    <w:rsid w:val="00D00F9B"/>
    <w:rsid w:val="00D010CE"/>
    <w:rsid w:val="00D011D3"/>
    <w:rsid w:val="00D0121D"/>
    <w:rsid w:val="00D0136A"/>
    <w:rsid w:val="00D014A5"/>
    <w:rsid w:val="00D0161A"/>
    <w:rsid w:val="00D01A35"/>
    <w:rsid w:val="00D01B44"/>
    <w:rsid w:val="00D01D31"/>
    <w:rsid w:val="00D01DB4"/>
    <w:rsid w:val="00D01E16"/>
    <w:rsid w:val="00D021E9"/>
    <w:rsid w:val="00D022B7"/>
    <w:rsid w:val="00D023EE"/>
    <w:rsid w:val="00D02519"/>
    <w:rsid w:val="00D026BE"/>
    <w:rsid w:val="00D02AE7"/>
    <w:rsid w:val="00D02DE2"/>
    <w:rsid w:val="00D02E6D"/>
    <w:rsid w:val="00D030D8"/>
    <w:rsid w:val="00D03244"/>
    <w:rsid w:val="00D0336B"/>
    <w:rsid w:val="00D036AC"/>
    <w:rsid w:val="00D036E9"/>
    <w:rsid w:val="00D0373B"/>
    <w:rsid w:val="00D037C9"/>
    <w:rsid w:val="00D038CE"/>
    <w:rsid w:val="00D03DBE"/>
    <w:rsid w:val="00D03EC1"/>
    <w:rsid w:val="00D03EF8"/>
    <w:rsid w:val="00D03FCC"/>
    <w:rsid w:val="00D040CD"/>
    <w:rsid w:val="00D044EE"/>
    <w:rsid w:val="00D0463E"/>
    <w:rsid w:val="00D04A48"/>
    <w:rsid w:val="00D04C7E"/>
    <w:rsid w:val="00D0519E"/>
    <w:rsid w:val="00D052E6"/>
    <w:rsid w:val="00D053DD"/>
    <w:rsid w:val="00D05402"/>
    <w:rsid w:val="00D05457"/>
    <w:rsid w:val="00D054CD"/>
    <w:rsid w:val="00D05516"/>
    <w:rsid w:val="00D0560E"/>
    <w:rsid w:val="00D05C3D"/>
    <w:rsid w:val="00D05CFA"/>
    <w:rsid w:val="00D05D02"/>
    <w:rsid w:val="00D05E50"/>
    <w:rsid w:val="00D0612E"/>
    <w:rsid w:val="00D061B9"/>
    <w:rsid w:val="00D0620C"/>
    <w:rsid w:val="00D0626E"/>
    <w:rsid w:val="00D065B3"/>
    <w:rsid w:val="00D06782"/>
    <w:rsid w:val="00D06E0B"/>
    <w:rsid w:val="00D06F9D"/>
    <w:rsid w:val="00D07023"/>
    <w:rsid w:val="00D0706C"/>
    <w:rsid w:val="00D0710F"/>
    <w:rsid w:val="00D073EF"/>
    <w:rsid w:val="00D07566"/>
    <w:rsid w:val="00D075F6"/>
    <w:rsid w:val="00D07AC0"/>
    <w:rsid w:val="00D07AFD"/>
    <w:rsid w:val="00D07BC6"/>
    <w:rsid w:val="00D07D2D"/>
    <w:rsid w:val="00D07D75"/>
    <w:rsid w:val="00D1018B"/>
    <w:rsid w:val="00D1020B"/>
    <w:rsid w:val="00D103DF"/>
    <w:rsid w:val="00D10409"/>
    <w:rsid w:val="00D1045A"/>
    <w:rsid w:val="00D10462"/>
    <w:rsid w:val="00D10507"/>
    <w:rsid w:val="00D10783"/>
    <w:rsid w:val="00D107CC"/>
    <w:rsid w:val="00D107F8"/>
    <w:rsid w:val="00D10883"/>
    <w:rsid w:val="00D109F9"/>
    <w:rsid w:val="00D10E79"/>
    <w:rsid w:val="00D11038"/>
    <w:rsid w:val="00D110CD"/>
    <w:rsid w:val="00D110F1"/>
    <w:rsid w:val="00D111FE"/>
    <w:rsid w:val="00D1139C"/>
    <w:rsid w:val="00D114CD"/>
    <w:rsid w:val="00D115E5"/>
    <w:rsid w:val="00D11656"/>
    <w:rsid w:val="00D11776"/>
    <w:rsid w:val="00D1179A"/>
    <w:rsid w:val="00D11932"/>
    <w:rsid w:val="00D1197F"/>
    <w:rsid w:val="00D11AE9"/>
    <w:rsid w:val="00D11B87"/>
    <w:rsid w:val="00D11C0E"/>
    <w:rsid w:val="00D11C60"/>
    <w:rsid w:val="00D11CF5"/>
    <w:rsid w:val="00D11E5F"/>
    <w:rsid w:val="00D11E65"/>
    <w:rsid w:val="00D11FE7"/>
    <w:rsid w:val="00D122C9"/>
    <w:rsid w:val="00D1230E"/>
    <w:rsid w:val="00D1250B"/>
    <w:rsid w:val="00D12555"/>
    <w:rsid w:val="00D126B8"/>
    <w:rsid w:val="00D128F0"/>
    <w:rsid w:val="00D129E1"/>
    <w:rsid w:val="00D12CB7"/>
    <w:rsid w:val="00D132A3"/>
    <w:rsid w:val="00D134CD"/>
    <w:rsid w:val="00D1357D"/>
    <w:rsid w:val="00D135A0"/>
    <w:rsid w:val="00D135B0"/>
    <w:rsid w:val="00D1364D"/>
    <w:rsid w:val="00D136BC"/>
    <w:rsid w:val="00D13964"/>
    <w:rsid w:val="00D13D22"/>
    <w:rsid w:val="00D13E4E"/>
    <w:rsid w:val="00D13FD9"/>
    <w:rsid w:val="00D141CC"/>
    <w:rsid w:val="00D141F1"/>
    <w:rsid w:val="00D143C6"/>
    <w:rsid w:val="00D14445"/>
    <w:rsid w:val="00D1454F"/>
    <w:rsid w:val="00D14700"/>
    <w:rsid w:val="00D14A4C"/>
    <w:rsid w:val="00D14BAF"/>
    <w:rsid w:val="00D14C22"/>
    <w:rsid w:val="00D14F8D"/>
    <w:rsid w:val="00D151FC"/>
    <w:rsid w:val="00D15234"/>
    <w:rsid w:val="00D15284"/>
    <w:rsid w:val="00D153BF"/>
    <w:rsid w:val="00D15690"/>
    <w:rsid w:val="00D158E8"/>
    <w:rsid w:val="00D15A00"/>
    <w:rsid w:val="00D15C2B"/>
    <w:rsid w:val="00D15D73"/>
    <w:rsid w:val="00D15DFC"/>
    <w:rsid w:val="00D1615D"/>
    <w:rsid w:val="00D1626B"/>
    <w:rsid w:val="00D16434"/>
    <w:rsid w:val="00D167CB"/>
    <w:rsid w:val="00D167DF"/>
    <w:rsid w:val="00D16820"/>
    <w:rsid w:val="00D16874"/>
    <w:rsid w:val="00D16B2B"/>
    <w:rsid w:val="00D16BB5"/>
    <w:rsid w:val="00D16E9D"/>
    <w:rsid w:val="00D170EF"/>
    <w:rsid w:val="00D17144"/>
    <w:rsid w:val="00D171F5"/>
    <w:rsid w:val="00D1768A"/>
    <w:rsid w:val="00D17714"/>
    <w:rsid w:val="00D1782B"/>
    <w:rsid w:val="00D178FC"/>
    <w:rsid w:val="00D17908"/>
    <w:rsid w:val="00D179DA"/>
    <w:rsid w:val="00D17A72"/>
    <w:rsid w:val="00D17B67"/>
    <w:rsid w:val="00D17E28"/>
    <w:rsid w:val="00D17E50"/>
    <w:rsid w:val="00D17ED0"/>
    <w:rsid w:val="00D17F07"/>
    <w:rsid w:val="00D20055"/>
    <w:rsid w:val="00D2014A"/>
    <w:rsid w:val="00D201E8"/>
    <w:rsid w:val="00D20269"/>
    <w:rsid w:val="00D209A3"/>
    <w:rsid w:val="00D20A62"/>
    <w:rsid w:val="00D20B31"/>
    <w:rsid w:val="00D20D21"/>
    <w:rsid w:val="00D20DCB"/>
    <w:rsid w:val="00D20F7C"/>
    <w:rsid w:val="00D210ED"/>
    <w:rsid w:val="00D21198"/>
    <w:rsid w:val="00D21328"/>
    <w:rsid w:val="00D21409"/>
    <w:rsid w:val="00D2156E"/>
    <w:rsid w:val="00D21895"/>
    <w:rsid w:val="00D218E6"/>
    <w:rsid w:val="00D21A47"/>
    <w:rsid w:val="00D21B1A"/>
    <w:rsid w:val="00D21B1E"/>
    <w:rsid w:val="00D21E0C"/>
    <w:rsid w:val="00D22059"/>
    <w:rsid w:val="00D220F3"/>
    <w:rsid w:val="00D22347"/>
    <w:rsid w:val="00D223ED"/>
    <w:rsid w:val="00D2245E"/>
    <w:rsid w:val="00D224BC"/>
    <w:rsid w:val="00D227A0"/>
    <w:rsid w:val="00D22982"/>
    <w:rsid w:val="00D229C2"/>
    <w:rsid w:val="00D229D9"/>
    <w:rsid w:val="00D22A00"/>
    <w:rsid w:val="00D22C9E"/>
    <w:rsid w:val="00D22E4C"/>
    <w:rsid w:val="00D22E92"/>
    <w:rsid w:val="00D22EDD"/>
    <w:rsid w:val="00D23049"/>
    <w:rsid w:val="00D2316D"/>
    <w:rsid w:val="00D2320C"/>
    <w:rsid w:val="00D2326A"/>
    <w:rsid w:val="00D23493"/>
    <w:rsid w:val="00D23524"/>
    <w:rsid w:val="00D2356C"/>
    <w:rsid w:val="00D235EA"/>
    <w:rsid w:val="00D23601"/>
    <w:rsid w:val="00D2365E"/>
    <w:rsid w:val="00D2371A"/>
    <w:rsid w:val="00D23732"/>
    <w:rsid w:val="00D2396F"/>
    <w:rsid w:val="00D23B03"/>
    <w:rsid w:val="00D23B22"/>
    <w:rsid w:val="00D23B48"/>
    <w:rsid w:val="00D240A0"/>
    <w:rsid w:val="00D240AE"/>
    <w:rsid w:val="00D24168"/>
    <w:rsid w:val="00D242C9"/>
    <w:rsid w:val="00D243BD"/>
    <w:rsid w:val="00D246A5"/>
    <w:rsid w:val="00D24B87"/>
    <w:rsid w:val="00D24DAE"/>
    <w:rsid w:val="00D24E36"/>
    <w:rsid w:val="00D24F3A"/>
    <w:rsid w:val="00D2517E"/>
    <w:rsid w:val="00D25337"/>
    <w:rsid w:val="00D2554A"/>
    <w:rsid w:val="00D256E3"/>
    <w:rsid w:val="00D25753"/>
    <w:rsid w:val="00D25A47"/>
    <w:rsid w:val="00D25A75"/>
    <w:rsid w:val="00D25AE3"/>
    <w:rsid w:val="00D25B89"/>
    <w:rsid w:val="00D25BDB"/>
    <w:rsid w:val="00D25C97"/>
    <w:rsid w:val="00D25CF7"/>
    <w:rsid w:val="00D2621C"/>
    <w:rsid w:val="00D26343"/>
    <w:rsid w:val="00D26345"/>
    <w:rsid w:val="00D266DE"/>
    <w:rsid w:val="00D267D3"/>
    <w:rsid w:val="00D26A0A"/>
    <w:rsid w:val="00D26AB9"/>
    <w:rsid w:val="00D26AE1"/>
    <w:rsid w:val="00D26AF9"/>
    <w:rsid w:val="00D26DC3"/>
    <w:rsid w:val="00D26F4D"/>
    <w:rsid w:val="00D273DC"/>
    <w:rsid w:val="00D27727"/>
    <w:rsid w:val="00D277B6"/>
    <w:rsid w:val="00D278EA"/>
    <w:rsid w:val="00D27919"/>
    <w:rsid w:val="00D27AC9"/>
    <w:rsid w:val="00D27D14"/>
    <w:rsid w:val="00D27E22"/>
    <w:rsid w:val="00D3028B"/>
    <w:rsid w:val="00D308FA"/>
    <w:rsid w:val="00D30934"/>
    <w:rsid w:val="00D30993"/>
    <w:rsid w:val="00D30C4A"/>
    <w:rsid w:val="00D3103D"/>
    <w:rsid w:val="00D316BE"/>
    <w:rsid w:val="00D31727"/>
    <w:rsid w:val="00D3181F"/>
    <w:rsid w:val="00D319BF"/>
    <w:rsid w:val="00D31C66"/>
    <w:rsid w:val="00D31D79"/>
    <w:rsid w:val="00D31DA5"/>
    <w:rsid w:val="00D31F3C"/>
    <w:rsid w:val="00D31FAA"/>
    <w:rsid w:val="00D32037"/>
    <w:rsid w:val="00D32164"/>
    <w:rsid w:val="00D324F0"/>
    <w:rsid w:val="00D325E4"/>
    <w:rsid w:val="00D3262C"/>
    <w:rsid w:val="00D32C98"/>
    <w:rsid w:val="00D32E07"/>
    <w:rsid w:val="00D32E68"/>
    <w:rsid w:val="00D32EB1"/>
    <w:rsid w:val="00D32EF3"/>
    <w:rsid w:val="00D33197"/>
    <w:rsid w:val="00D331CB"/>
    <w:rsid w:val="00D332A6"/>
    <w:rsid w:val="00D332C8"/>
    <w:rsid w:val="00D334B2"/>
    <w:rsid w:val="00D335A7"/>
    <w:rsid w:val="00D3367A"/>
    <w:rsid w:val="00D339E0"/>
    <w:rsid w:val="00D33A1E"/>
    <w:rsid w:val="00D33A34"/>
    <w:rsid w:val="00D33C3F"/>
    <w:rsid w:val="00D33D66"/>
    <w:rsid w:val="00D34194"/>
    <w:rsid w:val="00D341B3"/>
    <w:rsid w:val="00D34279"/>
    <w:rsid w:val="00D3451E"/>
    <w:rsid w:val="00D34886"/>
    <w:rsid w:val="00D34B83"/>
    <w:rsid w:val="00D34C6F"/>
    <w:rsid w:val="00D34C72"/>
    <w:rsid w:val="00D34E90"/>
    <w:rsid w:val="00D34EAE"/>
    <w:rsid w:val="00D350BF"/>
    <w:rsid w:val="00D350CB"/>
    <w:rsid w:val="00D351F3"/>
    <w:rsid w:val="00D35243"/>
    <w:rsid w:val="00D352AF"/>
    <w:rsid w:val="00D35363"/>
    <w:rsid w:val="00D35488"/>
    <w:rsid w:val="00D354F8"/>
    <w:rsid w:val="00D3552E"/>
    <w:rsid w:val="00D35562"/>
    <w:rsid w:val="00D355A4"/>
    <w:rsid w:val="00D35841"/>
    <w:rsid w:val="00D358AF"/>
    <w:rsid w:val="00D35A26"/>
    <w:rsid w:val="00D35AFD"/>
    <w:rsid w:val="00D35BE0"/>
    <w:rsid w:val="00D35CB7"/>
    <w:rsid w:val="00D35DB2"/>
    <w:rsid w:val="00D35E7A"/>
    <w:rsid w:val="00D3634E"/>
    <w:rsid w:val="00D36381"/>
    <w:rsid w:val="00D363B5"/>
    <w:rsid w:val="00D36518"/>
    <w:rsid w:val="00D365DD"/>
    <w:rsid w:val="00D36653"/>
    <w:rsid w:val="00D3680E"/>
    <w:rsid w:val="00D368C8"/>
    <w:rsid w:val="00D36A03"/>
    <w:rsid w:val="00D36C47"/>
    <w:rsid w:val="00D36D1A"/>
    <w:rsid w:val="00D376F5"/>
    <w:rsid w:val="00D37739"/>
    <w:rsid w:val="00D3775E"/>
    <w:rsid w:val="00D379B5"/>
    <w:rsid w:val="00D37AC2"/>
    <w:rsid w:val="00D37DE5"/>
    <w:rsid w:val="00D40249"/>
    <w:rsid w:val="00D40444"/>
    <w:rsid w:val="00D40502"/>
    <w:rsid w:val="00D407C9"/>
    <w:rsid w:val="00D40915"/>
    <w:rsid w:val="00D40AE8"/>
    <w:rsid w:val="00D40B5D"/>
    <w:rsid w:val="00D40C03"/>
    <w:rsid w:val="00D40DB0"/>
    <w:rsid w:val="00D40F2D"/>
    <w:rsid w:val="00D410B0"/>
    <w:rsid w:val="00D4126A"/>
    <w:rsid w:val="00D413C7"/>
    <w:rsid w:val="00D41445"/>
    <w:rsid w:val="00D414AF"/>
    <w:rsid w:val="00D414C0"/>
    <w:rsid w:val="00D41545"/>
    <w:rsid w:val="00D41669"/>
    <w:rsid w:val="00D41672"/>
    <w:rsid w:val="00D416C8"/>
    <w:rsid w:val="00D417C5"/>
    <w:rsid w:val="00D417F6"/>
    <w:rsid w:val="00D41BD8"/>
    <w:rsid w:val="00D41E6B"/>
    <w:rsid w:val="00D41F32"/>
    <w:rsid w:val="00D41F80"/>
    <w:rsid w:val="00D4211D"/>
    <w:rsid w:val="00D42188"/>
    <w:rsid w:val="00D4223B"/>
    <w:rsid w:val="00D422FF"/>
    <w:rsid w:val="00D424CA"/>
    <w:rsid w:val="00D42540"/>
    <w:rsid w:val="00D42A2F"/>
    <w:rsid w:val="00D43120"/>
    <w:rsid w:val="00D4336F"/>
    <w:rsid w:val="00D43406"/>
    <w:rsid w:val="00D43500"/>
    <w:rsid w:val="00D43890"/>
    <w:rsid w:val="00D43A00"/>
    <w:rsid w:val="00D43B87"/>
    <w:rsid w:val="00D43C34"/>
    <w:rsid w:val="00D43C69"/>
    <w:rsid w:val="00D43E23"/>
    <w:rsid w:val="00D43F60"/>
    <w:rsid w:val="00D441C1"/>
    <w:rsid w:val="00D441C9"/>
    <w:rsid w:val="00D44276"/>
    <w:rsid w:val="00D44396"/>
    <w:rsid w:val="00D443D0"/>
    <w:rsid w:val="00D4458B"/>
    <w:rsid w:val="00D446E4"/>
    <w:rsid w:val="00D44BD5"/>
    <w:rsid w:val="00D44DE6"/>
    <w:rsid w:val="00D450B5"/>
    <w:rsid w:val="00D45163"/>
    <w:rsid w:val="00D45265"/>
    <w:rsid w:val="00D456C4"/>
    <w:rsid w:val="00D45A29"/>
    <w:rsid w:val="00D45B56"/>
    <w:rsid w:val="00D45C02"/>
    <w:rsid w:val="00D45CA1"/>
    <w:rsid w:val="00D45D5D"/>
    <w:rsid w:val="00D45E30"/>
    <w:rsid w:val="00D4603E"/>
    <w:rsid w:val="00D46331"/>
    <w:rsid w:val="00D4634C"/>
    <w:rsid w:val="00D46573"/>
    <w:rsid w:val="00D465A2"/>
    <w:rsid w:val="00D46818"/>
    <w:rsid w:val="00D46846"/>
    <w:rsid w:val="00D46881"/>
    <w:rsid w:val="00D46A23"/>
    <w:rsid w:val="00D46A54"/>
    <w:rsid w:val="00D46B69"/>
    <w:rsid w:val="00D46D8A"/>
    <w:rsid w:val="00D46E68"/>
    <w:rsid w:val="00D46FA5"/>
    <w:rsid w:val="00D472E6"/>
    <w:rsid w:val="00D475D9"/>
    <w:rsid w:val="00D47639"/>
    <w:rsid w:val="00D47780"/>
    <w:rsid w:val="00D47DDF"/>
    <w:rsid w:val="00D50142"/>
    <w:rsid w:val="00D50154"/>
    <w:rsid w:val="00D5031A"/>
    <w:rsid w:val="00D5041D"/>
    <w:rsid w:val="00D5049E"/>
    <w:rsid w:val="00D50658"/>
    <w:rsid w:val="00D507E1"/>
    <w:rsid w:val="00D50AD3"/>
    <w:rsid w:val="00D50B48"/>
    <w:rsid w:val="00D50C53"/>
    <w:rsid w:val="00D50C67"/>
    <w:rsid w:val="00D50CD2"/>
    <w:rsid w:val="00D50CE5"/>
    <w:rsid w:val="00D50F79"/>
    <w:rsid w:val="00D51176"/>
    <w:rsid w:val="00D513F8"/>
    <w:rsid w:val="00D51744"/>
    <w:rsid w:val="00D51A99"/>
    <w:rsid w:val="00D51B77"/>
    <w:rsid w:val="00D51CAB"/>
    <w:rsid w:val="00D51D30"/>
    <w:rsid w:val="00D51DBA"/>
    <w:rsid w:val="00D51F33"/>
    <w:rsid w:val="00D52126"/>
    <w:rsid w:val="00D5233A"/>
    <w:rsid w:val="00D5238E"/>
    <w:rsid w:val="00D523C8"/>
    <w:rsid w:val="00D52425"/>
    <w:rsid w:val="00D524DC"/>
    <w:rsid w:val="00D524E8"/>
    <w:rsid w:val="00D52600"/>
    <w:rsid w:val="00D52622"/>
    <w:rsid w:val="00D52786"/>
    <w:rsid w:val="00D5287D"/>
    <w:rsid w:val="00D528CA"/>
    <w:rsid w:val="00D52B79"/>
    <w:rsid w:val="00D52CBD"/>
    <w:rsid w:val="00D530A3"/>
    <w:rsid w:val="00D53237"/>
    <w:rsid w:val="00D532F9"/>
    <w:rsid w:val="00D534F4"/>
    <w:rsid w:val="00D5369D"/>
    <w:rsid w:val="00D53A89"/>
    <w:rsid w:val="00D53B1A"/>
    <w:rsid w:val="00D53BD7"/>
    <w:rsid w:val="00D53E0B"/>
    <w:rsid w:val="00D540CE"/>
    <w:rsid w:val="00D541D1"/>
    <w:rsid w:val="00D5425F"/>
    <w:rsid w:val="00D542AC"/>
    <w:rsid w:val="00D543CD"/>
    <w:rsid w:val="00D54640"/>
    <w:rsid w:val="00D54937"/>
    <w:rsid w:val="00D54A35"/>
    <w:rsid w:val="00D54A96"/>
    <w:rsid w:val="00D54DCF"/>
    <w:rsid w:val="00D54E37"/>
    <w:rsid w:val="00D54F67"/>
    <w:rsid w:val="00D550AE"/>
    <w:rsid w:val="00D55385"/>
    <w:rsid w:val="00D554B7"/>
    <w:rsid w:val="00D554C4"/>
    <w:rsid w:val="00D55595"/>
    <w:rsid w:val="00D5574E"/>
    <w:rsid w:val="00D558B4"/>
    <w:rsid w:val="00D5599C"/>
    <w:rsid w:val="00D55F47"/>
    <w:rsid w:val="00D56037"/>
    <w:rsid w:val="00D56237"/>
    <w:rsid w:val="00D5625B"/>
    <w:rsid w:val="00D562AF"/>
    <w:rsid w:val="00D56316"/>
    <w:rsid w:val="00D56348"/>
    <w:rsid w:val="00D563E0"/>
    <w:rsid w:val="00D5653F"/>
    <w:rsid w:val="00D56680"/>
    <w:rsid w:val="00D5672E"/>
    <w:rsid w:val="00D567B9"/>
    <w:rsid w:val="00D569DD"/>
    <w:rsid w:val="00D56A0D"/>
    <w:rsid w:val="00D56AD0"/>
    <w:rsid w:val="00D56C56"/>
    <w:rsid w:val="00D56CCA"/>
    <w:rsid w:val="00D56D5A"/>
    <w:rsid w:val="00D56DDA"/>
    <w:rsid w:val="00D56E6C"/>
    <w:rsid w:val="00D57004"/>
    <w:rsid w:val="00D57095"/>
    <w:rsid w:val="00D57202"/>
    <w:rsid w:val="00D57335"/>
    <w:rsid w:val="00D57771"/>
    <w:rsid w:val="00D57B74"/>
    <w:rsid w:val="00D57B97"/>
    <w:rsid w:val="00D57BDE"/>
    <w:rsid w:val="00D57D1D"/>
    <w:rsid w:val="00D57F68"/>
    <w:rsid w:val="00D57F69"/>
    <w:rsid w:val="00D60072"/>
    <w:rsid w:val="00D60472"/>
    <w:rsid w:val="00D6084F"/>
    <w:rsid w:val="00D609FF"/>
    <w:rsid w:val="00D60AFE"/>
    <w:rsid w:val="00D60D0C"/>
    <w:rsid w:val="00D61268"/>
    <w:rsid w:val="00D6152E"/>
    <w:rsid w:val="00D6160E"/>
    <w:rsid w:val="00D61676"/>
    <w:rsid w:val="00D6176A"/>
    <w:rsid w:val="00D61945"/>
    <w:rsid w:val="00D61A2D"/>
    <w:rsid w:val="00D61BA5"/>
    <w:rsid w:val="00D61D31"/>
    <w:rsid w:val="00D62443"/>
    <w:rsid w:val="00D626AF"/>
    <w:rsid w:val="00D62726"/>
    <w:rsid w:val="00D627B5"/>
    <w:rsid w:val="00D6293C"/>
    <w:rsid w:val="00D629CC"/>
    <w:rsid w:val="00D629FF"/>
    <w:rsid w:val="00D62AE1"/>
    <w:rsid w:val="00D62D8D"/>
    <w:rsid w:val="00D62DA3"/>
    <w:rsid w:val="00D62E13"/>
    <w:rsid w:val="00D62F28"/>
    <w:rsid w:val="00D631D1"/>
    <w:rsid w:val="00D6326E"/>
    <w:rsid w:val="00D63367"/>
    <w:rsid w:val="00D63427"/>
    <w:rsid w:val="00D63535"/>
    <w:rsid w:val="00D63549"/>
    <w:rsid w:val="00D63668"/>
    <w:rsid w:val="00D63770"/>
    <w:rsid w:val="00D63830"/>
    <w:rsid w:val="00D639F6"/>
    <w:rsid w:val="00D63DE3"/>
    <w:rsid w:val="00D642AC"/>
    <w:rsid w:val="00D642EC"/>
    <w:rsid w:val="00D645ED"/>
    <w:rsid w:val="00D6466A"/>
    <w:rsid w:val="00D64AC2"/>
    <w:rsid w:val="00D64AD1"/>
    <w:rsid w:val="00D6561B"/>
    <w:rsid w:val="00D65665"/>
    <w:rsid w:val="00D6574E"/>
    <w:rsid w:val="00D6580C"/>
    <w:rsid w:val="00D658EA"/>
    <w:rsid w:val="00D659B3"/>
    <w:rsid w:val="00D65E9D"/>
    <w:rsid w:val="00D65FA0"/>
    <w:rsid w:val="00D6610D"/>
    <w:rsid w:val="00D6615E"/>
    <w:rsid w:val="00D6615F"/>
    <w:rsid w:val="00D66291"/>
    <w:rsid w:val="00D663B9"/>
    <w:rsid w:val="00D66493"/>
    <w:rsid w:val="00D664EC"/>
    <w:rsid w:val="00D66710"/>
    <w:rsid w:val="00D6688E"/>
    <w:rsid w:val="00D66982"/>
    <w:rsid w:val="00D669EB"/>
    <w:rsid w:val="00D66B40"/>
    <w:rsid w:val="00D66CA4"/>
    <w:rsid w:val="00D66F35"/>
    <w:rsid w:val="00D66F49"/>
    <w:rsid w:val="00D66FAD"/>
    <w:rsid w:val="00D670F1"/>
    <w:rsid w:val="00D6760B"/>
    <w:rsid w:val="00D6777E"/>
    <w:rsid w:val="00D67A45"/>
    <w:rsid w:val="00D67C0D"/>
    <w:rsid w:val="00D67CAC"/>
    <w:rsid w:val="00D7017C"/>
    <w:rsid w:val="00D702DF"/>
    <w:rsid w:val="00D702F7"/>
    <w:rsid w:val="00D704BF"/>
    <w:rsid w:val="00D706AE"/>
    <w:rsid w:val="00D70BC9"/>
    <w:rsid w:val="00D711AB"/>
    <w:rsid w:val="00D71327"/>
    <w:rsid w:val="00D71615"/>
    <w:rsid w:val="00D71623"/>
    <w:rsid w:val="00D717D1"/>
    <w:rsid w:val="00D7188F"/>
    <w:rsid w:val="00D71A30"/>
    <w:rsid w:val="00D71AC6"/>
    <w:rsid w:val="00D71B12"/>
    <w:rsid w:val="00D71B3D"/>
    <w:rsid w:val="00D71B65"/>
    <w:rsid w:val="00D71C48"/>
    <w:rsid w:val="00D71E6F"/>
    <w:rsid w:val="00D71EE2"/>
    <w:rsid w:val="00D71F1C"/>
    <w:rsid w:val="00D71F4B"/>
    <w:rsid w:val="00D71F8F"/>
    <w:rsid w:val="00D72250"/>
    <w:rsid w:val="00D7226F"/>
    <w:rsid w:val="00D723EA"/>
    <w:rsid w:val="00D72622"/>
    <w:rsid w:val="00D726C4"/>
    <w:rsid w:val="00D72759"/>
    <w:rsid w:val="00D727B5"/>
    <w:rsid w:val="00D7292E"/>
    <w:rsid w:val="00D72961"/>
    <w:rsid w:val="00D72A85"/>
    <w:rsid w:val="00D72E58"/>
    <w:rsid w:val="00D72F8B"/>
    <w:rsid w:val="00D7300C"/>
    <w:rsid w:val="00D7336D"/>
    <w:rsid w:val="00D7351E"/>
    <w:rsid w:val="00D73546"/>
    <w:rsid w:val="00D736F3"/>
    <w:rsid w:val="00D7377C"/>
    <w:rsid w:val="00D737BD"/>
    <w:rsid w:val="00D73ECC"/>
    <w:rsid w:val="00D740AA"/>
    <w:rsid w:val="00D740D4"/>
    <w:rsid w:val="00D74211"/>
    <w:rsid w:val="00D74222"/>
    <w:rsid w:val="00D7439B"/>
    <w:rsid w:val="00D743AF"/>
    <w:rsid w:val="00D74455"/>
    <w:rsid w:val="00D744F4"/>
    <w:rsid w:val="00D745C3"/>
    <w:rsid w:val="00D7484D"/>
    <w:rsid w:val="00D74A81"/>
    <w:rsid w:val="00D74A9F"/>
    <w:rsid w:val="00D74CE8"/>
    <w:rsid w:val="00D74E5D"/>
    <w:rsid w:val="00D74FFE"/>
    <w:rsid w:val="00D75142"/>
    <w:rsid w:val="00D752BB"/>
    <w:rsid w:val="00D752F4"/>
    <w:rsid w:val="00D75488"/>
    <w:rsid w:val="00D754A3"/>
    <w:rsid w:val="00D7583B"/>
    <w:rsid w:val="00D758C8"/>
    <w:rsid w:val="00D758EB"/>
    <w:rsid w:val="00D75938"/>
    <w:rsid w:val="00D759B5"/>
    <w:rsid w:val="00D75C9A"/>
    <w:rsid w:val="00D75CB5"/>
    <w:rsid w:val="00D75CC9"/>
    <w:rsid w:val="00D75D98"/>
    <w:rsid w:val="00D75DC4"/>
    <w:rsid w:val="00D75DF5"/>
    <w:rsid w:val="00D75EE0"/>
    <w:rsid w:val="00D7625D"/>
    <w:rsid w:val="00D76853"/>
    <w:rsid w:val="00D769AB"/>
    <w:rsid w:val="00D76B89"/>
    <w:rsid w:val="00D76C9C"/>
    <w:rsid w:val="00D76CC1"/>
    <w:rsid w:val="00D76EC5"/>
    <w:rsid w:val="00D76F52"/>
    <w:rsid w:val="00D7712B"/>
    <w:rsid w:val="00D772BB"/>
    <w:rsid w:val="00D77542"/>
    <w:rsid w:val="00D777CA"/>
    <w:rsid w:val="00D7788B"/>
    <w:rsid w:val="00D77903"/>
    <w:rsid w:val="00D77A39"/>
    <w:rsid w:val="00D77B6E"/>
    <w:rsid w:val="00D77B75"/>
    <w:rsid w:val="00D77C37"/>
    <w:rsid w:val="00D77DBE"/>
    <w:rsid w:val="00D77E84"/>
    <w:rsid w:val="00D77F41"/>
    <w:rsid w:val="00D80050"/>
    <w:rsid w:val="00D800E1"/>
    <w:rsid w:val="00D804F1"/>
    <w:rsid w:val="00D80FF4"/>
    <w:rsid w:val="00D810AC"/>
    <w:rsid w:val="00D81284"/>
    <w:rsid w:val="00D8132C"/>
    <w:rsid w:val="00D813D2"/>
    <w:rsid w:val="00D81405"/>
    <w:rsid w:val="00D815B4"/>
    <w:rsid w:val="00D815D1"/>
    <w:rsid w:val="00D818AC"/>
    <w:rsid w:val="00D81B00"/>
    <w:rsid w:val="00D81D9D"/>
    <w:rsid w:val="00D823E0"/>
    <w:rsid w:val="00D82500"/>
    <w:rsid w:val="00D827EE"/>
    <w:rsid w:val="00D82E7F"/>
    <w:rsid w:val="00D8317F"/>
    <w:rsid w:val="00D832B0"/>
    <w:rsid w:val="00D8340B"/>
    <w:rsid w:val="00D83497"/>
    <w:rsid w:val="00D834F5"/>
    <w:rsid w:val="00D8364E"/>
    <w:rsid w:val="00D838E5"/>
    <w:rsid w:val="00D83995"/>
    <w:rsid w:val="00D83AFB"/>
    <w:rsid w:val="00D83B49"/>
    <w:rsid w:val="00D83B61"/>
    <w:rsid w:val="00D83C8C"/>
    <w:rsid w:val="00D83FF4"/>
    <w:rsid w:val="00D84045"/>
    <w:rsid w:val="00D84103"/>
    <w:rsid w:val="00D84265"/>
    <w:rsid w:val="00D844F8"/>
    <w:rsid w:val="00D84903"/>
    <w:rsid w:val="00D84C5E"/>
    <w:rsid w:val="00D84E79"/>
    <w:rsid w:val="00D84EB3"/>
    <w:rsid w:val="00D84EC1"/>
    <w:rsid w:val="00D84F6D"/>
    <w:rsid w:val="00D84F8A"/>
    <w:rsid w:val="00D85328"/>
    <w:rsid w:val="00D8539C"/>
    <w:rsid w:val="00D855E1"/>
    <w:rsid w:val="00D85614"/>
    <w:rsid w:val="00D85755"/>
    <w:rsid w:val="00D8598A"/>
    <w:rsid w:val="00D859C1"/>
    <w:rsid w:val="00D85B19"/>
    <w:rsid w:val="00D85C0A"/>
    <w:rsid w:val="00D85C8B"/>
    <w:rsid w:val="00D85FF4"/>
    <w:rsid w:val="00D86023"/>
    <w:rsid w:val="00D860D1"/>
    <w:rsid w:val="00D864CD"/>
    <w:rsid w:val="00D86635"/>
    <w:rsid w:val="00D86767"/>
    <w:rsid w:val="00D867FF"/>
    <w:rsid w:val="00D8682C"/>
    <w:rsid w:val="00D8698C"/>
    <w:rsid w:val="00D869A2"/>
    <w:rsid w:val="00D869F2"/>
    <w:rsid w:val="00D86BC8"/>
    <w:rsid w:val="00D86C03"/>
    <w:rsid w:val="00D86C49"/>
    <w:rsid w:val="00D87838"/>
    <w:rsid w:val="00D879D4"/>
    <w:rsid w:val="00D87B0A"/>
    <w:rsid w:val="00D87F2C"/>
    <w:rsid w:val="00D90156"/>
    <w:rsid w:val="00D901D5"/>
    <w:rsid w:val="00D9024B"/>
    <w:rsid w:val="00D9028F"/>
    <w:rsid w:val="00D90325"/>
    <w:rsid w:val="00D903D4"/>
    <w:rsid w:val="00D90535"/>
    <w:rsid w:val="00D906E7"/>
    <w:rsid w:val="00D9084B"/>
    <w:rsid w:val="00D909C1"/>
    <w:rsid w:val="00D90D93"/>
    <w:rsid w:val="00D90DB9"/>
    <w:rsid w:val="00D90E85"/>
    <w:rsid w:val="00D90E9B"/>
    <w:rsid w:val="00D90FE7"/>
    <w:rsid w:val="00D9115D"/>
    <w:rsid w:val="00D91185"/>
    <w:rsid w:val="00D912A6"/>
    <w:rsid w:val="00D91372"/>
    <w:rsid w:val="00D914CA"/>
    <w:rsid w:val="00D9167C"/>
    <w:rsid w:val="00D91712"/>
    <w:rsid w:val="00D918AC"/>
    <w:rsid w:val="00D918B0"/>
    <w:rsid w:val="00D91966"/>
    <w:rsid w:val="00D9198C"/>
    <w:rsid w:val="00D91B97"/>
    <w:rsid w:val="00D91D8B"/>
    <w:rsid w:val="00D91D90"/>
    <w:rsid w:val="00D91FF0"/>
    <w:rsid w:val="00D920E0"/>
    <w:rsid w:val="00D920F1"/>
    <w:rsid w:val="00D92124"/>
    <w:rsid w:val="00D92125"/>
    <w:rsid w:val="00D92453"/>
    <w:rsid w:val="00D92955"/>
    <w:rsid w:val="00D929F7"/>
    <w:rsid w:val="00D92A5C"/>
    <w:rsid w:val="00D92A7C"/>
    <w:rsid w:val="00D930F6"/>
    <w:rsid w:val="00D93121"/>
    <w:rsid w:val="00D93165"/>
    <w:rsid w:val="00D93215"/>
    <w:rsid w:val="00D9326C"/>
    <w:rsid w:val="00D9327C"/>
    <w:rsid w:val="00D933F9"/>
    <w:rsid w:val="00D9350D"/>
    <w:rsid w:val="00D936C5"/>
    <w:rsid w:val="00D9391E"/>
    <w:rsid w:val="00D93B05"/>
    <w:rsid w:val="00D93CBC"/>
    <w:rsid w:val="00D93E47"/>
    <w:rsid w:val="00D94070"/>
    <w:rsid w:val="00D94075"/>
    <w:rsid w:val="00D941EC"/>
    <w:rsid w:val="00D9446F"/>
    <w:rsid w:val="00D94E2C"/>
    <w:rsid w:val="00D94EE7"/>
    <w:rsid w:val="00D953EB"/>
    <w:rsid w:val="00D9540C"/>
    <w:rsid w:val="00D954F0"/>
    <w:rsid w:val="00D957C4"/>
    <w:rsid w:val="00D95B6A"/>
    <w:rsid w:val="00D95BA2"/>
    <w:rsid w:val="00D95CB2"/>
    <w:rsid w:val="00D962DC"/>
    <w:rsid w:val="00D96359"/>
    <w:rsid w:val="00D964AF"/>
    <w:rsid w:val="00D96620"/>
    <w:rsid w:val="00D9669C"/>
    <w:rsid w:val="00D969C7"/>
    <w:rsid w:val="00D96A3E"/>
    <w:rsid w:val="00D96B9E"/>
    <w:rsid w:val="00D96C2D"/>
    <w:rsid w:val="00D96C6F"/>
    <w:rsid w:val="00D96F17"/>
    <w:rsid w:val="00D96FD4"/>
    <w:rsid w:val="00D9716F"/>
    <w:rsid w:val="00D973BA"/>
    <w:rsid w:val="00D975ED"/>
    <w:rsid w:val="00D9761C"/>
    <w:rsid w:val="00D97982"/>
    <w:rsid w:val="00D979AF"/>
    <w:rsid w:val="00D979B3"/>
    <w:rsid w:val="00D979EA"/>
    <w:rsid w:val="00D97AE9"/>
    <w:rsid w:val="00D97C65"/>
    <w:rsid w:val="00D97D75"/>
    <w:rsid w:val="00D97DC6"/>
    <w:rsid w:val="00D97EAE"/>
    <w:rsid w:val="00DA0661"/>
    <w:rsid w:val="00DA07C3"/>
    <w:rsid w:val="00DA0920"/>
    <w:rsid w:val="00DA0A0E"/>
    <w:rsid w:val="00DA0BD9"/>
    <w:rsid w:val="00DA0CF1"/>
    <w:rsid w:val="00DA0D29"/>
    <w:rsid w:val="00DA0E73"/>
    <w:rsid w:val="00DA0E9E"/>
    <w:rsid w:val="00DA0F19"/>
    <w:rsid w:val="00DA0FBE"/>
    <w:rsid w:val="00DA1067"/>
    <w:rsid w:val="00DA135C"/>
    <w:rsid w:val="00DA13E8"/>
    <w:rsid w:val="00DA16FF"/>
    <w:rsid w:val="00DA1714"/>
    <w:rsid w:val="00DA1735"/>
    <w:rsid w:val="00DA18CD"/>
    <w:rsid w:val="00DA1D13"/>
    <w:rsid w:val="00DA1E7F"/>
    <w:rsid w:val="00DA1EAA"/>
    <w:rsid w:val="00DA1F0C"/>
    <w:rsid w:val="00DA1F4F"/>
    <w:rsid w:val="00DA2002"/>
    <w:rsid w:val="00DA2030"/>
    <w:rsid w:val="00DA206B"/>
    <w:rsid w:val="00DA2421"/>
    <w:rsid w:val="00DA26E1"/>
    <w:rsid w:val="00DA28C6"/>
    <w:rsid w:val="00DA29C8"/>
    <w:rsid w:val="00DA29D6"/>
    <w:rsid w:val="00DA2B99"/>
    <w:rsid w:val="00DA2CD3"/>
    <w:rsid w:val="00DA3166"/>
    <w:rsid w:val="00DA326C"/>
    <w:rsid w:val="00DA329F"/>
    <w:rsid w:val="00DA33C9"/>
    <w:rsid w:val="00DA34B9"/>
    <w:rsid w:val="00DA37D2"/>
    <w:rsid w:val="00DA3835"/>
    <w:rsid w:val="00DA3846"/>
    <w:rsid w:val="00DA38D6"/>
    <w:rsid w:val="00DA3950"/>
    <w:rsid w:val="00DA42DB"/>
    <w:rsid w:val="00DA443D"/>
    <w:rsid w:val="00DA44FB"/>
    <w:rsid w:val="00DA4623"/>
    <w:rsid w:val="00DA464B"/>
    <w:rsid w:val="00DA46AD"/>
    <w:rsid w:val="00DA48C7"/>
    <w:rsid w:val="00DA48E6"/>
    <w:rsid w:val="00DA4C10"/>
    <w:rsid w:val="00DA4CA6"/>
    <w:rsid w:val="00DA5145"/>
    <w:rsid w:val="00DA5301"/>
    <w:rsid w:val="00DA5374"/>
    <w:rsid w:val="00DA5501"/>
    <w:rsid w:val="00DA5599"/>
    <w:rsid w:val="00DA55B0"/>
    <w:rsid w:val="00DA5655"/>
    <w:rsid w:val="00DA56EF"/>
    <w:rsid w:val="00DA57A1"/>
    <w:rsid w:val="00DA5C31"/>
    <w:rsid w:val="00DA5C68"/>
    <w:rsid w:val="00DA6398"/>
    <w:rsid w:val="00DA647D"/>
    <w:rsid w:val="00DA64A5"/>
    <w:rsid w:val="00DA6525"/>
    <w:rsid w:val="00DA653C"/>
    <w:rsid w:val="00DA66C9"/>
    <w:rsid w:val="00DA6AF9"/>
    <w:rsid w:val="00DA6BD7"/>
    <w:rsid w:val="00DA6CDA"/>
    <w:rsid w:val="00DA6D3C"/>
    <w:rsid w:val="00DA6EF1"/>
    <w:rsid w:val="00DA6F29"/>
    <w:rsid w:val="00DA72CB"/>
    <w:rsid w:val="00DA7385"/>
    <w:rsid w:val="00DA73F0"/>
    <w:rsid w:val="00DA750F"/>
    <w:rsid w:val="00DA78EF"/>
    <w:rsid w:val="00DA7CA8"/>
    <w:rsid w:val="00DA7D17"/>
    <w:rsid w:val="00DB0140"/>
    <w:rsid w:val="00DB03D4"/>
    <w:rsid w:val="00DB04E8"/>
    <w:rsid w:val="00DB0631"/>
    <w:rsid w:val="00DB0670"/>
    <w:rsid w:val="00DB0813"/>
    <w:rsid w:val="00DB09D9"/>
    <w:rsid w:val="00DB12B1"/>
    <w:rsid w:val="00DB133B"/>
    <w:rsid w:val="00DB14A6"/>
    <w:rsid w:val="00DB162D"/>
    <w:rsid w:val="00DB1738"/>
    <w:rsid w:val="00DB196C"/>
    <w:rsid w:val="00DB19CA"/>
    <w:rsid w:val="00DB19FF"/>
    <w:rsid w:val="00DB1EA0"/>
    <w:rsid w:val="00DB1ED4"/>
    <w:rsid w:val="00DB1F63"/>
    <w:rsid w:val="00DB1FC7"/>
    <w:rsid w:val="00DB200B"/>
    <w:rsid w:val="00DB2018"/>
    <w:rsid w:val="00DB2070"/>
    <w:rsid w:val="00DB2085"/>
    <w:rsid w:val="00DB2153"/>
    <w:rsid w:val="00DB21D4"/>
    <w:rsid w:val="00DB23F3"/>
    <w:rsid w:val="00DB249D"/>
    <w:rsid w:val="00DB2584"/>
    <w:rsid w:val="00DB26A6"/>
    <w:rsid w:val="00DB2799"/>
    <w:rsid w:val="00DB288C"/>
    <w:rsid w:val="00DB2938"/>
    <w:rsid w:val="00DB295F"/>
    <w:rsid w:val="00DB2AB6"/>
    <w:rsid w:val="00DB2B4D"/>
    <w:rsid w:val="00DB2E4D"/>
    <w:rsid w:val="00DB3370"/>
    <w:rsid w:val="00DB36ED"/>
    <w:rsid w:val="00DB3712"/>
    <w:rsid w:val="00DB3761"/>
    <w:rsid w:val="00DB37BE"/>
    <w:rsid w:val="00DB37C3"/>
    <w:rsid w:val="00DB3850"/>
    <w:rsid w:val="00DB3E57"/>
    <w:rsid w:val="00DB3EBD"/>
    <w:rsid w:val="00DB3F2A"/>
    <w:rsid w:val="00DB40BE"/>
    <w:rsid w:val="00DB4246"/>
    <w:rsid w:val="00DB42F7"/>
    <w:rsid w:val="00DB4397"/>
    <w:rsid w:val="00DB444E"/>
    <w:rsid w:val="00DB44B9"/>
    <w:rsid w:val="00DB4684"/>
    <w:rsid w:val="00DB4BCB"/>
    <w:rsid w:val="00DB4C0C"/>
    <w:rsid w:val="00DB4D1A"/>
    <w:rsid w:val="00DB4E60"/>
    <w:rsid w:val="00DB5139"/>
    <w:rsid w:val="00DB51C5"/>
    <w:rsid w:val="00DB531F"/>
    <w:rsid w:val="00DB534C"/>
    <w:rsid w:val="00DB53B3"/>
    <w:rsid w:val="00DB5420"/>
    <w:rsid w:val="00DB550C"/>
    <w:rsid w:val="00DB550F"/>
    <w:rsid w:val="00DB55C3"/>
    <w:rsid w:val="00DB5657"/>
    <w:rsid w:val="00DB5661"/>
    <w:rsid w:val="00DB5797"/>
    <w:rsid w:val="00DB5AC7"/>
    <w:rsid w:val="00DB5C3A"/>
    <w:rsid w:val="00DB5CF1"/>
    <w:rsid w:val="00DB5FFD"/>
    <w:rsid w:val="00DB6132"/>
    <w:rsid w:val="00DB6160"/>
    <w:rsid w:val="00DB6199"/>
    <w:rsid w:val="00DB652E"/>
    <w:rsid w:val="00DB6768"/>
    <w:rsid w:val="00DB69C8"/>
    <w:rsid w:val="00DB6A44"/>
    <w:rsid w:val="00DB6ABA"/>
    <w:rsid w:val="00DB6BC9"/>
    <w:rsid w:val="00DB6C2E"/>
    <w:rsid w:val="00DB6D5E"/>
    <w:rsid w:val="00DB6EDB"/>
    <w:rsid w:val="00DB6EE7"/>
    <w:rsid w:val="00DB6FF1"/>
    <w:rsid w:val="00DB70B7"/>
    <w:rsid w:val="00DB732B"/>
    <w:rsid w:val="00DB7684"/>
    <w:rsid w:val="00DB7701"/>
    <w:rsid w:val="00DB775C"/>
    <w:rsid w:val="00DB7821"/>
    <w:rsid w:val="00DB7BCE"/>
    <w:rsid w:val="00DC0123"/>
    <w:rsid w:val="00DC02B5"/>
    <w:rsid w:val="00DC02F6"/>
    <w:rsid w:val="00DC0323"/>
    <w:rsid w:val="00DC0498"/>
    <w:rsid w:val="00DC059B"/>
    <w:rsid w:val="00DC05B3"/>
    <w:rsid w:val="00DC0896"/>
    <w:rsid w:val="00DC0900"/>
    <w:rsid w:val="00DC0A8E"/>
    <w:rsid w:val="00DC1071"/>
    <w:rsid w:val="00DC11F1"/>
    <w:rsid w:val="00DC13EB"/>
    <w:rsid w:val="00DC144A"/>
    <w:rsid w:val="00DC17B3"/>
    <w:rsid w:val="00DC182C"/>
    <w:rsid w:val="00DC18CE"/>
    <w:rsid w:val="00DC18EE"/>
    <w:rsid w:val="00DC1C43"/>
    <w:rsid w:val="00DC1D9D"/>
    <w:rsid w:val="00DC1FB1"/>
    <w:rsid w:val="00DC226E"/>
    <w:rsid w:val="00DC2461"/>
    <w:rsid w:val="00DC2632"/>
    <w:rsid w:val="00DC27CB"/>
    <w:rsid w:val="00DC2882"/>
    <w:rsid w:val="00DC2B6B"/>
    <w:rsid w:val="00DC2C54"/>
    <w:rsid w:val="00DC313C"/>
    <w:rsid w:val="00DC33D6"/>
    <w:rsid w:val="00DC3402"/>
    <w:rsid w:val="00DC3408"/>
    <w:rsid w:val="00DC347B"/>
    <w:rsid w:val="00DC36B3"/>
    <w:rsid w:val="00DC396B"/>
    <w:rsid w:val="00DC39BF"/>
    <w:rsid w:val="00DC3BF1"/>
    <w:rsid w:val="00DC3D05"/>
    <w:rsid w:val="00DC3E62"/>
    <w:rsid w:val="00DC3FF1"/>
    <w:rsid w:val="00DC4135"/>
    <w:rsid w:val="00DC4374"/>
    <w:rsid w:val="00DC4499"/>
    <w:rsid w:val="00DC44C0"/>
    <w:rsid w:val="00DC4B18"/>
    <w:rsid w:val="00DC4E90"/>
    <w:rsid w:val="00DC4EC7"/>
    <w:rsid w:val="00DC4F65"/>
    <w:rsid w:val="00DC4F8A"/>
    <w:rsid w:val="00DC4FF2"/>
    <w:rsid w:val="00DC5294"/>
    <w:rsid w:val="00DC5333"/>
    <w:rsid w:val="00DC53C8"/>
    <w:rsid w:val="00DC55FE"/>
    <w:rsid w:val="00DC5679"/>
    <w:rsid w:val="00DC5860"/>
    <w:rsid w:val="00DC5A1E"/>
    <w:rsid w:val="00DC6148"/>
    <w:rsid w:val="00DC6195"/>
    <w:rsid w:val="00DC6199"/>
    <w:rsid w:val="00DC64F8"/>
    <w:rsid w:val="00DC691C"/>
    <w:rsid w:val="00DC6A54"/>
    <w:rsid w:val="00DC6AB6"/>
    <w:rsid w:val="00DC6DBF"/>
    <w:rsid w:val="00DC7251"/>
    <w:rsid w:val="00DC72BC"/>
    <w:rsid w:val="00DC72BE"/>
    <w:rsid w:val="00DC7373"/>
    <w:rsid w:val="00DC745F"/>
    <w:rsid w:val="00DC75F6"/>
    <w:rsid w:val="00DC778D"/>
    <w:rsid w:val="00DC7811"/>
    <w:rsid w:val="00DC787E"/>
    <w:rsid w:val="00DC7A1B"/>
    <w:rsid w:val="00DC7C46"/>
    <w:rsid w:val="00DD000D"/>
    <w:rsid w:val="00DD044E"/>
    <w:rsid w:val="00DD049E"/>
    <w:rsid w:val="00DD0585"/>
    <w:rsid w:val="00DD0627"/>
    <w:rsid w:val="00DD075B"/>
    <w:rsid w:val="00DD0765"/>
    <w:rsid w:val="00DD0DAE"/>
    <w:rsid w:val="00DD10AC"/>
    <w:rsid w:val="00DD1291"/>
    <w:rsid w:val="00DD14D0"/>
    <w:rsid w:val="00DD17ED"/>
    <w:rsid w:val="00DD17F9"/>
    <w:rsid w:val="00DD1824"/>
    <w:rsid w:val="00DD182D"/>
    <w:rsid w:val="00DD19CC"/>
    <w:rsid w:val="00DD1FA4"/>
    <w:rsid w:val="00DD21E0"/>
    <w:rsid w:val="00DD231C"/>
    <w:rsid w:val="00DD233C"/>
    <w:rsid w:val="00DD23B6"/>
    <w:rsid w:val="00DD2449"/>
    <w:rsid w:val="00DD2814"/>
    <w:rsid w:val="00DD28CF"/>
    <w:rsid w:val="00DD2C2D"/>
    <w:rsid w:val="00DD2D3E"/>
    <w:rsid w:val="00DD2EF7"/>
    <w:rsid w:val="00DD30C3"/>
    <w:rsid w:val="00DD3151"/>
    <w:rsid w:val="00DD34F6"/>
    <w:rsid w:val="00DD35AC"/>
    <w:rsid w:val="00DD3647"/>
    <w:rsid w:val="00DD3667"/>
    <w:rsid w:val="00DD3D65"/>
    <w:rsid w:val="00DD3DB6"/>
    <w:rsid w:val="00DD3E3D"/>
    <w:rsid w:val="00DD405A"/>
    <w:rsid w:val="00DD4095"/>
    <w:rsid w:val="00DD4286"/>
    <w:rsid w:val="00DD43CB"/>
    <w:rsid w:val="00DD44BB"/>
    <w:rsid w:val="00DD4529"/>
    <w:rsid w:val="00DD47FA"/>
    <w:rsid w:val="00DD4802"/>
    <w:rsid w:val="00DD49E1"/>
    <w:rsid w:val="00DD49E7"/>
    <w:rsid w:val="00DD4F1C"/>
    <w:rsid w:val="00DD507D"/>
    <w:rsid w:val="00DD51AC"/>
    <w:rsid w:val="00DD5332"/>
    <w:rsid w:val="00DD53B3"/>
    <w:rsid w:val="00DD53B9"/>
    <w:rsid w:val="00DD5746"/>
    <w:rsid w:val="00DD5ADA"/>
    <w:rsid w:val="00DD5CE1"/>
    <w:rsid w:val="00DD6126"/>
    <w:rsid w:val="00DD6368"/>
    <w:rsid w:val="00DD6396"/>
    <w:rsid w:val="00DD6520"/>
    <w:rsid w:val="00DD6600"/>
    <w:rsid w:val="00DD66C9"/>
    <w:rsid w:val="00DD6DBC"/>
    <w:rsid w:val="00DD6F94"/>
    <w:rsid w:val="00DD7001"/>
    <w:rsid w:val="00DD7191"/>
    <w:rsid w:val="00DD7277"/>
    <w:rsid w:val="00DD73CB"/>
    <w:rsid w:val="00DD73F3"/>
    <w:rsid w:val="00DD7524"/>
    <w:rsid w:val="00DD766D"/>
    <w:rsid w:val="00DD76D9"/>
    <w:rsid w:val="00DD7716"/>
    <w:rsid w:val="00DD77E6"/>
    <w:rsid w:val="00DD7822"/>
    <w:rsid w:val="00DD787C"/>
    <w:rsid w:val="00DD78A4"/>
    <w:rsid w:val="00DD7907"/>
    <w:rsid w:val="00DD7B26"/>
    <w:rsid w:val="00DD7BE4"/>
    <w:rsid w:val="00DD7C25"/>
    <w:rsid w:val="00DD7EB2"/>
    <w:rsid w:val="00DD7FC0"/>
    <w:rsid w:val="00DE006B"/>
    <w:rsid w:val="00DE01AD"/>
    <w:rsid w:val="00DE01E8"/>
    <w:rsid w:val="00DE0348"/>
    <w:rsid w:val="00DE05B3"/>
    <w:rsid w:val="00DE0637"/>
    <w:rsid w:val="00DE06DB"/>
    <w:rsid w:val="00DE08D3"/>
    <w:rsid w:val="00DE0B90"/>
    <w:rsid w:val="00DE0EED"/>
    <w:rsid w:val="00DE12D4"/>
    <w:rsid w:val="00DE12DC"/>
    <w:rsid w:val="00DE13CA"/>
    <w:rsid w:val="00DE13F3"/>
    <w:rsid w:val="00DE14AC"/>
    <w:rsid w:val="00DE154A"/>
    <w:rsid w:val="00DE155D"/>
    <w:rsid w:val="00DE15DF"/>
    <w:rsid w:val="00DE16B9"/>
    <w:rsid w:val="00DE1844"/>
    <w:rsid w:val="00DE19EC"/>
    <w:rsid w:val="00DE1A47"/>
    <w:rsid w:val="00DE1CF5"/>
    <w:rsid w:val="00DE1E7E"/>
    <w:rsid w:val="00DE20E3"/>
    <w:rsid w:val="00DE23C3"/>
    <w:rsid w:val="00DE2512"/>
    <w:rsid w:val="00DE251F"/>
    <w:rsid w:val="00DE2527"/>
    <w:rsid w:val="00DE269D"/>
    <w:rsid w:val="00DE293F"/>
    <w:rsid w:val="00DE29B4"/>
    <w:rsid w:val="00DE2B2B"/>
    <w:rsid w:val="00DE2E4A"/>
    <w:rsid w:val="00DE2EE6"/>
    <w:rsid w:val="00DE2F98"/>
    <w:rsid w:val="00DE3073"/>
    <w:rsid w:val="00DE324E"/>
    <w:rsid w:val="00DE339C"/>
    <w:rsid w:val="00DE33A4"/>
    <w:rsid w:val="00DE340A"/>
    <w:rsid w:val="00DE342C"/>
    <w:rsid w:val="00DE345D"/>
    <w:rsid w:val="00DE363D"/>
    <w:rsid w:val="00DE37F5"/>
    <w:rsid w:val="00DE3971"/>
    <w:rsid w:val="00DE3D0C"/>
    <w:rsid w:val="00DE3E14"/>
    <w:rsid w:val="00DE3FF4"/>
    <w:rsid w:val="00DE4045"/>
    <w:rsid w:val="00DE405C"/>
    <w:rsid w:val="00DE41E7"/>
    <w:rsid w:val="00DE442A"/>
    <w:rsid w:val="00DE477F"/>
    <w:rsid w:val="00DE47A8"/>
    <w:rsid w:val="00DE48B0"/>
    <w:rsid w:val="00DE4986"/>
    <w:rsid w:val="00DE4A75"/>
    <w:rsid w:val="00DE4ACA"/>
    <w:rsid w:val="00DE4B3A"/>
    <w:rsid w:val="00DE4BBA"/>
    <w:rsid w:val="00DE4DBE"/>
    <w:rsid w:val="00DE511D"/>
    <w:rsid w:val="00DE51DA"/>
    <w:rsid w:val="00DE520B"/>
    <w:rsid w:val="00DE53B5"/>
    <w:rsid w:val="00DE53E2"/>
    <w:rsid w:val="00DE5618"/>
    <w:rsid w:val="00DE56B9"/>
    <w:rsid w:val="00DE57FB"/>
    <w:rsid w:val="00DE588E"/>
    <w:rsid w:val="00DE598B"/>
    <w:rsid w:val="00DE5B66"/>
    <w:rsid w:val="00DE5B82"/>
    <w:rsid w:val="00DE5F28"/>
    <w:rsid w:val="00DE5F7F"/>
    <w:rsid w:val="00DE60BF"/>
    <w:rsid w:val="00DE6275"/>
    <w:rsid w:val="00DE62BF"/>
    <w:rsid w:val="00DE62D0"/>
    <w:rsid w:val="00DE6526"/>
    <w:rsid w:val="00DE6530"/>
    <w:rsid w:val="00DE653B"/>
    <w:rsid w:val="00DE65E9"/>
    <w:rsid w:val="00DE6A10"/>
    <w:rsid w:val="00DE6B75"/>
    <w:rsid w:val="00DE6BBD"/>
    <w:rsid w:val="00DE6C03"/>
    <w:rsid w:val="00DE6E14"/>
    <w:rsid w:val="00DE6E18"/>
    <w:rsid w:val="00DE6E75"/>
    <w:rsid w:val="00DE74C3"/>
    <w:rsid w:val="00DE751F"/>
    <w:rsid w:val="00DE7775"/>
    <w:rsid w:val="00DE7AE8"/>
    <w:rsid w:val="00DE7B2B"/>
    <w:rsid w:val="00DE7B56"/>
    <w:rsid w:val="00DE7C7D"/>
    <w:rsid w:val="00DE7D41"/>
    <w:rsid w:val="00DE7DE9"/>
    <w:rsid w:val="00DE7E74"/>
    <w:rsid w:val="00DF00B8"/>
    <w:rsid w:val="00DF012B"/>
    <w:rsid w:val="00DF0145"/>
    <w:rsid w:val="00DF0328"/>
    <w:rsid w:val="00DF053B"/>
    <w:rsid w:val="00DF05BF"/>
    <w:rsid w:val="00DF0BEB"/>
    <w:rsid w:val="00DF0D23"/>
    <w:rsid w:val="00DF10D5"/>
    <w:rsid w:val="00DF121A"/>
    <w:rsid w:val="00DF1288"/>
    <w:rsid w:val="00DF143D"/>
    <w:rsid w:val="00DF14C7"/>
    <w:rsid w:val="00DF15D2"/>
    <w:rsid w:val="00DF17F0"/>
    <w:rsid w:val="00DF1970"/>
    <w:rsid w:val="00DF1C3F"/>
    <w:rsid w:val="00DF1CD2"/>
    <w:rsid w:val="00DF1D5C"/>
    <w:rsid w:val="00DF1DDF"/>
    <w:rsid w:val="00DF1DF8"/>
    <w:rsid w:val="00DF1F14"/>
    <w:rsid w:val="00DF1F65"/>
    <w:rsid w:val="00DF1FB7"/>
    <w:rsid w:val="00DF215A"/>
    <w:rsid w:val="00DF2256"/>
    <w:rsid w:val="00DF231B"/>
    <w:rsid w:val="00DF2586"/>
    <w:rsid w:val="00DF26DA"/>
    <w:rsid w:val="00DF270C"/>
    <w:rsid w:val="00DF27DF"/>
    <w:rsid w:val="00DF2982"/>
    <w:rsid w:val="00DF29A5"/>
    <w:rsid w:val="00DF2B56"/>
    <w:rsid w:val="00DF2BAB"/>
    <w:rsid w:val="00DF2E07"/>
    <w:rsid w:val="00DF2E3B"/>
    <w:rsid w:val="00DF2FF6"/>
    <w:rsid w:val="00DF322D"/>
    <w:rsid w:val="00DF3478"/>
    <w:rsid w:val="00DF36A4"/>
    <w:rsid w:val="00DF373C"/>
    <w:rsid w:val="00DF3740"/>
    <w:rsid w:val="00DF3906"/>
    <w:rsid w:val="00DF39A1"/>
    <w:rsid w:val="00DF3A80"/>
    <w:rsid w:val="00DF3B18"/>
    <w:rsid w:val="00DF3B3A"/>
    <w:rsid w:val="00DF3D4E"/>
    <w:rsid w:val="00DF4225"/>
    <w:rsid w:val="00DF42CB"/>
    <w:rsid w:val="00DF4384"/>
    <w:rsid w:val="00DF4397"/>
    <w:rsid w:val="00DF4457"/>
    <w:rsid w:val="00DF4474"/>
    <w:rsid w:val="00DF468A"/>
    <w:rsid w:val="00DF4733"/>
    <w:rsid w:val="00DF4745"/>
    <w:rsid w:val="00DF47E9"/>
    <w:rsid w:val="00DF4822"/>
    <w:rsid w:val="00DF4926"/>
    <w:rsid w:val="00DF49BD"/>
    <w:rsid w:val="00DF4B0E"/>
    <w:rsid w:val="00DF4BA5"/>
    <w:rsid w:val="00DF4BAC"/>
    <w:rsid w:val="00DF4BBF"/>
    <w:rsid w:val="00DF4CCF"/>
    <w:rsid w:val="00DF4EA7"/>
    <w:rsid w:val="00DF4EB9"/>
    <w:rsid w:val="00DF4F72"/>
    <w:rsid w:val="00DF555D"/>
    <w:rsid w:val="00DF559F"/>
    <w:rsid w:val="00DF5835"/>
    <w:rsid w:val="00DF59A5"/>
    <w:rsid w:val="00DF5A73"/>
    <w:rsid w:val="00DF5C5C"/>
    <w:rsid w:val="00DF6439"/>
    <w:rsid w:val="00DF650B"/>
    <w:rsid w:val="00DF66DF"/>
    <w:rsid w:val="00DF66E9"/>
    <w:rsid w:val="00DF6716"/>
    <w:rsid w:val="00DF69E5"/>
    <w:rsid w:val="00DF6A2F"/>
    <w:rsid w:val="00DF6CA3"/>
    <w:rsid w:val="00DF6DE4"/>
    <w:rsid w:val="00DF6E5A"/>
    <w:rsid w:val="00DF6F2D"/>
    <w:rsid w:val="00DF71D2"/>
    <w:rsid w:val="00DF7262"/>
    <w:rsid w:val="00DF7383"/>
    <w:rsid w:val="00DF7459"/>
    <w:rsid w:val="00DF7596"/>
    <w:rsid w:val="00DF7640"/>
    <w:rsid w:val="00DF7658"/>
    <w:rsid w:val="00DF77E7"/>
    <w:rsid w:val="00DF79DE"/>
    <w:rsid w:val="00DF7A1E"/>
    <w:rsid w:val="00DF7A20"/>
    <w:rsid w:val="00DF7BF7"/>
    <w:rsid w:val="00DF7C33"/>
    <w:rsid w:val="00DF7D6D"/>
    <w:rsid w:val="00DF7E2D"/>
    <w:rsid w:val="00DF7E63"/>
    <w:rsid w:val="00DF7F19"/>
    <w:rsid w:val="00E00131"/>
    <w:rsid w:val="00E002A3"/>
    <w:rsid w:val="00E00477"/>
    <w:rsid w:val="00E0049E"/>
    <w:rsid w:val="00E0050B"/>
    <w:rsid w:val="00E005F9"/>
    <w:rsid w:val="00E00690"/>
    <w:rsid w:val="00E0072D"/>
    <w:rsid w:val="00E0073C"/>
    <w:rsid w:val="00E00765"/>
    <w:rsid w:val="00E0089E"/>
    <w:rsid w:val="00E008E6"/>
    <w:rsid w:val="00E00930"/>
    <w:rsid w:val="00E00A4A"/>
    <w:rsid w:val="00E00A59"/>
    <w:rsid w:val="00E00A93"/>
    <w:rsid w:val="00E00AE4"/>
    <w:rsid w:val="00E00D76"/>
    <w:rsid w:val="00E00F40"/>
    <w:rsid w:val="00E0113A"/>
    <w:rsid w:val="00E01423"/>
    <w:rsid w:val="00E0142F"/>
    <w:rsid w:val="00E014C9"/>
    <w:rsid w:val="00E014EF"/>
    <w:rsid w:val="00E016C7"/>
    <w:rsid w:val="00E01788"/>
    <w:rsid w:val="00E017F9"/>
    <w:rsid w:val="00E018B6"/>
    <w:rsid w:val="00E01C60"/>
    <w:rsid w:val="00E01CC2"/>
    <w:rsid w:val="00E01F1B"/>
    <w:rsid w:val="00E01F9E"/>
    <w:rsid w:val="00E02007"/>
    <w:rsid w:val="00E02226"/>
    <w:rsid w:val="00E024B4"/>
    <w:rsid w:val="00E0254F"/>
    <w:rsid w:val="00E029DA"/>
    <w:rsid w:val="00E02DAD"/>
    <w:rsid w:val="00E02ED0"/>
    <w:rsid w:val="00E02F07"/>
    <w:rsid w:val="00E03143"/>
    <w:rsid w:val="00E03180"/>
    <w:rsid w:val="00E0345C"/>
    <w:rsid w:val="00E034AB"/>
    <w:rsid w:val="00E0360C"/>
    <w:rsid w:val="00E038FD"/>
    <w:rsid w:val="00E03A61"/>
    <w:rsid w:val="00E03B2D"/>
    <w:rsid w:val="00E03C1A"/>
    <w:rsid w:val="00E03C9E"/>
    <w:rsid w:val="00E03ECE"/>
    <w:rsid w:val="00E04002"/>
    <w:rsid w:val="00E04367"/>
    <w:rsid w:val="00E045C1"/>
    <w:rsid w:val="00E045D9"/>
    <w:rsid w:val="00E04717"/>
    <w:rsid w:val="00E0483D"/>
    <w:rsid w:val="00E0498D"/>
    <w:rsid w:val="00E049C5"/>
    <w:rsid w:val="00E04A8F"/>
    <w:rsid w:val="00E04D25"/>
    <w:rsid w:val="00E04F74"/>
    <w:rsid w:val="00E0505F"/>
    <w:rsid w:val="00E05970"/>
    <w:rsid w:val="00E05975"/>
    <w:rsid w:val="00E05B2B"/>
    <w:rsid w:val="00E05B88"/>
    <w:rsid w:val="00E05C96"/>
    <w:rsid w:val="00E05D03"/>
    <w:rsid w:val="00E05D0C"/>
    <w:rsid w:val="00E05D3C"/>
    <w:rsid w:val="00E06122"/>
    <w:rsid w:val="00E0614A"/>
    <w:rsid w:val="00E062C6"/>
    <w:rsid w:val="00E064A9"/>
    <w:rsid w:val="00E06567"/>
    <w:rsid w:val="00E0682C"/>
    <w:rsid w:val="00E0695A"/>
    <w:rsid w:val="00E06A61"/>
    <w:rsid w:val="00E06B3A"/>
    <w:rsid w:val="00E06D58"/>
    <w:rsid w:val="00E070FB"/>
    <w:rsid w:val="00E073DE"/>
    <w:rsid w:val="00E074DB"/>
    <w:rsid w:val="00E07576"/>
    <w:rsid w:val="00E076A1"/>
    <w:rsid w:val="00E07818"/>
    <w:rsid w:val="00E078C4"/>
    <w:rsid w:val="00E078E9"/>
    <w:rsid w:val="00E079B5"/>
    <w:rsid w:val="00E07A1A"/>
    <w:rsid w:val="00E07CA3"/>
    <w:rsid w:val="00E07D8C"/>
    <w:rsid w:val="00E07D91"/>
    <w:rsid w:val="00E10112"/>
    <w:rsid w:val="00E10426"/>
    <w:rsid w:val="00E104CE"/>
    <w:rsid w:val="00E10599"/>
    <w:rsid w:val="00E105B3"/>
    <w:rsid w:val="00E105E2"/>
    <w:rsid w:val="00E106B3"/>
    <w:rsid w:val="00E107D0"/>
    <w:rsid w:val="00E108A9"/>
    <w:rsid w:val="00E1093C"/>
    <w:rsid w:val="00E10958"/>
    <w:rsid w:val="00E10A4C"/>
    <w:rsid w:val="00E10E4C"/>
    <w:rsid w:val="00E110F5"/>
    <w:rsid w:val="00E111D3"/>
    <w:rsid w:val="00E1122B"/>
    <w:rsid w:val="00E11288"/>
    <w:rsid w:val="00E11473"/>
    <w:rsid w:val="00E11671"/>
    <w:rsid w:val="00E117E6"/>
    <w:rsid w:val="00E1186C"/>
    <w:rsid w:val="00E11D34"/>
    <w:rsid w:val="00E11DD3"/>
    <w:rsid w:val="00E12068"/>
    <w:rsid w:val="00E1207A"/>
    <w:rsid w:val="00E122F8"/>
    <w:rsid w:val="00E1236F"/>
    <w:rsid w:val="00E123B4"/>
    <w:rsid w:val="00E12958"/>
    <w:rsid w:val="00E129C1"/>
    <w:rsid w:val="00E12BB8"/>
    <w:rsid w:val="00E12C98"/>
    <w:rsid w:val="00E12DB5"/>
    <w:rsid w:val="00E12E3C"/>
    <w:rsid w:val="00E13134"/>
    <w:rsid w:val="00E134A8"/>
    <w:rsid w:val="00E13570"/>
    <w:rsid w:val="00E13602"/>
    <w:rsid w:val="00E137DD"/>
    <w:rsid w:val="00E13A6F"/>
    <w:rsid w:val="00E13AC4"/>
    <w:rsid w:val="00E13B30"/>
    <w:rsid w:val="00E13C23"/>
    <w:rsid w:val="00E13E98"/>
    <w:rsid w:val="00E13F08"/>
    <w:rsid w:val="00E14013"/>
    <w:rsid w:val="00E14182"/>
    <w:rsid w:val="00E14266"/>
    <w:rsid w:val="00E14318"/>
    <w:rsid w:val="00E14345"/>
    <w:rsid w:val="00E1439F"/>
    <w:rsid w:val="00E14663"/>
    <w:rsid w:val="00E146F8"/>
    <w:rsid w:val="00E147F1"/>
    <w:rsid w:val="00E149AE"/>
    <w:rsid w:val="00E14B99"/>
    <w:rsid w:val="00E14BDD"/>
    <w:rsid w:val="00E14D28"/>
    <w:rsid w:val="00E14EE1"/>
    <w:rsid w:val="00E15623"/>
    <w:rsid w:val="00E15876"/>
    <w:rsid w:val="00E15913"/>
    <w:rsid w:val="00E15CDA"/>
    <w:rsid w:val="00E15D5D"/>
    <w:rsid w:val="00E15FC9"/>
    <w:rsid w:val="00E1601C"/>
    <w:rsid w:val="00E160CA"/>
    <w:rsid w:val="00E16170"/>
    <w:rsid w:val="00E161C3"/>
    <w:rsid w:val="00E16222"/>
    <w:rsid w:val="00E163A7"/>
    <w:rsid w:val="00E1640A"/>
    <w:rsid w:val="00E1654B"/>
    <w:rsid w:val="00E165D0"/>
    <w:rsid w:val="00E16691"/>
    <w:rsid w:val="00E168E5"/>
    <w:rsid w:val="00E1697D"/>
    <w:rsid w:val="00E16BBC"/>
    <w:rsid w:val="00E16D1B"/>
    <w:rsid w:val="00E16DDB"/>
    <w:rsid w:val="00E16DF6"/>
    <w:rsid w:val="00E17077"/>
    <w:rsid w:val="00E17594"/>
    <w:rsid w:val="00E17812"/>
    <w:rsid w:val="00E17912"/>
    <w:rsid w:val="00E17C8B"/>
    <w:rsid w:val="00E201BF"/>
    <w:rsid w:val="00E2025D"/>
    <w:rsid w:val="00E2041E"/>
    <w:rsid w:val="00E20779"/>
    <w:rsid w:val="00E2088E"/>
    <w:rsid w:val="00E208D5"/>
    <w:rsid w:val="00E2095D"/>
    <w:rsid w:val="00E209BF"/>
    <w:rsid w:val="00E20B19"/>
    <w:rsid w:val="00E20D8F"/>
    <w:rsid w:val="00E20DD1"/>
    <w:rsid w:val="00E20DFE"/>
    <w:rsid w:val="00E20F3C"/>
    <w:rsid w:val="00E20F96"/>
    <w:rsid w:val="00E215BB"/>
    <w:rsid w:val="00E218A3"/>
    <w:rsid w:val="00E219BE"/>
    <w:rsid w:val="00E21BEC"/>
    <w:rsid w:val="00E21E85"/>
    <w:rsid w:val="00E21FCB"/>
    <w:rsid w:val="00E2211D"/>
    <w:rsid w:val="00E2249F"/>
    <w:rsid w:val="00E224A0"/>
    <w:rsid w:val="00E22605"/>
    <w:rsid w:val="00E228BF"/>
    <w:rsid w:val="00E22932"/>
    <w:rsid w:val="00E229B7"/>
    <w:rsid w:val="00E229C7"/>
    <w:rsid w:val="00E22AAC"/>
    <w:rsid w:val="00E22C66"/>
    <w:rsid w:val="00E231C0"/>
    <w:rsid w:val="00E23368"/>
    <w:rsid w:val="00E233AB"/>
    <w:rsid w:val="00E23651"/>
    <w:rsid w:val="00E23CE2"/>
    <w:rsid w:val="00E23E49"/>
    <w:rsid w:val="00E23ED2"/>
    <w:rsid w:val="00E23F35"/>
    <w:rsid w:val="00E24298"/>
    <w:rsid w:val="00E242C4"/>
    <w:rsid w:val="00E2430C"/>
    <w:rsid w:val="00E244A4"/>
    <w:rsid w:val="00E245C8"/>
    <w:rsid w:val="00E24702"/>
    <w:rsid w:val="00E2497E"/>
    <w:rsid w:val="00E24ABF"/>
    <w:rsid w:val="00E24BA6"/>
    <w:rsid w:val="00E24C20"/>
    <w:rsid w:val="00E24E5B"/>
    <w:rsid w:val="00E24EC9"/>
    <w:rsid w:val="00E24F61"/>
    <w:rsid w:val="00E251C8"/>
    <w:rsid w:val="00E2524D"/>
    <w:rsid w:val="00E2555D"/>
    <w:rsid w:val="00E255EA"/>
    <w:rsid w:val="00E25A73"/>
    <w:rsid w:val="00E25DC0"/>
    <w:rsid w:val="00E26318"/>
    <w:rsid w:val="00E264FD"/>
    <w:rsid w:val="00E26686"/>
    <w:rsid w:val="00E2672A"/>
    <w:rsid w:val="00E267D8"/>
    <w:rsid w:val="00E26883"/>
    <w:rsid w:val="00E2695F"/>
    <w:rsid w:val="00E26A1C"/>
    <w:rsid w:val="00E26C8C"/>
    <w:rsid w:val="00E26D83"/>
    <w:rsid w:val="00E26DEF"/>
    <w:rsid w:val="00E276D6"/>
    <w:rsid w:val="00E27C77"/>
    <w:rsid w:val="00E27E4D"/>
    <w:rsid w:val="00E27E87"/>
    <w:rsid w:val="00E27EB0"/>
    <w:rsid w:val="00E27F0D"/>
    <w:rsid w:val="00E27F93"/>
    <w:rsid w:val="00E30484"/>
    <w:rsid w:val="00E304F5"/>
    <w:rsid w:val="00E30693"/>
    <w:rsid w:val="00E306CF"/>
    <w:rsid w:val="00E308FB"/>
    <w:rsid w:val="00E30A45"/>
    <w:rsid w:val="00E30B61"/>
    <w:rsid w:val="00E30C4B"/>
    <w:rsid w:val="00E30E10"/>
    <w:rsid w:val="00E30E86"/>
    <w:rsid w:val="00E30EE5"/>
    <w:rsid w:val="00E30FB2"/>
    <w:rsid w:val="00E312A0"/>
    <w:rsid w:val="00E3136D"/>
    <w:rsid w:val="00E3140C"/>
    <w:rsid w:val="00E3142C"/>
    <w:rsid w:val="00E315AB"/>
    <w:rsid w:val="00E31786"/>
    <w:rsid w:val="00E3194C"/>
    <w:rsid w:val="00E319FF"/>
    <w:rsid w:val="00E31A09"/>
    <w:rsid w:val="00E31B57"/>
    <w:rsid w:val="00E31C12"/>
    <w:rsid w:val="00E31CAE"/>
    <w:rsid w:val="00E31CDD"/>
    <w:rsid w:val="00E31DED"/>
    <w:rsid w:val="00E31E6D"/>
    <w:rsid w:val="00E32043"/>
    <w:rsid w:val="00E32451"/>
    <w:rsid w:val="00E3258F"/>
    <w:rsid w:val="00E326D4"/>
    <w:rsid w:val="00E326D8"/>
    <w:rsid w:val="00E3278E"/>
    <w:rsid w:val="00E329EE"/>
    <w:rsid w:val="00E32C21"/>
    <w:rsid w:val="00E32C32"/>
    <w:rsid w:val="00E32C7E"/>
    <w:rsid w:val="00E32E0D"/>
    <w:rsid w:val="00E32F1D"/>
    <w:rsid w:val="00E32FD3"/>
    <w:rsid w:val="00E330A3"/>
    <w:rsid w:val="00E33202"/>
    <w:rsid w:val="00E335E0"/>
    <w:rsid w:val="00E33603"/>
    <w:rsid w:val="00E33811"/>
    <w:rsid w:val="00E339E2"/>
    <w:rsid w:val="00E339F5"/>
    <w:rsid w:val="00E33AFF"/>
    <w:rsid w:val="00E33C03"/>
    <w:rsid w:val="00E33D45"/>
    <w:rsid w:val="00E33DC7"/>
    <w:rsid w:val="00E33E9A"/>
    <w:rsid w:val="00E33F7A"/>
    <w:rsid w:val="00E34009"/>
    <w:rsid w:val="00E3425D"/>
    <w:rsid w:val="00E34288"/>
    <w:rsid w:val="00E34316"/>
    <w:rsid w:val="00E343AD"/>
    <w:rsid w:val="00E34405"/>
    <w:rsid w:val="00E3442D"/>
    <w:rsid w:val="00E3446D"/>
    <w:rsid w:val="00E344CB"/>
    <w:rsid w:val="00E345E6"/>
    <w:rsid w:val="00E34D0E"/>
    <w:rsid w:val="00E34DB6"/>
    <w:rsid w:val="00E34E9D"/>
    <w:rsid w:val="00E3500F"/>
    <w:rsid w:val="00E351AB"/>
    <w:rsid w:val="00E351F6"/>
    <w:rsid w:val="00E35212"/>
    <w:rsid w:val="00E3551A"/>
    <w:rsid w:val="00E358C9"/>
    <w:rsid w:val="00E3591D"/>
    <w:rsid w:val="00E35944"/>
    <w:rsid w:val="00E3596B"/>
    <w:rsid w:val="00E35AB2"/>
    <w:rsid w:val="00E35AF5"/>
    <w:rsid w:val="00E35B85"/>
    <w:rsid w:val="00E35CB3"/>
    <w:rsid w:val="00E36100"/>
    <w:rsid w:val="00E3627C"/>
    <w:rsid w:val="00E3644E"/>
    <w:rsid w:val="00E3648D"/>
    <w:rsid w:val="00E3665A"/>
    <w:rsid w:val="00E3673F"/>
    <w:rsid w:val="00E36AEB"/>
    <w:rsid w:val="00E36BD9"/>
    <w:rsid w:val="00E36CFF"/>
    <w:rsid w:val="00E36EEE"/>
    <w:rsid w:val="00E3718E"/>
    <w:rsid w:val="00E371E3"/>
    <w:rsid w:val="00E372F0"/>
    <w:rsid w:val="00E374B5"/>
    <w:rsid w:val="00E377E1"/>
    <w:rsid w:val="00E3789F"/>
    <w:rsid w:val="00E37B44"/>
    <w:rsid w:val="00E37C33"/>
    <w:rsid w:val="00E37CE0"/>
    <w:rsid w:val="00E37E6C"/>
    <w:rsid w:val="00E40063"/>
    <w:rsid w:val="00E4037F"/>
    <w:rsid w:val="00E405E5"/>
    <w:rsid w:val="00E406CF"/>
    <w:rsid w:val="00E408B5"/>
    <w:rsid w:val="00E40A04"/>
    <w:rsid w:val="00E40E62"/>
    <w:rsid w:val="00E40F83"/>
    <w:rsid w:val="00E40F99"/>
    <w:rsid w:val="00E40FA9"/>
    <w:rsid w:val="00E40FD3"/>
    <w:rsid w:val="00E41154"/>
    <w:rsid w:val="00E41252"/>
    <w:rsid w:val="00E412F2"/>
    <w:rsid w:val="00E4138A"/>
    <w:rsid w:val="00E415FE"/>
    <w:rsid w:val="00E416A1"/>
    <w:rsid w:val="00E41865"/>
    <w:rsid w:val="00E41A4F"/>
    <w:rsid w:val="00E41AB5"/>
    <w:rsid w:val="00E41B73"/>
    <w:rsid w:val="00E41D18"/>
    <w:rsid w:val="00E41E78"/>
    <w:rsid w:val="00E41F92"/>
    <w:rsid w:val="00E4205E"/>
    <w:rsid w:val="00E421C0"/>
    <w:rsid w:val="00E4226D"/>
    <w:rsid w:val="00E4243C"/>
    <w:rsid w:val="00E424B5"/>
    <w:rsid w:val="00E424EB"/>
    <w:rsid w:val="00E426C3"/>
    <w:rsid w:val="00E42AB6"/>
    <w:rsid w:val="00E42B72"/>
    <w:rsid w:val="00E42E19"/>
    <w:rsid w:val="00E4302D"/>
    <w:rsid w:val="00E43128"/>
    <w:rsid w:val="00E4315F"/>
    <w:rsid w:val="00E4338D"/>
    <w:rsid w:val="00E43480"/>
    <w:rsid w:val="00E434AC"/>
    <w:rsid w:val="00E434D6"/>
    <w:rsid w:val="00E435B5"/>
    <w:rsid w:val="00E4368D"/>
    <w:rsid w:val="00E43C18"/>
    <w:rsid w:val="00E43C28"/>
    <w:rsid w:val="00E43C95"/>
    <w:rsid w:val="00E43CAA"/>
    <w:rsid w:val="00E43F31"/>
    <w:rsid w:val="00E445B9"/>
    <w:rsid w:val="00E445CE"/>
    <w:rsid w:val="00E44814"/>
    <w:rsid w:val="00E44E11"/>
    <w:rsid w:val="00E44FBD"/>
    <w:rsid w:val="00E45078"/>
    <w:rsid w:val="00E450A2"/>
    <w:rsid w:val="00E453A5"/>
    <w:rsid w:val="00E4559F"/>
    <w:rsid w:val="00E45642"/>
    <w:rsid w:val="00E45983"/>
    <w:rsid w:val="00E4598E"/>
    <w:rsid w:val="00E459E8"/>
    <w:rsid w:val="00E45A95"/>
    <w:rsid w:val="00E45AD3"/>
    <w:rsid w:val="00E46121"/>
    <w:rsid w:val="00E46173"/>
    <w:rsid w:val="00E4625E"/>
    <w:rsid w:val="00E46262"/>
    <w:rsid w:val="00E462DB"/>
    <w:rsid w:val="00E465F5"/>
    <w:rsid w:val="00E46708"/>
    <w:rsid w:val="00E46A47"/>
    <w:rsid w:val="00E46B02"/>
    <w:rsid w:val="00E470CD"/>
    <w:rsid w:val="00E4712D"/>
    <w:rsid w:val="00E47316"/>
    <w:rsid w:val="00E473C3"/>
    <w:rsid w:val="00E474FF"/>
    <w:rsid w:val="00E47A5B"/>
    <w:rsid w:val="00E47C45"/>
    <w:rsid w:val="00E501D0"/>
    <w:rsid w:val="00E50287"/>
    <w:rsid w:val="00E50356"/>
    <w:rsid w:val="00E504D3"/>
    <w:rsid w:val="00E5051C"/>
    <w:rsid w:val="00E50662"/>
    <w:rsid w:val="00E506A4"/>
    <w:rsid w:val="00E506EE"/>
    <w:rsid w:val="00E509A4"/>
    <w:rsid w:val="00E50EB1"/>
    <w:rsid w:val="00E50F2E"/>
    <w:rsid w:val="00E51171"/>
    <w:rsid w:val="00E516CE"/>
    <w:rsid w:val="00E51B11"/>
    <w:rsid w:val="00E51BC9"/>
    <w:rsid w:val="00E51FE8"/>
    <w:rsid w:val="00E52186"/>
    <w:rsid w:val="00E526A7"/>
    <w:rsid w:val="00E526F0"/>
    <w:rsid w:val="00E52881"/>
    <w:rsid w:val="00E529DF"/>
    <w:rsid w:val="00E52A12"/>
    <w:rsid w:val="00E52C50"/>
    <w:rsid w:val="00E52D35"/>
    <w:rsid w:val="00E52E37"/>
    <w:rsid w:val="00E52F9B"/>
    <w:rsid w:val="00E5328C"/>
    <w:rsid w:val="00E5332B"/>
    <w:rsid w:val="00E53505"/>
    <w:rsid w:val="00E53761"/>
    <w:rsid w:val="00E53A81"/>
    <w:rsid w:val="00E53CEE"/>
    <w:rsid w:val="00E53DCC"/>
    <w:rsid w:val="00E54005"/>
    <w:rsid w:val="00E54048"/>
    <w:rsid w:val="00E546EE"/>
    <w:rsid w:val="00E54CDB"/>
    <w:rsid w:val="00E54DAC"/>
    <w:rsid w:val="00E54E10"/>
    <w:rsid w:val="00E54E7D"/>
    <w:rsid w:val="00E5500C"/>
    <w:rsid w:val="00E550BF"/>
    <w:rsid w:val="00E55118"/>
    <w:rsid w:val="00E55760"/>
    <w:rsid w:val="00E557A8"/>
    <w:rsid w:val="00E557EF"/>
    <w:rsid w:val="00E559EB"/>
    <w:rsid w:val="00E55B28"/>
    <w:rsid w:val="00E55CC3"/>
    <w:rsid w:val="00E55CE8"/>
    <w:rsid w:val="00E55E68"/>
    <w:rsid w:val="00E56128"/>
    <w:rsid w:val="00E56428"/>
    <w:rsid w:val="00E56467"/>
    <w:rsid w:val="00E56701"/>
    <w:rsid w:val="00E56C8A"/>
    <w:rsid w:val="00E56D9D"/>
    <w:rsid w:val="00E56DA9"/>
    <w:rsid w:val="00E56FDE"/>
    <w:rsid w:val="00E577E9"/>
    <w:rsid w:val="00E57B47"/>
    <w:rsid w:val="00E57C0F"/>
    <w:rsid w:val="00E57CB1"/>
    <w:rsid w:val="00E57EEC"/>
    <w:rsid w:val="00E57F5A"/>
    <w:rsid w:val="00E57FC5"/>
    <w:rsid w:val="00E60001"/>
    <w:rsid w:val="00E601AB"/>
    <w:rsid w:val="00E602AE"/>
    <w:rsid w:val="00E603F7"/>
    <w:rsid w:val="00E6066A"/>
    <w:rsid w:val="00E608A8"/>
    <w:rsid w:val="00E608D5"/>
    <w:rsid w:val="00E60CF0"/>
    <w:rsid w:val="00E6109C"/>
    <w:rsid w:val="00E613B5"/>
    <w:rsid w:val="00E613D3"/>
    <w:rsid w:val="00E616DB"/>
    <w:rsid w:val="00E618D8"/>
    <w:rsid w:val="00E61BCF"/>
    <w:rsid w:val="00E61CA7"/>
    <w:rsid w:val="00E61F16"/>
    <w:rsid w:val="00E6200B"/>
    <w:rsid w:val="00E62051"/>
    <w:rsid w:val="00E62184"/>
    <w:rsid w:val="00E625D1"/>
    <w:rsid w:val="00E6264B"/>
    <w:rsid w:val="00E62961"/>
    <w:rsid w:val="00E62A76"/>
    <w:rsid w:val="00E62AA4"/>
    <w:rsid w:val="00E62AA6"/>
    <w:rsid w:val="00E62B04"/>
    <w:rsid w:val="00E62F76"/>
    <w:rsid w:val="00E63054"/>
    <w:rsid w:val="00E63219"/>
    <w:rsid w:val="00E63220"/>
    <w:rsid w:val="00E63422"/>
    <w:rsid w:val="00E6362D"/>
    <w:rsid w:val="00E63C54"/>
    <w:rsid w:val="00E63F35"/>
    <w:rsid w:val="00E640DE"/>
    <w:rsid w:val="00E64326"/>
    <w:rsid w:val="00E643A2"/>
    <w:rsid w:val="00E647B4"/>
    <w:rsid w:val="00E64BC6"/>
    <w:rsid w:val="00E64C43"/>
    <w:rsid w:val="00E64ED9"/>
    <w:rsid w:val="00E6536F"/>
    <w:rsid w:val="00E65523"/>
    <w:rsid w:val="00E65568"/>
    <w:rsid w:val="00E65654"/>
    <w:rsid w:val="00E6572E"/>
    <w:rsid w:val="00E6589E"/>
    <w:rsid w:val="00E65AFD"/>
    <w:rsid w:val="00E65B4A"/>
    <w:rsid w:val="00E65C38"/>
    <w:rsid w:val="00E65C94"/>
    <w:rsid w:val="00E65D42"/>
    <w:rsid w:val="00E65D73"/>
    <w:rsid w:val="00E65DA2"/>
    <w:rsid w:val="00E65E2A"/>
    <w:rsid w:val="00E65E72"/>
    <w:rsid w:val="00E6608D"/>
    <w:rsid w:val="00E66131"/>
    <w:rsid w:val="00E662F1"/>
    <w:rsid w:val="00E66568"/>
    <w:rsid w:val="00E6667C"/>
    <w:rsid w:val="00E6678E"/>
    <w:rsid w:val="00E66BC3"/>
    <w:rsid w:val="00E66BF0"/>
    <w:rsid w:val="00E66C3B"/>
    <w:rsid w:val="00E66CFC"/>
    <w:rsid w:val="00E66D86"/>
    <w:rsid w:val="00E66E1C"/>
    <w:rsid w:val="00E66EB0"/>
    <w:rsid w:val="00E670ED"/>
    <w:rsid w:val="00E6728D"/>
    <w:rsid w:val="00E673CE"/>
    <w:rsid w:val="00E67845"/>
    <w:rsid w:val="00E678D3"/>
    <w:rsid w:val="00E67B47"/>
    <w:rsid w:val="00E67BE4"/>
    <w:rsid w:val="00E67FF0"/>
    <w:rsid w:val="00E70177"/>
    <w:rsid w:val="00E701A9"/>
    <w:rsid w:val="00E705E6"/>
    <w:rsid w:val="00E70659"/>
    <w:rsid w:val="00E708ED"/>
    <w:rsid w:val="00E70A10"/>
    <w:rsid w:val="00E70A91"/>
    <w:rsid w:val="00E70D7F"/>
    <w:rsid w:val="00E70ECE"/>
    <w:rsid w:val="00E71186"/>
    <w:rsid w:val="00E712F1"/>
    <w:rsid w:val="00E7134C"/>
    <w:rsid w:val="00E716C4"/>
    <w:rsid w:val="00E717AF"/>
    <w:rsid w:val="00E717CC"/>
    <w:rsid w:val="00E7195C"/>
    <w:rsid w:val="00E71963"/>
    <w:rsid w:val="00E71D94"/>
    <w:rsid w:val="00E72095"/>
    <w:rsid w:val="00E72560"/>
    <w:rsid w:val="00E7298F"/>
    <w:rsid w:val="00E72A62"/>
    <w:rsid w:val="00E72BC1"/>
    <w:rsid w:val="00E72C84"/>
    <w:rsid w:val="00E72F9F"/>
    <w:rsid w:val="00E73168"/>
    <w:rsid w:val="00E732EB"/>
    <w:rsid w:val="00E73617"/>
    <w:rsid w:val="00E73657"/>
    <w:rsid w:val="00E73904"/>
    <w:rsid w:val="00E73940"/>
    <w:rsid w:val="00E73ADC"/>
    <w:rsid w:val="00E73BEF"/>
    <w:rsid w:val="00E73C5C"/>
    <w:rsid w:val="00E73D82"/>
    <w:rsid w:val="00E73DDB"/>
    <w:rsid w:val="00E73F95"/>
    <w:rsid w:val="00E740BD"/>
    <w:rsid w:val="00E741B6"/>
    <w:rsid w:val="00E741B7"/>
    <w:rsid w:val="00E7422A"/>
    <w:rsid w:val="00E7438F"/>
    <w:rsid w:val="00E744C8"/>
    <w:rsid w:val="00E745D7"/>
    <w:rsid w:val="00E74895"/>
    <w:rsid w:val="00E7499F"/>
    <w:rsid w:val="00E74D3B"/>
    <w:rsid w:val="00E751E5"/>
    <w:rsid w:val="00E7527F"/>
    <w:rsid w:val="00E753A4"/>
    <w:rsid w:val="00E753E7"/>
    <w:rsid w:val="00E7544C"/>
    <w:rsid w:val="00E75478"/>
    <w:rsid w:val="00E754BE"/>
    <w:rsid w:val="00E7550C"/>
    <w:rsid w:val="00E75593"/>
    <w:rsid w:val="00E75693"/>
    <w:rsid w:val="00E756B1"/>
    <w:rsid w:val="00E75782"/>
    <w:rsid w:val="00E75BB5"/>
    <w:rsid w:val="00E75D7C"/>
    <w:rsid w:val="00E7643C"/>
    <w:rsid w:val="00E7643F"/>
    <w:rsid w:val="00E7649C"/>
    <w:rsid w:val="00E767E8"/>
    <w:rsid w:val="00E76C45"/>
    <w:rsid w:val="00E76D4A"/>
    <w:rsid w:val="00E76E72"/>
    <w:rsid w:val="00E76FFF"/>
    <w:rsid w:val="00E771F8"/>
    <w:rsid w:val="00E772DD"/>
    <w:rsid w:val="00E777A0"/>
    <w:rsid w:val="00E777C7"/>
    <w:rsid w:val="00E777E3"/>
    <w:rsid w:val="00E7782C"/>
    <w:rsid w:val="00E77ABE"/>
    <w:rsid w:val="00E77E24"/>
    <w:rsid w:val="00E77EA1"/>
    <w:rsid w:val="00E77EEF"/>
    <w:rsid w:val="00E805A5"/>
    <w:rsid w:val="00E80B1A"/>
    <w:rsid w:val="00E80BCB"/>
    <w:rsid w:val="00E80CDE"/>
    <w:rsid w:val="00E80E8F"/>
    <w:rsid w:val="00E812B2"/>
    <w:rsid w:val="00E814E7"/>
    <w:rsid w:val="00E817C9"/>
    <w:rsid w:val="00E819BE"/>
    <w:rsid w:val="00E81BAB"/>
    <w:rsid w:val="00E81C4D"/>
    <w:rsid w:val="00E81E40"/>
    <w:rsid w:val="00E8209E"/>
    <w:rsid w:val="00E82140"/>
    <w:rsid w:val="00E8218D"/>
    <w:rsid w:val="00E82414"/>
    <w:rsid w:val="00E8252B"/>
    <w:rsid w:val="00E8259B"/>
    <w:rsid w:val="00E827CA"/>
    <w:rsid w:val="00E8291D"/>
    <w:rsid w:val="00E82E16"/>
    <w:rsid w:val="00E82E97"/>
    <w:rsid w:val="00E8302D"/>
    <w:rsid w:val="00E83133"/>
    <w:rsid w:val="00E833FD"/>
    <w:rsid w:val="00E834A5"/>
    <w:rsid w:val="00E83602"/>
    <w:rsid w:val="00E83744"/>
    <w:rsid w:val="00E83762"/>
    <w:rsid w:val="00E83BF7"/>
    <w:rsid w:val="00E83CF7"/>
    <w:rsid w:val="00E83D59"/>
    <w:rsid w:val="00E83D66"/>
    <w:rsid w:val="00E83E71"/>
    <w:rsid w:val="00E83F0A"/>
    <w:rsid w:val="00E8411A"/>
    <w:rsid w:val="00E84189"/>
    <w:rsid w:val="00E8434C"/>
    <w:rsid w:val="00E844C9"/>
    <w:rsid w:val="00E84564"/>
    <w:rsid w:val="00E846B6"/>
    <w:rsid w:val="00E84759"/>
    <w:rsid w:val="00E84832"/>
    <w:rsid w:val="00E84931"/>
    <w:rsid w:val="00E84B13"/>
    <w:rsid w:val="00E84BA0"/>
    <w:rsid w:val="00E84C49"/>
    <w:rsid w:val="00E84D16"/>
    <w:rsid w:val="00E84D49"/>
    <w:rsid w:val="00E84DE7"/>
    <w:rsid w:val="00E84ED8"/>
    <w:rsid w:val="00E85373"/>
    <w:rsid w:val="00E8547F"/>
    <w:rsid w:val="00E854D0"/>
    <w:rsid w:val="00E85629"/>
    <w:rsid w:val="00E856AE"/>
    <w:rsid w:val="00E857C2"/>
    <w:rsid w:val="00E8584A"/>
    <w:rsid w:val="00E85D88"/>
    <w:rsid w:val="00E85E94"/>
    <w:rsid w:val="00E85EBD"/>
    <w:rsid w:val="00E85EC2"/>
    <w:rsid w:val="00E86149"/>
    <w:rsid w:val="00E863EB"/>
    <w:rsid w:val="00E8642F"/>
    <w:rsid w:val="00E86905"/>
    <w:rsid w:val="00E869C1"/>
    <w:rsid w:val="00E86BD9"/>
    <w:rsid w:val="00E86BDB"/>
    <w:rsid w:val="00E86E06"/>
    <w:rsid w:val="00E87120"/>
    <w:rsid w:val="00E87153"/>
    <w:rsid w:val="00E872BA"/>
    <w:rsid w:val="00E872C2"/>
    <w:rsid w:val="00E873AE"/>
    <w:rsid w:val="00E876A5"/>
    <w:rsid w:val="00E876C3"/>
    <w:rsid w:val="00E876EA"/>
    <w:rsid w:val="00E87764"/>
    <w:rsid w:val="00E87897"/>
    <w:rsid w:val="00E87958"/>
    <w:rsid w:val="00E87AFE"/>
    <w:rsid w:val="00E87DA5"/>
    <w:rsid w:val="00E9017A"/>
    <w:rsid w:val="00E901BF"/>
    <w:rsid w:val="00E902F1"/>
    <w:rsid w:val="00E90387"/>
    <w:rsid w:val="00E90516"/>
    <w:rsid w:val="00E90539"/>
    <w:rsid w:val="00E908D4"/>
    <w:rsid w:val="00E90ED2"/>
    <w:rsid w:val="00E90F58"/>
    <w:rsid w:val="00E91028"/>
    <w:rsid w:val="00E91051"/>
    <w:rsid w:val="00E91276"/>
    <w:rsid w:val="00E91415"/>
    <w:rsid w:val="00E9155F"/>
    <w:rsid w:val="00E917EB"/>
    <w:rsid w:val="00E919B9"/>
    <w:rsid w:val="00E91A45"/>
    <w:rsid w:val="00E91BA1"/>
    <w:rsid w:val="00E91BA9"/>
    <w:rsid w:val="00E91BC8"/>
    <w:rsid w:val="00E91CB1"/>
    <w:rsid w:val="00E91EF7"/>
    <w:rsid w:val="00E920CB"/>
    <w:rsid w:val="00E923CE"/>
    <w:rsid w:val="00E92A85"/>
    <w:rsid w:val="00E92AEE"/>
    <w:rsid w:val="00E92BAB"/>
    <w:rsid w:val="00E92BCB"/>
    <w:rsid w:val="00E92CD3"/>
    <w:rsid w:val="00E92D27"/>
    <w:rsid w:val="00E92DB0"/>
    <w:rsid w:val="00E92E65"/>
    <w:rsid w:val="00E93186"/>
    <w:rsid w:val="00E9372B"/>
    <w:rsid w:val="00E939D3"/>
    <w:rsid w:val="00E93AB3"/>
    <w:rsid w:val="00E93C90"/>
    <w:rsid w:val="00E93E1D"/>
    <w:rsid w:val="00E93FBE"/>
    <w:rsid w:val="00E93FCE"/>
    <w:rsid w:val="00E941D1"/>
    <w:rsid w:val="00E94504"/>
    <w:rsid w:val="00E94667"/>
    <w:rsid w:val="00E94807"/>
    <w:rsid w:val="00E948BE"/>
    <w:rsid w:val="00E94A2B"/>
    <w:rsid w:val="00E94AD7"/>
    <w:rsid w:val="00E94AE8"/>
    <w:rsid w:val="00E94F7E"/>
    <w:rsid w:val="00E94FF2"/>
    <w:rsid w:val="00E952BD"/>
    <w:rsid w:val="00E9552C"/>
    <w:rsid w:val="00E95723"/>
    <w:rsid w:val="00E959AD"/>
    <w:rsid w:val="00E95DFC"/>
    <w:rsid w:val="00E95F4D"/>
    <w:rsid w:val="00E95F8B"/>
    <w:rsid w:val="00E95F8D"/>
    <w:rsid w:val="00E9611E"/>
    <w:rsid w:val="00E96270"/>
    <w:rsid w:val="00E962AD"/>
    <w:rsid w:val="00E96566"/>
    <w:rsid w:val="00E96922"/>
    <w:rsid w:val="00E969FE"/>
    <w:rsid w:val="00E96ACB"/>
    <w:rsid w:val="00E96D36"/>
    <w:rsid w:val="00E96D89"/>
    <w:rsid w:val="00E96E33"/>
    <w:rsid w:val="00E97019"/>
    <w:rsid w:val="00E972AB"/>
    <w:rsid w:val="00E9732E"/>
    <w:rsid w:val="00E97767"/>
    <w:rsid w:val="00E977FA"/>
    <w:rsid w:val="00E97A07"/>
    <w:rsid w:val="00E97BCF"/>
    <w:rsid w:val="00E97C4D"/>
    <w:rsid w:val="00E97D31"/>
    <w:rsid w:val="00E97E3C"/>
    <w:rsid w:val="00E97E7B"/>
    <w:rsid w:val="00EA0056"/>
    <w:rsid w:val="00EA030E"/>
    <w:rsid w:val="00EA0535"/>
    <w:rsid w:val="00EA077F"/>
    <w:rsid w:val="00EA0977"/>
    <w:rsid w:val="00EA09C4"/>
    <w:rsid w:val="00EA0A3C"/>
    <w:rsid w:val="00EA0AA0"/>
    <w:rsid w:val="00EA0AB1"/>
    <w:rsid w:val="00EA0E6F"/>
    <w:rsid w:val="00EA0EA3"/>
    <w:rsid w:val="00EA0ED2"/>
    <w:rsid w:val="00EA0EE4"/>
    <w:rsid w:val="00EA0F55"/>
    <w:rsid w:val="00EA0FDF"/>
    <w:rsid w:val="00EA113E"/>
    <w:rsid w:val="00EA1368"/>
    <w:rsid w:val="00EA138A"/>
    <w:rsid w:val="00EA1652"/>
    <w:rsid w:val="00EA1A89"/>
    <w:rsid w:val="00EA1B23"/>
    <w:rsid w:val="00EA1B3B"/>
    <w:rsid w:val="00EA1B8A"/>
    <w:rsid w:val="00EA1BB2"/>
    <w:rsid w:val="00EA1D18"/>
    <w:rsid w:val="00EA1D5C"/>
    <w:rsid w:val="00EA1DE2"/>
    <w:rsid w:val="00EA213E"/>
    <w:rsid w:val="00EA21E0"/>
    <w:rsid w:val="00EA22D8"/>
    <w:rsid w:val="00EA2A29"/>
    <w:rsid w:val="00EA2EB6"/>
    <w:rsid w:val="00EA34B5"/>
    <w:rsid w:val="00EA35C7"/>
    <w:rsid w:val="00EA3692"/>
    <w:rsid w:val="00EA371F"/>
    <w:rsid w:val="00EA37AB"/>
    <w:rsid w:val="00EA3919"/>
    <w:rsid w:val="00EA3C25"/>
    <w:rsid w:val="00EA3C2C"/>
    <w:rsid w:val="00EA3D6C"/>
    <w:rsid w:val="00EA3D82"/>
    <w:rsid w:val="00EA3FE8"/>
    <w:rsid w:val="00EA40AB"/>
    <w:rsid w:val="00EA4215"/>
    <w:rsid w:val="00EA4321"/>
    <w:rsid w:val="00EA44B9"/>
    <w:rsid w:val="00EA459D"/>
    <w:rsid w:val="00EA46BB"/>
    <w:rsid w:val="00EA4709"/>
    <w:rsid w:val="00EA4745"/>
    <w:rsid w:val="00EA47BF"/>
    <w:rsid w:val="00EA484B"/>
    <w:rsid w:val="00EA48B2"/>
    <w:rsid w:val="00EA4C2F"/>
    <w:rsid w:val="00EA4EAA"/>
    <w:rsid w:val="00EA4F4B"/>
    <w:rsid w:val="00EA52EE"/>
    <w:rsid w:val="00EA554C"/>
    <w:rsid w:val="00EA564E"/>
    <w:rsid w:val="00EA570A"/>
    <w:rsid w:val="00EA598E"/>
    <w:rsid w:val="00EA61DA"/>
    <w:rsid w:val="00EA6468"/>
    <w:rsid w:val="00EA657B"/>
    <w:rsid w:val="00EA67C0"/>
    <w:rsid w:val="00EA6ADB"/>
    <w:rsid w:val="00EA6C79"/>
    <w:rsid w:val="00EA6CC1"/>
    <w:rsid w:val="00EA6CF2"/>
    <w:rsid w:val="00EA6E1B"/>
    <w:rsid w:val="00EA6F62"/>
    <w:rsid w:val="00EA6FE5"/>
    <w:rsid w:val="00EA719E"/>
    <w:rsid w:val="00EA725D"/>
    <w:rsid w:val="00EA7317"/>
    <w:rsid w:val="00EA736E"/>
    <w:rsid w:val="00EA74DC"/>
    <w:rsid w:val="00EA75AB"/>
    <w:rsid w:val="00EA7636"/>
    <w:rsid w:val="00EA7751"/>
    <w:rsid w:val="00EA77F0"/>
    <w:rsid w:val="00EA789D"/>
    <w:rsid w:val="00EA7999"/>
    <w:rsid w:val="00EA7B26"/>
    <w:rsid w:val="00EA7E93"/>
    <w:rsid w:val="00EA7F2A"/>
    <w:rsid w:val="00EB0077"/>
    <w:rsid w:val="00EB03FC"/>
    <w:rsid w:val="00EB055C"/>
    <w:rsid w:val="00EB0897"/>
    <w:rsid w:val="00EB08C3"/>
    <w:rsid w:val="00EB0E76"/>
    <w:rsid w:val="00EB0FF2"/>
    <w:rsid w:val="00EB1076"/>
    <w:rsid w:val="00EB1151"/>
    <w:rsid w:val="00EB1247"/>
    <w:rsid w:val="00EB1872"/>
    <w:rsid w:val="00EB1A01"/>
    <w:rsid w:val="00EB1B86"/>
    <w:rsid w:val="00EB1B9B"/>
    <w:rsid w:val="00EB21AC"/>
    <w:rsid w:val="00EB21E7"/>
    <w:rsid w:val="00EB23F2"/>
    <w:rsid w:val="00EB25E3"/>
    <w:rsid w:val="00EB2682"/>
    <w:rsid w:val="00EB2701"/>
    <w:rsid w:val="00EB2A71"/>
    <w:rsid w:val="00EB2B80"/>
    <w:rsid w:val="00EB2D32"/>
    <w:rsid w:val="00EB2F1D"/>
    <w:rsid w:val="00EB30C1"/>
    <w:rsid w:val="00EB330D"/>
    <w:rsid w:val="00EB3341"/>
    <w:rsid w:val="00EB3764"/>
    <w:rsid w:val="00EB385C"/>
    <w:rsid w:val="00EB3B19"/>
    <w:rsid w:val="00EB3CAC"/>
    <w:rsid w:val="00EB3D55"/>
    <w:rsid w:val="00EB3F80"/>
    <w:rsid w:val="00EB400D"/>
    <w:rsid w:val="00EB409B"/>
    <w:rsid w:val="00EB4211"/>
    <w:rsid w:val="00EB4261"/>
    <w:rsid w:val="00EB4317"/>
    <w:rsid w:val="00EB43E4"/>
    <w:rsid w:val="00EB44C2"/>
    <w:rsid w:val="00EB4544"/>
    <w:rsid w:val="00EB4699"/>
    <w:rsid w:val="00EB48F2"/>
    <w:rsid w:val="00EB4A78"/>
    <w:rsid w:val="00EB4A82"/>
    <w:rsid w:val="00EB4ACF"/>
    <w:rsid w:val="00EB4AF8"/>
    <w:rsid w:val="00EB4B34"/>
    <w:rsid w:val="00EB4F6E"/>
    <w:rsid w:val="00EB4F9C"/>
    <w:rsid w:val="00EB53D1"/>
    <w:rsid w:val="00EB54D1"/>
    <w:rsid w:val="00EB54F0"/>
    <w:rsid w:val="00EB5778"/>
    <w:rsid w:val="00EB57D5"/>
    <w:rsid w:val="00EB58A8"/>
    <w:rsid w:val="00EB5C5C"/>
    <w:rsid w:val="00EB612F"/>
    <w:rsid w:val="00EB61D4"/>
    <w:rsid w:val="00EB62BC"/>
    <w:rsid w:val="00EB6340"/>
    <w:rsid w:val="00EB64B2"/>
    <w:rsid w:val="00EB6618"/>
    <w:rsid w:val="00EB66FD"/>
    <w:rsid w:val="00EB695D"/>
    <w:rsid w:val="00EB69F9"/>
    <w:rsid w:val="00EB6AC2"/>
    <w:rsid w:val="00EB6AD3"/>
    <w:rsid w:val="00EB6C86"/>
    <w:rsid w:val="00EB6CCF"/>
    <w:rsid w:val="00EB6D66"/>
    <w:rsid w:val="00EB6D9D"/>
    <w:rsid w:val="00EB6DCF"/>
    <w:rsid w:val="00EB6DE2"/>
    <w:rsid w:val="00EB6E71"/>
    <w:rsid w:val="00EB6FF2"/>
    <w:rsid w:val="00EB70C6"/>
    <w:rsid w:val="00EB7126"/>
    <w:rsid w:val="00EB742A"/>
    <w:rsid w:val="00EB750F"/>
    <w:rsid w:val="00EB77EC"/>
    <w:rsid w:val="00EB79E2"/>
    <w:rsid w:val="00EB7B09"/>
    <w:rsid w:val="00EB7B32"/>
    <w:rsid w:val="00EB7D2F"/>
    <w:rsid w:val="00EB7E61"/>
    <w:rsid w:val="00EC01CA"/>
    <w:rsid w:val="00EC02BA"/>
    <w:rsid w:val="00EC0528"/>
    <w:rsid w:val="00EC06FB"/>
    <w:rsid w:val="00EC0775"/>
    <w:rsid w:val="00EC091E"/>
    <w:rsid w:val="00EC109F"/>
    <w:rsid w:val="00EC10B4"/>
    <w:rsid w:val="00EC115C"/>
    <w:rsid w:val="00EC1171"/>
    <w:rsid w:val="00EC12A3"/>
    <w:rsid w:val="00EC12D6"/>
    <w:rsid w:val="00EC1400"/>
    <w:rsid w:val="00EC14E6"/>
    <w:rsid w:val="00EC169E"/>
    <w:rsid w:val="00EC1859"/>
    <w:rsid w:val="00EC18AD"/>
    <w:rsid w:val="00EC1B0A"/>
    <w:rsid w:val="00EC1C60"/>
    <w:rsid w:val="00EC1CE1"/>
    <w:rsid w:val="00EC1EF2"/>
    <w:rsid w:val="00EC20BC"/>
    <w:rsid w:val="00EC217F"/>
    <w:rsid w:val="00EC23D9"/>
    <w:rsid w:val="00EC255E"/>
    <w:rsid w:val="00EC2622"/>
    <w:rsid w:val="00EC2691"/>
    <w:rsid w:val="00EC28C0"/>
    <w:rsid w:val="00EC2A77"/>
    <w:rsid w:val="00EC2C1C"/>
    <w:rsid w:val="00EC2C99"/>
    <w:rsid w:val="00EC2D0B"/>
    <w:rsid w:val="00EC2D2F"/>
    <w:rsid w:val="00EC2E3D"/>
    <w:rsid w:val="00EC2F7F"/>
    <w:rsid w:val="00EC3147"/>
    <w:rsid w:val="00EC31D9"/>
    <w:rsid w:val="00EC31ED"/>
    <w:rsid w:val="00EC3AA9"/>
    <w:rsid w:val="00EC3C58"/>
    <w:rsid w:val="00EC3DB5"/>
    <w:rsid w:val="00EC3FF1"/>
    <w:rsid w:val="00EC41DD"/>
    <w:rsid w:val="00EC4302"/>
    <w:rsid w:val="00EC43E4"/>
    <w:rsid w:val="00EC4738"/>
    <w:rsid w:val="00EC473B"/>
    <w:rsid w:val="00EC477B"/>
    <w:rsid w:val="00EC4862"/>
    <w:rsid w:val="00EC4D1E"/>
    <w:rsid w:val="00EC4D3D"/>
    <w:rsid w:val="00EC51C1"/>
    <w:rsid w:val="00EC5260"/>
    <w:rsid w:val="00EC5313"/>
    <w:rsid w:val="00EC533F"/>
    <w:rsid w:val="00EC5578"/>
    <w:rsid w:val="00EC557C"/>
    <w:rsid w:val="00EC567D"/>
    <w:rsid w:val="00EC5837"/>
    <w:rsid w:val="00EC5858"/>
    <w:rsid w:val="00EC58BD"/>
    <w:rsid w:val="00EC59A7"/>
    <w:rsid w:val="00EC5A68"/>
    <w:rsid w:val="00EC5BE6"/>
    <w:rsid w:val="00EC5E35"/>
    <w:rsid w:val="00EC60AE"/>
    <w:rsid w:val="00EC60D9"/>
    <w:rsid w:val="00EC6126"/>
    <w:rsid w:val="00EC631A"/>
    <w:rsid w:val="00EC6641"/>
    <w:rsid w:val="00EC67FF"/>
    <w:rsid w:val="00EC6823"/>
    <w:rsid w:val="00EC6961"/>
    <w:rsid w:val="00EC6DED"/>
    <w:rsid w:val="00EC6F93"/>
    <w:rsid w:val="00EC710D"/>
    <w:rsid w:val="00EC7163"/>
    <w:rsid w:val="00EC71D6"/>
    <w:rsid w:val="00EC73D7"/>
    <w:rsid w:val="00EC7457"/>
    <w:rsid w:val="00EC755E"/>
    <w:rsid w:val="00EC768D"/>
    <w:rsid w:val="00EC77DA"/>
    <w:rsid w:val="00EC79F7"/>
    <w:rsid w:val="00EC7AAE"/>
    <w:rsid w:val="00EC7B08"/>
    <w:rsid w:val="00EC7C4B"/>
    <w:rsid w:val="00EC7E1E"/>
    <w:rsid w:val="00EC7FC9"/>
    <w:rsid w:val="00ED0246"/>
    <w:rsid w:val="00ED028B"/>
    <w:rsid w:val="00ED04AE"/>
    <w:rsid w:val="00ED04C9"/>
    <w:rsid w:val="00ED0529"/>
    <w:rsid w:val="00ED09C2"/>
    <w:rsid w:val="00ED0B46"/>
    <w:rsid w:val="00ED0C32"/>
    <w:rsid w:val="00ED0DF7"/>
    <w:rsid w:val="00ED0EF8"/>
    <w:rsid w:val="00ED0FC2"/>
    <w:rsid w:val="00ED0FF7"/>
    <w:rsid w:val="00ED108C"/>
    <w:rsid w:val="00ED1232"/>
    <w:rsid w:val="00ED135E"/>
    <w:rsid w:val="00ED1448"/>
    <w:rsid w:val="00ED1534"/>
    <w:rsid w:val="00ED16D3"/>
    <w:rsid w:val="00ED17E7"/>
    <w:rsid w:val="00ED18B9"/>
    <w:rsid w:val="00ED1D36"/>
    <w:rsid w:val="00ED1D42"/>
    <w:rsid w:val="00ED1DA6"/>
    <w:rsid w:val="00ED1F32"/>
    <w:rsid w:val="00ED20AE"/>
    <w:rsid w:val="00ED22F9"/>
    <w:rsid w:val="00ED2358"/>
    <w:rsid w:val="00ED23C6"/>
    <w:rsid w:val="00ED24BA"/>
    <w:rsid w:val="00ED2524"/>
    <w:rsid w:val="00ED2576"/>
    <w:rsid w:val="00ED269A"/>
    <w:rsid w:val="00ED27C2"/>
    <w:rsid w:val="00ED2CC5"/>
    <w:rsid w:val="00ED36C5"/>
    <w:rsid w:val="00ED3706"/>
    <w:rsid w:val="00ED3716"/>
    <w:rsid w:val="00ED3948"/>
    <w:rsid w:val="00ED39D7"/>
    <w:rsid w:val="00ED3BE8"/>
    <w:rsid w:val="00ED3E66"/>
    <w:rsid w:val="00ED4044"/>
    <w:rsid w:val="00ED410F"/>
    <w:rsid w:val="00ED432B"/>
    <w:rsid w:val="00ED467E"/>
    <w:rsid w:val="00ED4869"/>
    <w:rsid w:val="00ED4898"/>
    <w:rsid w:val="00ED4965"/>
    <w:rsid w:val="00ED4972"/>
    <w:rsid w:val="00ED4A41"/>
    <w:rsid w:val="00ED4C44"/>
    <w:rsid w:val="00ED4DCB"/>
    <w:rsid w:val="00ED4E70"/>
    <w:rsid w:val="00ED4F98"/>
    <w:rsid w:val="00ED585D"/>
    <w:rsid w:val="00ED5D2D"/>
    <w:rsid w:val="00ED5F46"/>
    <w:rsid w:val="00ED6250"/>
    <w:rsid w:val="00ED6295"/>
    <w:rsid w:val="00ED62FC"/>
    <w:rsid w:val="00ED67FC"/>
    <w:rsid w:val="00ED685D"/>
    <w:rsid w:val="00ED6FA4"/>
    <w:rsid w:val="00ED71CD"/>
    <w:rsid w:val="00ED7259"/>
    <w:rsid w:val="00ED72A3"/>
    <w:rsid w:val="00ED72A8"/>
    <w:rsid w:val="00ED7479"/>
    <w:rsid w:val="00ED74EF"/>
    <w:rsid w:val="00ED7677"/>
    <w:rsid w:val="00ED76AE"/>
    <w:rsid w:val="00ED774C"/>
    <w:rsid w:val="00ED776A"/>
    <w:rsid w:val="00ED794A"/>
    <w:rsid w:val="00ED7B67"/>
    <w:rsid w:val="00ED7D95"/>
    <w:rsid w:val="00ED7F42"/>
    <w:rsid w:val="00EE0045"/>
    <w:rsid w:val="00EE07D1"/>
    <w:rsid w:val="00EE07D5"/>
    <w:rsid w:val="00EE0A70"/>
    <w:rsid w:val="00EE0BF5"/>
    <w:rsid w:val="00EE0D82"/>
    <w:rsid w:val="00EE0FB2"/>
    <w:rsid w:val="00EE10EF"/>
    <w:rsid w:val="00EE1389"/>
    <w:rsid w:val="00EE1449"/>
    <w:rsid w:val="00EE1473"/>
    <w:rsid w:val="00EE1476"/>
    <w:rsid w:val="00EE154D"/>
    <w:rsid w:val="00EE1A1A"/>
    <w:rsid w:val="00EE1D27"/>
    <w:rsid w:val="00EE1E32"/>
    <w:rsid w:val="00EE1E83"/>
    <w:rsid w:val="00EE2089"/>
    <w:rsid w:val="00EE2371"/>
    <w:rsid w:val="00EE252F"/>
    <w:rsid w:val="00EE2602"/>
    <w:rsid w:val="00EE2640"/>
    <w:rsid w:val="00EE2661"/>
    <w:rsid w:val="00EE282F"/>
    <w:rsid w:val="00EE2AAF"/>
    <w:rsid w:val="00EE2BB1"/>
    <w:rsid w:val="00EE2C71"/>
    <w:rsid w:val="00EE3018"/>
    <w:rsid w:val="00EE3020"/>
    <w:rsid w:val="00EE306E"/>
    <w:rsid w:val="00EE3246"/>
    <w:rsid w:val="00EE324C"/>
    <w:rsid w:val="00EE350D"/>
    <w:rsid w:val="00EE37C8"/>
    <w:rsid w:val="00EE37E6"/>
    <w:rsid w:val="00EE382B"/>
    <w:rsid w:val="00EE3BAE"/>
    <w:rsid w:val="00EE3ED8"/>
    <w:rsid w:val="00EE4486"/>
    <w:rsid w:val="00EE4DE6"/>
    <w:rsid w:val="00EE5160"/>
    <w:rsid w:val="00EE517C"/>
    <w:rsid w:val="00EE5491"/>
    <w:rsid w:val="00EE555A"/>
    <w:rsid w:val="00EE5648"/>
    <w:rsid w:val="00EE573E"/>
    <w:rsid w:val="00EE5B5A"/>
    <w:rsid w:val="00EE5BFA"/>
    <w:rsid w:val="00EE5BFC"/>
    <w:rsid w:val="00EE5C31"/>
    <w:rsid w:val="00EE5D47"/>
    <w:rsid w:val="00EE6076"/>
    <w:rsid w:val="00EE60AE"/>
    <w:rsid w:val="00EE61EA"/>
    <w:rsid w:val="00EE6335"/>
    <w:rsid w:val="00EE6359"/>
    <w:rsid w:val="00EE6510"/>
    <w:rsid w:val="00EE655F"/>
    <w:rsid w:val="00EE6677"/>
    <w:rsid w:val="00EE6764"/>
    <w:rsid w:val="00EE67A6"/>
    <w:rsid w:val="00EE68D0"/>
    <w:rsid w:val="00EE6933"/>
    <w:rsid w:val="00EE69D6"/>
    <w:rsid w:val="00EE6B32"/>
    <w:rsid w:val="00EE6BDF"/>
    <w:rsid w:val="00EE6D12"/>
    <w:rsid w:val="00EE6D3C"/>
    <w:rsid w:val="00EE6D84"/>
    <w:rsid w:val="00EE6E01"/>
    <w:rsid w:val="00EE6E75"/>
    <w:rsid w:val="00EE6E93"/>
    <w:rsid w:val="00EE6EDD"/>
    <w:rsid w:val="00EE71E4"/>
    <w:rsid w:val="00EE72C1"/>
    <w:rsid w:val="00EE72D9"/>
    <w:rsid w:val="00EE7374"/>
    <w:rsid w:val="00EE75FD"/>
    <w:rsid w:val="00EE7892"/>
    <w:rsid w:val="00EE78D9"/>
    <w:rsid w:val="00EE7A54"/>
    <w:rsid w:val="00EE7D71"/>
    <w:rsid w:val="00EE7DF0"/>
    <w:rsid w:val="00EE7EB2"/>
    <w:rsid w:val="00EF0058"/>
    <w:rsid w:val="00EF00BB"/>
    <w:rsid w:val="00EF0179"/>
    <w:rsid w:val="00EF01DC"/>
    <w:rsid w:val="00EF0443"/>
    <w:rsid w:val="00EF05BC"/>
    <w:rsid w:val="00EF0683"/>
    <w:rsid w:val="00EF0722"/>
    <w:rsid w:val="00EF0782"/>
    <w:rsid w:val="00EF0880"/>
    <w:rsid w:val="00EF0B40"/>
    <w:rsid w:val="00EF0C28"/>
    <w:rsid w:val="00EF1024"/>
    <w:rsid w:val="00EF1082"/>
    <w:rsid w:val="00EF1373"/>
    <w:rsid w:val="00EF1464"/>
    <w:rsid w:val="00EF151F"/>
    <w:rsid w:val="00EF153F"/>
    <w:rsid w:val="00EF1690"/>
    <w:rsid w:val="00EF1711"/>
    <w:rsid w:val="00EF183D"/>
    <w:rsid w:val="00EF1ADE"/>
    <w:rsid w:val="00EF1BE1"/>
    <w:rsid w:val="00EF1D48"/>
    <w:rsid w:val="00EF201D"/>
    <w:rsid w:val="00EF2315"/>
    <w:rsid w:val="00EF2352"/>
    <w:rsid w:val="00EF2380"/>
    <w:rsid w:val="00EF2549"/>
    <w:rsid w:val="00EF25B7"/>
    <w:rsid w:val="00EF2601"/>
    <w:rsid w:val="00EF27CD"/>
    <w:rsid w:val="00EF2AA5"/>
    <w:rsid w:val="00EF2B69"/>
    <w:rsid w:val="00EF2D3F"/>
    <w:rsid w:val="00EF2E93"/>
    <w:rsid w:val="00EF330E"/>
    <w:rsid w:val="00EF367C"/>
    <w:rsid w:val="00EF3876"/>
    <w:rsid w:val="00EF3914"/>
    <w:rsid w:val="00EF400C"/>
    <w:rsid w:val="00EF4133"/>
    <w:rsid w:val="00EF4141"/>
    <w:rsid w:val="00EF4250"/>
    <w:rsid w:val="00EF42A4"/>
    <w:rsid w:val="00EF4590"/>
    <w:rsid w:val="00EF46D4"/>
    <w:rsid w:val="00EF47F3"/>
    <w:rsid w:val="00EF480B"/>
    <w:rsid w:val="00EF484B"/>
    <w:rsid w:val="00EF4887"/>
    <w:rsid w:val="00EF4A45"/>
    <w:rsid w:val="00EF4A8A"/>
    <w:rsid w:val="00EF4B01"/>
    <w:rsid w:val="00EF4B3D"/>
    <w:rsid w:val="00EF4F70"/>
    <w:rsid w:val="00EF5132"/>
    <w:rsid w:val="00EF52BA"/>
    <w:rsid w:val="00EF5592"/>
    <w:rsid w:val="00EF58A0"/>
    <w:rsid w:val="00EF5982"/>
    <w:rsid w:val="00EF5A1B"/>
    <w:rsid w:val="00EF5B61"/>
    <w:rsid w:val="00EF5C58"/>
    <w:rsid w:val="00EF5EE9"/>
    <w:rsid w:val="00EF6069"/>
    <w:rsid w:val="00EF6076"/>
    <w:rsid w:val="00EF64E5"/>
    <w:rsid w:val="00EF66A6"/>
    <w:rsid w:val="00EF66B2"/>
    <w:rsid w:val="00EF66D7"/>
    <w:rsid w:val="00EF6827"/>
    <w:rsid w:val="00EF6899"/>
    <w:rsid w:val="00EF6BFA"/>
    <w:rsid w:val="00EF6CDA"/>
    <w:rsid w:val="00EF6D61"/>
    <w:rsid w:val="00EF6D89"/>
    <w:rsid w:val="00EF6DF6"/>
    <w:rsid w:val="00EF6ED3"/>
    <w:rsid w:val="00EF6F22"/>
    <w:rsid w:val="00EF7047"/>
    <w:rsid w:val="00EF70A5"/>
    <w:rsid w:val="00EF717C"/>
    <w:rsid w:val="00EF71A6"/>
    <w:rsid w:val="00EF72CF"/>
    <w:rsid w:val="00EF72FA"/>
    <w:rsid w:val="00EF7566"/>
    <w:rsid w:val="00EF76E1"/>
    <w:rsid w:val="00EF77B6"/>
    <w:rsid w:val="00EF78D1"/>
    <w:rsid w:val="00EF7C3A"/>
    <w:rsid w:val="00EF7CC2"/>
    <w:rsid w:val="00EF7CFC"/>
    <w:rsid w:val="00EF7D47"/>
    <w:rsid w:val="00EF7DD8"/>
    <w:rsid w:val="00EF7DFD"/>
    <w:rsid w:val="00EF7E75"/>
    <w:rsid w:val="00F00068"/>
    <w:rsid w:val="00F00094"/>
    <w:rsid w:val="00F00199"/>
    <w:rsid w:val="00F00658"/>
    <w:rsid w:val="00F007D2"/>
    <w:rsid w:val="00F008D1"/>
    <w:rsid w:val="00F00946"/>
    <w:rsid w:val="00F009A2"/>
    <w:rsid w:val="00F00B6C"/>
    <w:rsid w:val="00F00CE4"/>
    <w:rsid w:val="00F00D27"/>
    <w:rsid w:val="00F00F2A"/>
    <w:rsid w:val="00F00F6B"/>
    <w:rsid w:val="00F00FA3"/>
    <w:rsid w:val="00F01121"/>
    <w:rsid w:val="00F011F9"/>
    <w:rsid w:val="00F0134A"/>
    <w:rsid w:val="00F01357"/>
    <w:rsid w:val="00F0138E"/>
    <w:rsid w:val="00F01391"/>
    <w:rsid w:val="00F01459"/>
    <w:rsid w:val="00F01B5D"/>
    <w:rsid w:val="00F01EA9"/>
    <w:rsid w:val="00F022F2"/>
    <w:rsid w:val="00F023BF"/>
    <w:rsid w:val="00F0242E"/>
    <w:rsid w:val="00F025B4"/>
    <w:rsid w:val="00F027F2"/>
    <w:rsid w:val="00F02B9D"/>
    <w:rsid w:val="00F02C69"/>
    <w:rsid w:val="00F02DCB"/>
    <w:rsid w:val="00F02F87"/>
    <w:rsid w:val="00F030D1"/>
    <w:rsid w:val="00F03299"/>
    <w:rsid w:val="00F0337F"/>
    <w:rsid w:val="00F03457"/>
    <w:rsid w:val="00F035D0"/>
    <w:rsid w:val="00F03673"/>
    <w:rsid w:val="00F0382B"/>
    <w:rsid w:val="00F0383E"/>
    <w:rsid w:val="00F03A16"/>
    <w:rsid w:val="00F03A17"/>
    <w:rsid w:val="00F03C61"/>
    <w:rsid w:val="00F03F66"/>
    <w:rsid w:val="00F041EE"/>
    <w:rsid w:val="00F042DF"/>
    <w:rsid w:val="00F04703"/>
    <w:rsid w:val="00F0491B"/>
    <w:rsid w:val="00F04A4A"/>
    <w:rsid w:val="00F04A89"/>
    <w:rsid w:val="00F04C58"/>
    <w:rsid w:val="00F04D6A"/>
    <w:rsid w:val="00F05121"/>
    <w:rsid w:val="00F05197"/>
    <w:rsid w:val="00F0527C"/>
    <w:rsid w:val="00F05394"/>
    <w:rsid w:val="00F05C48"/>
    <w:rsid w:val="00F05D14"/>
    <w:rsid w:val="00F05DF9"/>
    <w:rsid w:val="00F06124"/>
    <w:rsid w:val="00F06184"/>
    <w:rsid w:val="00F061B1"/>
    <w:rsid w:val="00F062C4"/>
    <w:rsid w:val="00F06525"/>
    <w:rsid w:val="00F06787"/>
    <w:rsid w:val="00F067E0"/>
    <w:rsid w:val="00F069F0"/>
    <w:rsid w:val="00F06D3C"/>
    <w:rsid w:val="00F06D73"/>
    <w:rsid w:val="00F06DD1"/>
    <w:rsid w:val="00F06FF9"/>
    <w:rsid w:val="00F071E2"/>
    <w:rsid w:val="00F072AB"/>
    <w:rsid w:val="00F0737D"/>
    <w:rsid w:val="00F0740D"/>
    <w:rsid w:val="00F077C7"/>
    <w:rsid w:val="00F07800"/>
    <w:rsid w:val="00F0784F"/>
    <w:rsid w:val="00F07996"/>
    <w:rsid w:val="00F07B0F"/>
    <w:rsid w:val="00F07D1B"/>
    <w:rsid w:val="00F07DEF"/>
    <w:rsid w:val="00F07F81"/>
    <w:rsid w:val="00F100DE"/>
    <w:rsid w:val="00F10655"/>
    <w:rsid w:val="00F106C2"/>
    <w:rsid w:val="00F10A2C"/>
    <w:rsid w:val="00F10F6B"/>
    <w:rsid w:val="00F111DC"/>
    <w:rsid w:val="00F11351"/>
    <w:rsid w:val="00F113A9"/>
    <w:rsid w:val="00F115F0"/>
    <w:rsid w:val="00F117A3"/>
    <w:rsid w:val="00F11D1B"/>
    <w:rsid w:val="00F11D5A"/>
    <w:rsid w:val="00F12233"/>
    <w:rsid w:val="00F12252"/>
    <w:rsid w:val="00F125B9"/>
    <w:rsid w:val="00F12C35"/>
    <w:rsid w:val="00F12EBB"/>
    <w:rsid w:val="00F12FD2"/>
    <w:rsid w:val="00F1305E"/>
    <w:rsid w:val="00F13427"/>
    <w:rsid w:val="00F134C1"/>
    <w:rsid w:val="00F13620"/>
    <w:rsid w:val="00F1364A"/>
    <w:rsid w:val="00F13AB8"/>
    <w:rsid w:val="00F13D20"/>
    <w:rsid w:val="00F13DF7"/>
    <w:rsid w:val="00F14132"/>
    <w:rsid w:val="00F1414D"/>
    <w:rsid w:val="00F141B5"/>
    <w:rsid w:val="00F14247"/>
    <w:rsid w:val="00F14277"/>
    <w:rsid w:val="00F14428"/>
    <w:rsid w:val="00F14576"/>
    <w:rsid w:val="00F145C3"/>
    <w:rsid w:val="00F14637"/>
    <w:rsid w:val="00F147F3"/>
    <w:rsid w:val="00F14960"/>
    <w:rsid w:val="00F14DBE"/>
    <w:rsid w:val="00F14E7F"/>
    <w:rsid w:val="00F154C8"/>
    <w:rsid w:val="00F154DD"/>
    <w:rsid w:val="00F155FE"/>
    <w:rsid w:val="00F15622"/>
    <w:rsid w:val="00F15920"/>
    <w:rsid w:val="00F1599B"/>
    <w:rsid w:val="00F15A1F"/>
    <w:rsid w:val="00F15CB4"/>
    <w:rsid w:val="00F16132"/>
    <w:rsid w:val="00F1659D"/>
    <w:rsid w:val="00F1665C"/>
    <w:rsid w:val="00F166A0"/>
    <w:rsid w:val="00F1673D"/>
    <w:rsid w:val="00F167E9"/>
    <w:rsid w:val="00F16BBF"/>
    <w:rsid w:val="00F16BEF"/>
    <w:rsid w:val="00F16EAC"/>
    <w:rsid w:val="00F17151"/>
    <w:rsid w:val="00F171CA"/>
    <w:rsid w:val="00F175A0"/>
    <w:rsid w:val="00F1762E"/>
    <w:rsid w:val="00F1770B"/>
    <w:rsid w:val="00F17758"/>
    <w:rsid w:val="00F17D85"/>
    <w:rsid w:val="00F201E0"/>
    <w:rsid w:val="00F20311"/>
    <w:rsid w:val="00F20759"/>
    <w:rsid w:val="00F207E5"/>
    <w:rsid w:val="00F20BF7"/>
    <w:rsid w:val="00F20C90"/>
    <w:rsid w:val="00F20CD0"/>
    <w:rsid w:val="00F20CD1"/>
    <w:rsid w:val="00F20D2E"/>
    <w:rsid w:val="00F20DD2"/>
    <w:rsid w:val="00F20E18"/>
    <w:rsid w:val="00F20E5D"/>
    <w:rsid w:val="00F20EF2"/>
    <w:rsid w:val="00F20EF4"/>
    <w:rsid w:val="00F2127A"/>
    <w:rsid w:val="00F212FD"/>
    <w:rsid w:val="00F2141C"/>
    <w:rsid w:val="00F215EC"/>
    <w:rsid w:val="00F21651"/>
    <w:rsid w:val="00F216ED"/>
    <w:rsid w:val="00F218FC"/>
    <w:rsid w:val="00F2190A"/>
    <w:rsid w:val="00F21923"/>
    <w:rsid w:val="00F219D9"/>
    <w:rsid w:val="00F21BE7"/>
    <w:rsid w:val="00F21CCC"/>
    <w:rsid w:val="00F21F34"/>
    <w:rsid w:val="00F21F99"/>
    <w:rsid w:val="00F22216"/>
    <w:rsid w:val="00F22512"/>
    <w:rsid w:val="00F225B7"/>
    <w:rsid w:val="00F22766"/>
    <w:rsid w:val="00F22790"/>
    <w:rsid w:val="00F227E4"/>
    <w:rsid w:val="00F228C3"/>
    <w:rsid w:val="00F228C5"/>
    <w:rsid w:val="00F22A05"/>
    <w:rsid w:val="00F22BF0"/>
    <w:rsid w:val="00F22E72"/>
    <w:rsid w:val="00F2330B"/>
    <w:rsid w:val="00F23379"/>
    <w:rsid w:val="00F2338B"/>
    <w:rsid w:val="00F2355E"/>
    <w:rsid w:val="00F236F0"/>
    <w:rsid w:val="00F2378E"/>
    <w:rsid w:val="00F237ED"/>
    <w:rsid w:val="00F23812"/>
    <w:rsid w:val="00F2382E"/>
    <w:rsid w:val="00F239D9"/>
    <w:rsid w:val="00F23BBA"/>
    <w:rsid w:val="00F23E18"/>
    <w:rsid w:val="00F23E8B"/>
    <w:rsid w:val="00F23F11"/>
    <w:rsid w:val="00F23FA7"/>
    <w:rsid w:val="00F241FC"/>
    <w:rsid w:val="00F24265"/>
    <w:rsid w:val="00F24324"/>
    <w:rsid w:val="00F245B5"/>
    <w:rsid w:val="00F248E2"/>
    <w:rsid w:val="00F249E3"/>
    <w:rsid w:val="00F24B1F"/>
    <w:rsid w:val="00F24D0A"/>
    <w:rsid w:val="00F24E0C"/>
    <w:rsid w:val="00F24E7F"/>
    <w:rsid w:val="00F251DC"/>
    <w:rsid w:val="00F252E7"/>
    <w:rsid w:val="00F252E8"/>
    <w:rsid w:val="00F2542B"/>
    <w:rsid w:val="00F2548B"/>
    <w:rsid w:val="00F259CC"/>
    <w:rsid w:val="00F25BE8"/>
    <w:rsid w:val="00F25CEB"/>
    <w:rsid w:val="00F25F1C"/>
    <w:rsid w:val="00F25F85"/>
    <w:rsid w:val="00F263DE"/>
    <w:rsid w:val="00F26590"/>
    <w:rsid w:val="00F265AA"/>
    <w:rsid w:val="00F2665B"/>
    <w:rsid w:val="00F26732"/>
    <w:rsid w:val="00F26787"/>
    <w:rsid w:val="00F26988"/>
    <w:rsid w:val="00F269F0"/>
    <w:rsid w:val="00F26C44"/>
    <w:rsid w:val="00F26C79"/>
    <w:rsid w:val="00F26D15"/>
    <w:rsid w:val="00F26D22"/>
    <w:rsid w:val="00F26F5D"/>
    <w:rsid w:val="00F27062"/>
    <w:rsid w:val="00F27157"/>
    <w:rsid w:val="00F2731F"/>
    <w:rsid w:val="00F27447"/>
    <w:rsid w:val="00F27659"/>
    <w:rsid w:val="00F27921"/>
    <w:rsid w:val="00F27A33"/>
    <w:rsid w:val="00F30066"/>
    <w:rsid w:val="00F30241"/>
    <w:rsid w:val="00F303E3"/>
    <w:rsid w:val="00F304B7"/>
    <w:rsid w:val="00F3061F"/>
    <w:rsid w:val="00F30B45"/>
    <w:rsid w:val="00F30CF4"/>
    <w:rsid w:val="00F30D1C"/>
    <w:rsid w:val="00F30DB5"/>
    <w:rsid w:val="00F30F58"/>
    <w:rsid w:val="00F30FA4"/>
    <w:rsid w:val="00F31013"/>
    <w:rsid w:val="00F3105A"/>
    <w:rsid w:val="00F31246"/>
    <w:rsid w:val="00F3124A"/>
    <w:rsid w:val="00F31443"/>
    <w:rsid w:val="00F3156D"/>
    <w:rsid w:val="00F3188F"/>
    <w:rsid w:val="00F31A9B"/>
    <w:rsid w:val="00F31BD5"/>
    <w:rsid w:val="00F31C4F"/>
    <w:rsid w:val="00F32015"/>
    <w:rsid w:val="00F320C3"/>
    <w:rsid w:val="00F3219B"/>
    <w:rsid w:val="00F321B9"/>
    <w:rsid w:val="00F323D1"/>
    <w:rsid w:val="00F3247F"/>
    <w:rsid w:val="00F32510"/>
    <w:rsid w:val="00F325E8"/>
    <w:rsid w:val="00F32A8A"/>
    <w:rsid w:val="00F32ACB"/>
    <w:rsid w:val="00F33093"/>
    <w:rsid w:val="00F330DD"/>
    <w:rsid w:val="00F33172"/>
    <w:rsid w:val="00F337ED"/>
    <w:rsid w:val="00F3384C"/>
    <w:rsid w:val="00F338C3"/>
    <w:rsid w:val="00F33938"/>
    <w:rsid w:val="00F33950"/>
    <w:rsid w:val="00F33A81"/>
    <w:rsid w:val="00F33C6D"/>
    <w:rsid w:val="00F33E9A"/>
    <w:rsid w:val="00F34267"/>
    <w:rsid w:val="00F34310"/>
    <w:rsid w:val="00F34574"/>
    <w:rsid w:val="00F346FA"/>
    <w:rsid w:val="00F34D0A"/>
    <w:rsid w:val="00F35016"/>
    <w:rsid w:val="00F350F9"/>
    <w:rsid w:val="00F351E7"/>
    <w:rsid w:val="00F3528E"/>
    <w:rsid w:val="00F35341"/>
    <w:rsid w:val="00F353E9"/>
    <w:rsid w:val="00F3560A"/>
    <w:rsid w:val="00F356CE"/>
    <w:rsid w:val="00F357FD"/>
    <w:rsid w:val="00F3584C"/>
    <w:rsid w:val="00F35862"/>
    <w:rsid w:val="00F35880"/>
    <w:rsid w:val="00F359CB"/>
    <w:rsid w:val="00F35B6B"/>
    <w:rsid w:val="00F35D2F"/>
    <w:rsid w:val="00F35DBE"/>
    <w:rsid w:val="00F35F45"/>
    <w:rsid w:val="00F35FC8"/>
    <w:rsid w:val="00F36055"/>
    <w:rsid w:val="00F361FC"/>
    <w:rsid w:val="00F3621C"/>
    <w:rsid w:val="00F36250"/>
    <w:rsid w:val="00F36370"/>
    <w:rsid w:val="00F3637C"/>
    <w:rsid w:val="00F365B2"/>
    <w:rsid w:val="00F3671A"/>
    <w:rsid w:val="00F367C7"/>
    <w:rsid w:val="00F36988"/>
    <w:rsid w:val="00F36CE2"/>
    <w:rsid w:val="00F36D1B"/>
    <w:rsid w:val="00F36E28"/>
    <w:rsid w:val="00F36E47"/>
    <w:rsid w:val="00F3703A"/>
    <w:rsid w:val="00F37153"/>
    <w:rsid w:val="00F37181"/>
    <w:rsid w:val="00F371D4"/>
    <w:rsid w:val="00F371F9"/>
    <w:rsid w:val="00F3733D"/>
    <w:rsid w:val="00F376F4"/>
    <w:rsid w:val="00F37740"/>
    <w:rsid w:val="00F37826"/>
    <w:rsid w:val="00F37D4E"/>
    <w:rsid w:val="00F400B4"/>
    <w:rsid w:val="00F4015F"/>
    <w:rsid w:val="00F4020A"/>
    <w:rsid w:val="00F4022B"/>
    <w:rsid w:val="00F4032A"/>
    <w:rsid w:val="00F4036B"/>
    <w:rsid w:val="00F40395"/>
    <w:rsid w:val="00F406D8"/>
    <w:rsid w:val="00F40857"/>
    <w:rsid w:val="00F40992"/>
    <w:rsid w:val="00F40B32"/>
    <w:rsid w:val="00F40CDC"/>
    <w:rsid w:val="00F40D2B"/>
    <w:rsid w:val="00F40D32"/>
    <w:rsid w:val="00F40EBB"/>
    <w:rsid w:val="00F40F69"/>
    <w:rsid w:val="00F40F8D"/>
    <w:rsid w:val="00F41113"/>
    <w:rsid w:val="00F41156"/>
    <w:rsid w:val="00F411C1"/>
    <w:rsid w:val="00F41399"/>
    <w:rsid w:val="00F4142B"/>
    <w:rsid w:val="00F414A2"/>
    <w:rsid w:val="00F4155A"/>
    <w:rsid w:val="00F41689"/>
    <w:rsid w:val="00F418F0"/>
    <w:rsid w:val="00F419AB"/>
    <w:rsid w:val="00F41AE0"/>
    <w:rsid w:val="00F41C93"/>
    <w:rsid w:val="00F42050"/>
    <w:rsid w:val="00F421F5"/>
    <w:rsid w:val="00F423A2"/>
    <w:rsid w:val="00F423B0"/>
    <w:rsid w:val="00F4244A"/>
    <w:rsid w:val="00F42778"/>
    <w:rsid w:val="00F42AB6"/>
    <w:rsid w:val="00F42BDF"/>
    <w:rsid w:val="00F42DE1"/>
    <w:rsid w:val="00F42DEF"/>
    <w:rsid w:val="00F42FF2"/>
    <w:rsid w:val="00F4315C"/>
    <w:rsid w:val="00F431C8"/>
    <w:rsid w:val="00F43289"/>
    <w:rsid w:val="00F4336C"/>
    <w:rsid w:val="00F43991"/>
    <w:rsid w:val="00F43994"/>
    <w:rsid w:val="00F43CD8"/>
    <w:rsid w:val="00F43EDD"/>
    <w:rsid w:val="00F441B6"/>
    <w:rsid w:val="00F44263"/>
    <w:rsid w:val="00F44395"/>
    <w:rsid w:val="00F44443"/>
    <w:rsid w:val="00F447A4"/>
    <w:rsid w:val="00F447D8"/>
    <w:rsid w:val="00F44842"/>
    <w:rsid w:val="00F44883"/>
    <w:rsid w:val="00F44B70"/>
    <w:rsid w:val="00F44D8B"/>
    <w:rsid w:val="00F44E9B"/>
    <w:rsid w:val="00F44F3C"/>
    <w:rsid w:val="00F44F40"/>
    <w:rsid w:val="00F4511F"/>
    <w:rsid w:val="00F45231"/>
    <w:rsid w:val="00F45403"/>
    <w:rsid w:val="00F4551F"/>
    <w:rsid w:val="00F4565C"/>
    <w:rsid w:val="00F457EF"/>
    <w:rsid w:val="00F45ADF"/>
    <w:rsid w:val="00F45C60"/>
    <w:rsid w:val="00F46151"/>
    <w:rsid w:val="00F461A3"/>
    <w:rsid w:val="00F4661B"/>
    <w:rsid w:val="00F46626"/>
    <w:rsid w:val="00F467CC"/>
    <w:rsid w:val="00F4684C"/>
    <w:rsid w:val="00F46D38"/>
    <w:rsid w:val="00F46D86"/>
    <w:rsid w:val="00F46E2E"/>
    <w:rsid w:val="00F46E46"/>
    <w:rsid w:val="00F46E5C"/>
    <w:rsid w:val="00F46F58"/>
    <w:rsid w:val="00F471D4"/>
    <w:rsid w:val="00F4723F"/>
    <w:rsid w:val="00F473BD"/>
    <w:rsid w:val="00F47405"/>
    <w:rsid w:val="00F4747B"/>
    <w:rsid w:val="00F475D9"/>
    <w:rsid w:val="00F47607"/>
    <w:rsid w:val="00F47A55"/>
    <w:rsid w:val="00F47B61"/>
    <w:rsid w:val="00F47BFE"/>
    <w:rsid w:val="00F47EDD"/>
    <w:rsid w:val="00F47F2D"/>
    <w:rsid w:val="00F5006E"/>
    <w:rsid w:val="00F500E4"/>
    <w:rsid w:val="00F5011C"/>
    <w:rsid w:val="00F5014D"/>
    <w:rsid w:val="00F501FA"/>
    <w:rsid w:val="00F5059D"/>
    <w:rsid w:val="00F5059E"/>
    <w:rsid w:val="00F5063F"/>
    <w:rsid w:val="00F50653"/>
    <w:rsid w:val="00F50A4A"/>
    <w:rsid w:val="00F50ABC"/>
    <w:rsid w:val="00F50B52"/>
    <w:rsid w:val="00F50B7A"/>
    <w:rsid w:val="00F50DEC"/>
    <w:rsid w:val="00F50E66"/>
    <w:rsid w:val="00F50F69"/>
    <w:rsid w:val="00F5125E"/>
    <w:rsid w:val="00F513EF"/>
    <w:rsid w:val="00F51469"/>
    <w:rsid w:val="00F5148A"/>
    <w:rsid w:val="00F51584"/>
    <w:rsid w:val="00F516DF"/>
    <w:rsid w:val="00F516F5"/>
    <w:rsid w:val="00F517CA"/>
    <w:rsid w:val="00F51A49"/>
    <w:rsid w:val="00F51BD3"/>
    <w:rsid w:val="00F51C01"/>
    <w:rsid w:val="00F51D80"/>
    <w:rsid w:val="00F52196"/>
    <w:rsid w:val="00F52283"/>
    <w:rsid w:val="00F522ED"/>
    <w:rsid w:val="00F52383"/>
    <w:rsid w:val="00F523C1"/>
    <w:rsid w:val="00F52776"/>
    <w:rsid w:val="00F52781"/>
    <w:rsid w:val="00F52999"/>
    <w:rsid w:val="00F52A97"/>
    <w:rsid w:val="00F52B09"/>
    <w:rsid w:val="00F52B5C"/>
    <w:rsid w:val="00F52DAF"/>
    <w:rsid w:val="00F52E1C"/>
    <w:rsid w:val="00F53058"/>
    <w:rsid w:val="00F530FF"/>
    <w:rsid w:val="00F53225"/>
    <w:rsid w:val="00F5332D"/>
    <w:rsid w:val="00F53336"/>
    <w:rsid w:val="00F53346"/>
    <w:rsid w:val="00F53447"/>
    <w:rsid w:val="00F53483"/>
    <w:rsid w:val="00F5348C"/>
    <w:rsid w:val="00F53491"/>
    <w:rsid w:val="00F53528"/>
    <w:rsid w:val="00F536FB"/>
    <w:rsid w:val="00F538C1"/>
    <w:rsid w:val="00F5398F"/>
    <w:rsid w:val="00F539B0"/>
    <w:rsid w:val="00F53E83"/>
    <w:rsid w:val="00F53EA4"/>
    <w:rsid w:val="00F545E7"/>
    <w:rsid w:val="00F54702"/>
    <w:rsid w:val="00F54794"/>
    <w:rsid w:val="00F548CD"/>
    <w:rsid w:val="00F548D0"/>
    <w:rsid w:val="00F5494E"/>
    <w:rsid w:val="00F54B93"/>
    <w:rsid w:val="00F54BB5"/>
    <w:rsid w:val="00F54C47"/>
    <w:rsid w:val="00F54EAD"/>
    <w:rsid w:val="00F55003"/>
    <w:rsid w:val="00F552A6"/>
    <w:rsid w:val="00F55AA5"/>
    <w:rsid w:val="00F55DAC"/>
    <w:rsid w:val="00F55ECE"/>
    <w:rsid w:val="00F560B4"/>
    <w:rsid w:val="00F56354"/>
    <w:rsid w:val="00F5642E"/>
    <w:rsid w:val="00F564E1"/>
    <w:rsid w:val="00F565F4"/>
    <w:rsid w:val="00F56645"/>
    <w:rsid w:val="00F56BE6"/>
    <w:rsid w:val="00F56DFC"/>
    <w:rsid w:val="00F570D3"/>
    <w:rsid w:val="00F5710D"/>
    <w:rsid w:val="00F5720A"/>
    <w:rsid w:val="00F57385"/>
    <w:rsid w:val="00F5766A"/>
    <w:rsid w:val="00F5772A"/>
    <w:rsid w:val="00F57770"/>
    <w:rsid w:val="00F577F3"/>
    <w:rsid w:val="00F57885"/>
    <w:rsid w:val="00F5795D"/>
    <w:rsid w:val="00F57AA6"/>
    <w:rsid w:val="00F57AF6"/>
    <w:rsid w:val="00F57C22"/>
    <w:rsid w:val="00F57E82"/>
    <w:rsid w:val="00F57FE2"/>
    <w:rsid w:val="00F60013"/>
    <w:rsid w:val="00F6003A"/>
    <w:rsid w:val="00F60147"/>
    <w:rsid w:val="00F6063F"/>
    <w:rsid w:val="00F60A36"/>
    <w:rsid w:val="00F60B9F"/>
    <w:rsid w:val="00F60C0C"/>
    <w:rsid w:val="00F60C56"/>
    <w:rsid w:val="00F60D61"/>
    <w:rsid w:val="00F60D86"/>
    <w:rsid w:val="00F60DB2"/>
    <w:rsid w:val="00F60EB2"/>
    <w:rsid w:val="00F60F04"/>
    <w:rsid w:val="00F610B9"/>
    <w:rsid w:val="00F612BB"/>
    <w:rsid w:val="00F615ED"/>
    <w:rsid w:val="00F616C7"/>
    <w:rsid w:val="00F616E2"/>
    <w:rsid w:val="00F6172D"/>
    <w:rsid w:val="00F61A7E"/>
    <w:rsid w:val="00F61BBB"/>
    <w:rsid w:val="00F61CBA"/>
    <w:rsid w:val="00F61EDC"/>
    <w:rsid w:val="00F61FF7"/>
    <w:rsid w:val="00F6202A"/>
    <w:rsid w:val="00F620AA"/>
    <w:rsid w:val="00F62260"/>
    <w:rsid w:val="00F62362"/>
    <w:rsid w:val="00F62451"/>
    <w:rsid w:val="00F627EC"/>
    <w:rsid w:val="00F62802"/>
    <w:rsid w:val="00F628E3"/>
    <w:rsid w:val="00F62DAB"/>
    <w:rsid w:val="00F62E40"/>
    <w:rsid w:val="00F62FBF"/>
    <w:rsid w:val="00F63065"/>
    <w:rsid w:val="00F630E3"/>
    <w:rsid w:val="00F63160"/>
    <w:rsid w:val="00F63249"/>
    <w:rsid w:val="00F63283"/>
    <w:rsid w:val="00F6342F"/>
    <w:rsid w:val="00F634B9"/>
    <w:rsid w:val="00F63568"/>
    <w:rsid w:val="00F639A7"/>
    <w:rsid w:val="00F63D3E"/>
    <w:rsid w:val="00F63D40"/>
    <w:rsid w:val="00F63E48"/>
    <w:rsid w:val="00F63E71"/>
    <w:rsid w:val="00F6403E"/>
    <w:rsid w:val="00F642DC"/>
    <w:rsid w:val="00F643DA"/>
    <w:rsid w:val="00F6452F"/>
    <w:rsid w:val="00F64585"/>
    <w:rsid w:val="00F6464E"/>
    <w:rsid w:val="00F64870"/>
    <w:rsid w:val="00F649AB"/>
    <w:rsid w:val="00F64AD7"/>
    <w:rsid w:val="00F64F18"/>
    <w:rsid w:val="00F64FE6"/>
    <w:rsid w:val="00F650DD"/>
    <w:rsid w:val="00F65355"/>
    <w:rsid w:val="00F653FC"/>
    <w:rsid w:val="00F6544A"/>
    <w:rsid w:val="00F65507"/>
    <w:rsid w:val="00F6556E"/>
    <w:rsid w:val="00F65691"/>
    <w:rsid w:val="00F6590B"/>
    <w:rsid w:val="00F65946"/>
    <w:rsid w:val="00F65A62"/>
    <w:rsid w:val="00F65B1A"/>
    <w:rsid w:val="00F65DD9"/>
    <w:rsid w:val="00F65E75"/>
    <w:rsid w:val="00F65EB1"/>
    <w:rsid w:val="00F65F0E"/>
    <w:rsid w:val="00F66007"/>
    <w:rsid w:val="00F6601E"/>
    <w:rsid w:val="00F6620C"/>
    <w:rsid w:val="00F66232"/>
    <w:rsid w:val="00F66301"/>
    <w:rsid w:val="00F665CD"/>
    <w:rsid w:val="00F66667"/>
    <w:rsid w:val="00F669EA"/>
    <w:rsid w:val="00F66A2B"/>
    <w:rsid w:val="00F66A99"/>
    <w:rsid w:val="00F66AA5"/>
    <w:rsid w:val="00F66C05"/>
    <w:rsid w:val="00F66EE8"/>
    <w:rsid w:val="00F66F2A"/>
    <w:rsid w:val="00F67052"/>
    <w:rsid w:val="00F670A3"/>
    <w:rsid w:val="00F671EF"/>
    <w:rsid w:val="00F67846"/>
    <w:rsid w:val="00F678A5"/>
    <w:rsid w:val="00F67973"/>
    <w:rsid w:val="00F67B0B"/>
    <w:rsid w:val="00F67C95"/>
    <w:rsid w:val="00F67CD9"/>
    <w:rsid w:val="00F67ECF"/>
    <w:rsid w:val="00F700BF"/>
    <w:rsid w:val="00F70173"/>
    <w:rsid w:val="00F7054B"/>
    <w:rsid w:val="00F70567"/>
    <w:rsid w:val="00F707E8"/>
    <w:rsid w:val="00F70859"/>
    <w:rsid w:val="00F70AD1"/>
    <w:rsid w:val="00F70B5E"/>
    <w:rsid w:val="00F70C41"/>
    <w:rsid w:val="00F70C56"/>
    <w:rsid w:val="00F70CDD"/>
    <w:rsid w:val="00F70F77"/>
    <w:rsid w:val="00F71439"/>
    <w:rsid w:val="00F71562"/>
    <w:rsid w:val="00F7166A"/>
    <w:rsid w:val="00F71911"/>
    <w:rsid w:val="00F71967"/>
    <w:rsid w:val="00F71A6A"/>
    <w:rsid w:val="00F71C8B"/>
    <w:rsid w:val="00F71E80"/>
    <w:rsid w:val="00F72080"/>
    <w:rsid w:val="00F7217D"/>
    <w:rsid w:val="00F721B4"/>
    <w:rsid w:val="00F7229D"/>
    <w:rsid w:val="00F72302"/>
    <w:rsid w:val="00F724B3"/>
    <w:rsid w:val="00F72541"/>
    <w:rsid w:val="00F727D6"/>
    <w:rsid w:val="00F72884"/>
    <w:rsid w:val="00F728C0"/>
    <w:rsid w:val="00F72942"/>
    <w:rsid w:val="00F72BD5"/>
    <w:rsid w:val="00F72BDD"/>
    <w:rsid w:val="00F72BF0"/>
    <w:rsid w:val="00F72F27"/>
    <w:rsid w:val="00F72F7B"/>
    <w:rsid w:val="00F7308E"/>
    <w:rsid w:val="00F731E7"/>
    <w:rsid w:val="00F733AB"/>
    <w:rsid w:val="00F736C4"/>
    <w:rsid w:val="00F73718"/>
    <w:rsid w:val="00F7381A"/>
    <w:rsid w:val="00F73B48"/>
    <w:rsid w:val="00F73B76"/>
    <w:rsid w:val="00F73C65"/>
    <w:rsid w:val="00F73D46"/>
    <w:rsid w:val="00F73D5E"/>
    <w:rsid w:val="00F73D61"/>
    <w:rsid w:val="00F74017"/>
    <w:rsid w:val="00F7412C"/>
    <w:rsid w:val="00F741D3"/>
    <w:rsid w:val="00F7433B"/>
    <w:rsid w:val="00F74341"/>
    <w:rsid w:val="00F745EE"/>
    <w:rsid w:val="00F749D2"/>
    <w:rsid w:val="00F74B66"/>
    <w:rsid w:val="00F74DCA"/>
    <w:rsid w:val="00F74DFC"/>
    <w:rsid w:val="00F752FF"/>
    <w:rsid w:val="00F7564F"/>
    <w:rsid w:val="00F7566C"/>
    <w:rsid w:val="00F7575C"/>
    <w:rsid w:val="00F7582E"/>
    <w:rsid w:val="00F75948"/>
    <w:rsid w:val="00F75A69"/>
    <w:rsid w:val="00F75B95"/>
    <w:rsid w:val="00F75D72"/>
    <w:rsid w:val="00F75F18"/>
    <w:rsid w:val="00F7648B"/>
    <w:rsid w:val="00F76608"/>
    <w:rsid w:val="00F76756"/>
    <w:rsid w:val="00F7688B"/>
    <w:rsid w:val="00F7694B"/>
    <w:rsid w:val="00F76B25"/>
    <w:rsid w:val="00F76BAF"/>
    <w:rsid w:val="00F76CC5"/>
    <w:rsid w:val="00F76E36"/>
    <w:rsid w:val="00F76E53"/>
    <w:rsid w:val="00F770DE"/>
    <w:rsid w:val="00F77100"/>
    <w:rsid w:val="00F77284"/>
    <w:rsid w:val="00F77313"/>
    <w:rsid w:val="00F77399"/>
    <w:rsid w:val="00F77434"/>
    <w:rsid w:val="00F77444"/>
    <w:rsid w:val="00F7749A"/>
    <w:rsid w:val="00F775E5"/>
    <w:rsid w:val="00F77997"/>
    <w:rsid w:val="00F779A7"/>
    <w:rsid w:val="00F77A3E"/>
    <w:rsid w:val="00F77A76"/>
    <w:rsid w:val="00F77BFC"/>
    <w:rsid w:val="00F77C57"/>
    <w:rsid w:val="00F77D29"/>
    <w:rsid w:val="00F77DA0"/>
    <w:rsid w:val="00F77DE2"/>
    <w:rsid w:val="00F77EB5"/>
    <w:rsid w:val="00F77FA2"/>
    <w:rsid w:val="00F8014E"/>
    <w:rsid w:val="00F80195"/>
    <w:rsid w:val="00F803D2"/>
    <w:rsid w:val="00F80429"/>
    <w:rsid w:val="00F8056A"/>
    <w:rsid w:val="00F80685"/>
    <w:rsid w:val="00F806C2"/>
    <w:rsid w:val="00F80A54"/>
    <w:rsid w:val="00F80BD2"/>
    <w:rsid w:val="00F8133B"/>
    <w:rsid w:val="00F814F0"/>
    <w:rsid w:val="00F81A9F"/>
    <w:rsid w:val="00F81B3F"/>
    <w:rsid w:val="00F81D9C"/>
    <w:rsid w:val="00F824A4"/>
    <w:rsid w:val="00F825B1"/>
    <w:rsid w:val="00F826BF"/>
    <w:rsid w:val="00F82818"/>
    <w:rsid w:val="00F82A4D"/>
    <w:rsid w:val="00F82AE1"/>
    <w:rsid w:val="00F82AE2"/>
    <w:rsid w:val="00F82B02"/>
    <w:rsid w:val="00F82B43"/>
    <w:rsid w:val="00F82BB2"/>
    <w:rsid w:val="00F82BF2"/>
    <w:rsid w:val="00F82D76"/>
    <w:rsid w:val="00F82D92"/>
    <w:rsid w:val="00F82D9E"/>
    <w:rsid w:val="00F82EF8"/>
    <w:rsid w:val="00F82FBC"/>
    <w:rsid w:val="00F830AC"/>
    <w:rsid w:val="00F830AE"/>
    <w:rsid w:val="00F83127"/>
    <w:rsid w:val="00F83274"/>
    <w:rsid w:val="00F8328E"/>
    <w:rsid w:val="00F83430"/>
    <w:rsid w:val="00F83638"/>
    <w:rsid w:val="00F83725"/>
    <w:rsid w:val="00F838AA"/>
    <w:rsid w:val="00F83AEA"/>
    <w:rsid w:val="00F83B5E"/>
    <w:rsid w:val="00F83BA5"/>
    <w:rsid w:val="00F83C45"/>
    <w:rsid w:val="00F83C90"/>
    <w:rsid w:val="00F83D8F"/>
    <w:rsid w:val="00F83FC8"/>
    <w:rsid w:val="00F84161"/>
    <w:rsid w:val="00F841E5"/>
    <w:rsid w:val="00F84201"/>
    <w:rsid w:val="00F8425C"/>
    <w:rsid w:val="00F844F6"/>
    <w:rsid w:val="00F84876"/>
    <w:rsid w:val="00F84964"/>
    <w:rsid w:val="00F84ADD"/>
    <w:rsid w:val="00F84B19"/>
    <w:rsid w:val="00F84BD9"/>
    <w:rsid w:val="00F84ED3"/>
    <w:rsid w:val="00F853D3"/>
    <w:rsid w:val="00F8556B"/>
    <w:rsid w:val="00F85920"/>
    <w:rsid w:val="00F85ABB"/>
    <w:rsid w:val="00F85F6E"/>
    <w:rsid w:val="00F86120"/>
    <w:rsid w:val="00F8635F"/>
    <w:rsid w:val="00F86367"/>
    <w:rsid w:val="00F866BC"/>
    <w:rsid w:val="00F8675D"/>
    <w:rsid w:val="00F867B0"/>
    <w:rsid w:val="00F86817"/>
    <w:rsid w:val="00F8681C"/>
    <w:rsid w:val="00F86866"/>
    <w:rsid w:val="00F86CFB"/>
    <w:rsid w:val="00F86DD9"/>
    <w:rsid w:val="00F86E65"/>
    <w:rsid w:val="00F87098"/>
    <w:rsid w:val="00F870BE"/>
    <w:rsid w:val="00F87130"/>
    <w:rsid w:val="00F87395"/>
    <w:rsid w:val="00F874C0"/>
    <w:rsid w:val="00F874EC"/>
    <w:rsid w:val="00F87791"/>
    <w:rsid w:val="00F87845"/>
    <w:rsid w:val="00F878E2"/>
    <w:rsid w:val="00F8792E"/>
    <w:rsid w:val="00F8797F"/>
    <w:rsid w:val="00F87C25"/>
    <w:rsid w:val="00F87CE0"/>
    <w:rsid w:val="00F87E9B"/>
    <w:rsid w:val="00F90093"/>
    <w:rsid w:val="00F903AC"/>
    <w:rsid w:val="00F903E3"/>
    <w:rsid w:val="00F9052E"/>
    <w:rsid w:val="00F9057E"/>
    <w:rsid w:val="00F90593"/>
    <w:rsid w:val="00F906C2"/>
    <w:rsid w:val="00F907BF"/>
    <w:rsid w:val="00F90C94"/>
    <w:rsid w:val="00F90E86"/>
    <w:rsid w:val="00F90F21"/>
    <w:rsid w:val="00F91227"/>
    <w:rsid w:val="00F91386"/>
    <w:rsid w:val="00F9161F"/>
    <w:rsid w:val="00F91678"/>
    <w:rsid w:val="00F916D2"/>
    <w:rsid w:val="00F9182E"/>
    <w:rsid w:val="00F91997"/>
    <w:rsid w:val="00F91A22"/>
    <w:rsid w:val="00F91A78"/>
    <w:rsid w:val="00F91B1F"/>
    <w:rsid w:val="00F91CF3"/>
    <w:rsid w:val="00F91EB5"/>
    <w:rsid w:val="00F92159"/>
    <w:rsid w:val="00F9238F"/>
    <w:rsid w:val="00F9263C"/>
    <w:rsid w:val="00F92777"/>
    <w:rsid w:val="00F92799"/>
    <w:rsid w:val="00F92B8A"/>
    <w:rsid w:val="00F92E7B"/>
    <w:rsid w:val="00F9305C"/>
    <w:rsid w:val="00F930D0"/>
    <w:rsid w:val="00F93180"/>
    <w:rsid w:val="00F936A2"/>
    <w:rsid w:val="00F937A2"/>
    <w:rsid w:val="00F937D6"/>
    <w:rsid w:val="00F93941"/>
    <w:rsid w:val="00F93BA1"/>
    <w:rsid w:val="00F93BA6"/>
    <w:rsid w:val="00F93C88"/>
    <w:rsid w:val="00F93D6D"/>
    <w:rsid w:val="00F942D7"/>
    <w:rsid w:val="00F94355"/>
    <w:rsid w:val="00F94510"/>
    <w:rsid w:val="00F94518"/>
    <w:rsid w:val="00F9469F"/>
    <w:rsid w:val="00F94740"/>
    <w:rsid w:val="00F94A62"/>
    <w:rsid w:val="00F94B43"/>
    <w:rsid w:val="00F94EB5"/>
    <w:rsid w:val="00F950DC"/>
    <w:rsid w:val="00F95147"/>
    <w:rsid w:val="00F951F8"/>
    <w:rsid w:val="00F95225"/>
    <w:rsid w:val="00F953D4"/>
    <w:rsid w:val="00F954BB"/>
    <w:rsid w:val="00F9555A"/>
    <w:rsid w:val="00F9570D"/>
    <w:rsid w:val="00F9574A"/>
    <w:rsid w:val="00F958AB"/>
    <w:rsid w:val="00F95A5E"/>
    <w:rsid w:val="00F95A93"/>
    <w:rsid w:val="00F95BF6"/>
    <w:rsid w:val="00F95BFE"/>
    <w:rsid w:val="00F95C0F"/>
    <w:rsid w:val="00F95E11"/>
    <w:rsid w:val="00F961C8"/>
    <w:rsid w:val="00F961D6"/>
    <w:rsid w:val="00F9639E"/>
    <w:rsid w:val="00F963E6"/>
    <w:rsid w:val="00F9664A"/>
    <w:rsid w:val="00F966AE"/>
    <w:rsid w:val="00F966FB"/>
    <w:rsid w:val="00F968DA"/>
    <w:rsid w:val="00F96B16"/>
    <w:rsid w:val="00F96D29"/>
    <w:rsid w:val="00F96D7A"/>
    <w:rsid w:val="00F96ECC"/>
    <w:rsid w:val="00F96F1A"/>
    <w:rsid w:val="00F9725C"/>
    <w:rsid w:val="00F972C7"/>
    <w:rsid w:val="00F97669"/>
    <w:rsid w:val="00F97692"/>
    <w:rsid w:val="00F97798"/>
    <w:rsid w:val="00F97912"/>
    <w:rsid w:val="00F979AD"/>
    <w:rsid w:val="00F97B02"/>
    <w:rsid w:val="00F97C92"/>
    <w:rsid w:val="00F97E70"/>
    <w:rsid w:val="00F97F4B"/>
    <w:rsid w:val="00F97F8F"/>
    <w:rsid w:val="00F97FCF"/>
    <w:rsid w:val="00FA01FC"/>
    <w:rsid w:val="00FA0450"/>
    <w:rsid w:val="00FA055D"/>
    <w:rsid w:val="00FA0632"/>
    <w:rsid w:val="00FA0A1E"/>
    <w:rsid w:val="00FA0A2A"/>
    <w:rsid w:val="00FA0B7F"/>
    <w:rsid w:val="00FA0D24"/>
    <w:rsid w:val="00FA0E65"/>
    <w:rsid w:val="00FA0E6E"/>
    <w:rsid w:val="00FA0EF3"/>
    <w:rsid w:val="00FA0F3D"/>
    <w:rsid w:val="00FA1214"/>
    <w:rsid w:val="00FA13DB"/>
    <w:rsid w:val="00FA1575"/>
    <w:rsid w:val="00FA18AF"/>
    <w:rsid w:val="00FA18E4"/>
    <w:rsid w:val="00FA194F"/>
    <w:rsid w:val="00FA1956"/>
    <w:rsid w:val="00FA198A"/>
    <w:rsid w:val="00FA1C98"/>
    <w:rsid w:val="00FA1FBC"/>
    <w:rsid w:val="00FA20BF"/>
    <w:rsid w:val="00FA220A"/>
    <w:rsid w:val="00FA22BB"/>
    <w:rsid w:val="00FA2308"/>
    <w:rsid w:val="00FA253E"/>
    <w:rsid w:val="00FA25D3"/>
    <w:rsid w:val="00FA279D"/>
    <w:rsid w:val="00FA2905"/>
    <w:rsid w:val="00FA2ACA"/>
    <w:rsid w:val="00FA2B4D"/>
    <w:rsid w:val="00FA2C0A"/>
    <w:rsid w:val="00FA2CE1"/>
    <w:rsid w:val="00FA2E6B"/>
    <w:rsid w:val="00FA30FA"/>
    <w:rsid w:val="00FA3217"/>
    <w:rsid w:val="00FA3329"/>
    <w:rsid w:val="00FA3388"/>
    <w:rsid w:val="00FA3519"/>
    <w:rsid w:val="00FA3CFB"/>
    <w:rsid w:val="00FA3FF1"/>
    <w:rsid w:val="00FA4274"/>
    <w:rsid w:val="00FA48A2"/>
    <w:rsid w:val="00FA48B6"/>
    <w:rsid w:val="00FA49BB"/>
    <w:rsid w:val="00FA4ABE"/>
    <w:rsid w:val="00FA4C59"/>
    <w:rsid w:val="00FA4C5A"/>
    <w:rsid w:val="00FA515B"/>
    <w:rsid w:val="00FA5181"/>
    <w:rsid w:val="00FA5470"/>
    <w:rsid w:val="00FA556D"/>
    <w:rsid w:val="00FA564D"/>
    <w:rsid w:val="00FA58C0"/>
    <w:rsid w:val="00FA5A25"/>
    <w:rsid w:val="00FA5A9D"/>
    <w:rsid w:val="00FA5C72"/>
    <w:rsid w:val="00FA5D49"/>
    <w:rsid w:val="00FA5EA9"/>
    <w:rsid w:val="00FA6114"/>
    <w:rsid w:val="00FA6342"/>
    <w:rsid w:val="00FA63E7"/>
    <w:rsid w:val="00FA643C"/>
    <w:rsid w:val="00FA6BE6"/>
    <w:rsid w:val="00FA6C7D"/>
    <w:rsid w:val="00FA713B"/>
    <w:rsid w:val="00FA7182"/>
    <w:rsid w:val="00FA71B0"/>
    <w:rsid w:val="00FA71FC"/>
    <w:rsid w:val="00FA72A7"/>
    <w:rsid w:val="00FA7456"/>
    <w:rsid w:val="00FA74C4"/>
    <w:rsid w:val="00FA75E1"/>
    <w:rsid w:val="00FA761F"/>
    <w:rsid w:val="00FA7886"/>
    <w:rsid w:val="00FA789B"/>
    <w:rsid w:val="00FA7918"/>
    <w:rsid w:val="00FA7B92"/>
    <w:rsid w:val="00FA7D1B"/>
    <w:rsid w:val="00FB0027"/>
    <w:rsid w:val="00FB0129"/>
    <w:rsid w:val="00FB015E"/>
    <w:rsid w:val="00FB02B3"/>
    <w:rsid w:val="00FB0549"/>
    <w:rsid w:val="00FB084D"/>
    <w:rsid w:val="00FB09A3"/>
    <w:rsid w:val="00FB09A8"/>
    <w:rsid w:val="00FB0D2F"/>
    <w:rsid w:val="00FB1033"/>
    <w:rsid w:val="00FB117B"/>
    <w:rsid w:val="00FB1221"/>
    <w:rsid w:val="00FB12B1"/>
    <w:rsid w:val="00FB130B"/>
    <w:rsid w:val="00FB19BB"/>
    <w:rsid w:val="00FB1D80"/>
    <w:rsid w:val="00FB1F13"/>
    <w:rsid w:val="00FB1FAA"/>
    <w:rsid w:val="00FB1FC5"/>
    <w:rsid w:val="00FB215D"/>
    <w:rsid w:val="00FB2166"/>
    <w:rsid w:val="00FB2190"/>
    <w:rsid w:val="00FB2331"/>
    <w:rsid w:val="00FB23D7"/>
    <w:rsid w:val="00FB2489"/>
    <w:rsid w:val="00FB24C0"/>
    <w:rsid w:val="00FB277C"/>
    <w:rsid w:val="00FB27EB"/>
    <w:rsid w:val="00FB2889"/>
    <w:rsid w:val="00FB294C"/>
    <w:rsid w:val="00FB29CA"/>
    <w:rsid w:val="00FB29DB"/>
    <w:rsid w:val="00FB29E6"/>
    <w:rsid w:val="00FB2A1A"/>
    <w:rsid w:val="00FB2B34"/>
    <w:rsid w:val="00FB2BEB"/>
    <w:rsid w:val="00FB2C46"/>
    <w:rsid w:val="00FB2DF1"/>
    <w:rsid w:val="00FB2E69"/>
    <w:rsid w:val="00FB30EE"/>
    <w:rsid w:val="00FB310E"/>
    <w:rsid w:val="00FB31DE"/>
    <w:rsid w:val="00FB34CF"/>
    <w:rsid w:val="00FB35FB"/>
    <w:rsid w:val="00FB3869"/>
    <w:rsid w:val="00FB38BC"/>
    <w:rsid w:val="00FB3941"/>
    <w:rsid w:val="00FB3961"/>
    <w:rsid w:val="00FB39A4"/>
    <w:rsid w:val="00FB3A07"/>
    <w:rsid w:val="00FB3D14"/>
    <w:rsid w:val="00FB3E42"/>
    <w:rsid w:val="00FB4272"/>
    <w:rsid w:val="00FB4461"/>
    <w:rsid w:val="00FB466C"/>
    <w:rsid w:val="00FB46EA"/>
    <w:rsid w:val="00FB4988"/>
    <w:rsid w:val="00FB49BD"/>
    <w:rsid w:val="00FB49E0"/>
    <w:rsid w:val="00FB4BE6"/>
    <w:rsid w:val="00FB4BFF"/>
    <w:rsid w:val="00FB4CD7"/>
    <w:rsid w:val="00FB4DB0"/>
    <w:rsid w:val="00FB5277"/>
    <w:rsid w:val="00FB5406"/>
    <w:rsid w:val="00FB55B2"/>
    <w:rsid w:val="00FB5AE3"/>
    <w:rsid w:val="00FB5BD4"/>
    <w:rsid w:val="00FB5BEB"/>
    <w:rsid w:val="00FB5C1A"/>
    <w:rsid w:val="00FB5CFE"/>
    <w:rsid w:val="00FB5E38"/>
    <w:rsid w:val="00FB5EB0"/>
    <w:rsid w:val="00FB5F3D"/>
    <w:rsid w:val="00FB6017"/>
    <w:rsid w:val="00FB6043"/>
    <w:rsid w:val="00FB6075"/>
    <w:rsid w:val="00FB60BF"/>
    <w:rsid w:val="00FB6755"/>
    <w:rsid w:val="00FB68AC"/>
    <w:rsid w:val="00FB6B3E"/>
    <w:rsid w:val="00FB70C0"/>
    <w:rsid w:val="00FB71D7"/>
    <w:rsid w:val="00FB743D"/>
    <w:rsid w:val="00FB7481"/>
    <w:rsid w:val="00FB76B3"/>
    <w:rsid w:val="00FB79C5"/>
    <w:rsid w:val="00FB7BEF"/>
    <w:rsid w:val="00FB7C75"/>
    <w:rsid w:val="00FB7CC4"/>
    <w:rsid w:val="00FB7D5E"/>
    <w:rsid w:val="00FB7EB2"/>
    <w:rsid w:val="00FB7F83"/>
    <w:rsid w:val="00FB7FE6"/>
    <w:rsid w:val="00FC03FC"/>
    <w:rsid w:val="00FC03FE"/>
    <w:rsid w:val="00FC04C9"/>
    <w:rsid w:val="00FC05F7"/>
    <w:rsid w:val="00FC05FB"/>
    <w:rsid w:val="00FC072E"/>
    <w:rsid w:val="00FC090D"/>
    <w:rsid w:val="00FC0B22"/>
    <w:rsid w:val="00FC0BA6"/>
    <w:rsid w:val="00FC0FC9"/>
    <w:rsid w:val="00FC0FFB"/>
    <w:rsid w:val="00FC106F"/>
    <w:rsid w:val="00FC134B"/>
    <w:rsid w:val="00FC1582"/>
    <w:rsid w:val="00FC16B6"/>
    <w:rsid w:val="00FC1989"/>
    <w:rsid w:val="00FC19D4"/>
    <w:rsid w:val="00FC1CF4"/>
    <w:rsid w:val="00FC1D5C"/>
    <w:rsid w:val="00FC1DCB"/>
    <w:rsid w:val="00FC1EB2"/>
    <w:rsid w:val="00FC1F15"/>
    <w:rsid w:val="00FC1F56"/>
    <w:rsid w:val="00FC1F72"/>
    <w:rsid w:val="00FC1F8B"/>
    <w:rsid w:val="00FC20E0"/>
    <w:rsid w:val="00FC2691"/>
    <w:rsid w:val="00FC27A0"/>
    <w:rsid w:val="00FC2A75"/>
    <w:rsid w:val="00FC2AC0"/>
    <w:rsid w:val="00FC2ADF"/>
    <w:rsid w:val="00FC2AE3"/>
    <w:rsid w:val="00FC2AF5"/>
    <w:rsid w:val="00FC2CA2"/>
    <w:rsid w:val="00FC2FB0"/>
    <w:rsid w:val="00FC2FC7"/>
    <w:rsid w:val="00FC3006"/>
    <w:rsid w:val="00FC306B"/>
    <w:rsid w:val="00FC3181"/>
    <w:rsid w:val="00FC3475"/>
    <w:rsid w:val="00FC3481"/>
    <w:rsid w:val="00FC34EB"/>
    <w:rsid w:val="00FC364B"/>
    <w:rsid w:val="00FC3738"/>
    <w:rsid w:val="00FC37C5"/>
    <w:rsid w:val="00FC3883"/>
    <w:rsid w:val="00FC393D"/>
    <w:rsid w:val="00FC3997"/>
    <w:rsid w:val="00FC3AC8"/>
    <w:rsid w:val="00FC3BFF"/>
    <w:rsid w:val="00FC3E10"/>
    <w:rsid w:val="00FC3E35"/>
    <w:rsid w:val="00FC3E69"/>
    <w:rsid w:val="00FC3F42"/>
    <w:rsid w:val="00FC405F"/>
    <w:rsid w:val="00FC42C3"/>
    <w:rsid w:val="00FC432F"/>
    <w:rsid w:val="00FC4573"/>
    <w:rsid w:val="00FC4AA3"/>
    <w:rsid w:val="00FC4B91"/>
    <w:rsid w:val="00FC4CA8"/>
    <w:rsid w:val="00FC4E88"/>
    <w:rsid w:val="00FC5051"/>
    <w:rsid w:val="00FC5054"/>
    <w:rsid w:val="00FC52E2"/>
    <w:rsid w:val="00FC5369"/>
    <w:rsid w:val="00FC56B1"/>
    <w:rsid w:val="00FC577A"/>
    <w:rsid w:val="00FC5A2D"/>
    <w:rsid w:val="00FC5A86"/>
    <w:rsid w:val="00FC5AF1"/>
    <w:rsid w:val="00FC5BDD"/>
    <w:rsid w:val="00FC5C8D"/>
    <w:rsid w:val="00FC6273"/>
    <w:rsid w:val="00FC62B6"/>
    <w:rsid w:val="00FC63A0"/>
    <w:rsid w:val="00FC63AC"/>
    <w:rsid w:val="00FC6486"/>
    <w:rsid w:val="00FC6591"/>
    <w:rsid w:val="00FC65E1"/>
    <w:rsid w:val="00FC68A2"/>
    <w:rsid w:val="00FC6DC2"/>
    <w:rsid w:val="00FC6FD6"/>
    <w:rsid w:val="00FC730D"/>
    <w:rsid w:val="00FC7634"/>
    <w:rsid w:val="00FC7666"/>
    <w:rsid w:val="00FC7912"/>
    <w:rsid w:val="00FC7AE5"/>
    <w:rsid w:val="00FC7C13"/>
    <w:rsid w:val="00FC7C5F"/>
    <w:rsid w:val="00FC7ED3"/>
    <w:rsid w:val="00FC7F22"/>
    <w:rsid w:val="00FD01EA"/>
    <w:rsid w:val="00FD04B0"/>
    <w:rsid w:val="00FD0803"/>
    <w:rsid w:val="00FD0854"/>
    <w:rsid w:val="00FD08CC"/>
    <w:rsid w:val="00FD09B0"/>
    <w:rsid w:val="00FD09BE"/>
    <w:rsid w:val="00FD0A45"/>
    <w:rsid w:val="00FD0AD4"/>
    <w:rsid w:val="00FD0B88"/>
    <w:rsid w:val="00FD0F2F"/>
    <w:rsid w:val="00FD105A"/>
    <w:rsid w:val="00FD113E"/>
    <w:rsid w:val="00FD12A1"/>
    <w:rsid w:val="00FD1336"/>
    <w:rsid w:val="00FD160D"/>
    <w:rsid w:val="00FD1612"/>
    <w:rsid w:val="00FD16A2"/>
    <w:rsid w:val="00FD18F8"/>
    <w:rsid w:val="00FD19CD"/>
    <w:rsid w:val="00FD1A01"/>
    <w:rsid w:val="00FD1B66"/>
    <w:rsid w:val="00FD1CA3"/>
    <w:rsid w:val="00FD1F22"/>
    <w:rsid w:val="00FD205C"/>
    <w:rsid w:val="00FD20F3"/>
    <w:rsid w:val="00FD212F"/>
    <w:rsid w:val="00FD216E"/>
    <w:rsid w:val="00FD22C2"/>
    <w:rsid w:val="00FD236C"/>
    <w:rsid w:val="00FD24CA"/>
    <w:rsid w:val="00FD276F"/>
    <w:rsid w:val="00FD2BDB"/>
    <w:rsid w:val="00FD2C0E"/>
    <w:rsid w:val="00FD2E66"/>
    <w:rsid w:val="00FD3032"/>
    <w:rsid w:val="00FD31A7"/>
    <w:rsid w:val="00FD32E1"/>
    <w:rsid w:val="00FD37F6"/>
    <w:rsid w:val="00FD3996"/>
    <w:rsid w:val="00FD39DE"/>
    <w:rsid w:val="00FD39F9"/>
    <w:rsid w:val="00FD3A44"/>
    <w:rsid w:val="00FD3B46"/>
    <w:rsid w:val="00FD3C4C"/>
    <w:rsid w:val="00FD3C76"/>
    <w:rsid w:val="00FD3CA2"/>
    <w:rsid w:val="00FD3E8A"/>
    <w:rsid w:val="00FD3E94"/>
    <w:rsid w:val="00FD3F9A"/>
    <w:rsid w:val="00FD412C"/>
    <w:rsid w:val="00FD4206"/>
    <w:rsid w:val="00FD4326"/>
    <w:rsid w:val="00FD4826"/>
    <w:rsid w:val="00FD4A2E"/>
    <w:rsid w:val="00FD4C05"/>
    <w:rsid w:val="00FD4DC4"/>
    <w:rsid w:val="00FD5175"/>
    <w:rsid w:val="00FD52ED"/>
    <w:rsid w:val="00FD53BE"/>
    <w:rsid w:val="00FD53BF"/>
    <w:rsid w:val="00FD579A"/>
    <w:rsid w:val="00FD5812"/>
    <w:rsid w:val="00FD5A77"/>
    <w:rsid w:val="00FD5B75"/>
    <w:rsid w:val="00FD5F0A"/>
    <w:rsid w:val="00FD62B1"/>
    <w:rsid w:val="00FD63D6"/>
    <w:rsid w:val="00FD6414"/>
    <w:rsid w:val="00FD6708"/>
    <w:rsid w:val="00FD678D"/>
    <w:rsid w:val="00FD6980"/>
    <w:rsid w:val="00FD6A71"/>
    <w:rsid w:val="00FD6CAA"/>
    <w:rsid w:val="00FD6D08"/>
    <w:rsid w:val="00FD6E3C"/>
    <w:rsid w:val="00FD6E76"/>
    <w:rsid w:val="00FD70C5"/>
    <w:rsid w:val="00FD71E4"/>
    <w:rsid w:val="00FD76F2"/>
    <w:rsid w:val="00FD7820"/>
    <w:rsid w:val="00FD79D1"/>
    <w:rsid w:val="00FD7A62"/>
    <w:rsid w:val="00FD7B4B"/>
    <w:rsid w:val="00FD7BD2"/>
    <w:rsid w:val="00FD7D37"/>
    <w:rsid w:val="00FD7D8B"/>
    <w:rsid w:val="00FD7E4B"/>
    <w:rsid w:val="00FD7E5B"/>
    <w:rsid w:val="00FD7E9A"/>
    <w:rsid w:val="00FD7F42"/>
    <w:rsid w:val="00FD7F49"/>
    <w:rsid w:val="00FD7F8E"/>
    <w:rsid w:val="00FE0540"/>
    <w:rsid w:val="00FE0635"/>
    <w:rsid w:val="00FE06D7"/>
    <w:rsid w:val="00FE078D"/>
    <w:rsid w:val="00FE083C"/>
    <w:rsid w:val="00FE0A23"/>
    <w:rsid w:val="00FE0A60"/>
    <w:rsid w:val="00FE0A95"/>
    <w:rsid w:val="00FE0A9B"/>
    <w:rsid w:val="00FE0ADA"/>
    <w:rsid w:val="00FE0AE4"/>
    <w:rsid w:val="00FE0D8E"/>
    <w:rsid w:val="00FE0FAA"/>
    <w:rsid w:val="00FE136D"/>
    <w:rsid w:val="00FE13F2"/>
    <w:rsid w:val="00FE18B4"/>
    <w:rsid w:val="00FE18D3"/>
    <w:rsid w:val="00FE18E2"/>
    <w:rsid w:val="00FE1A74"/>
    <w:rsid w:val="00FE1A90"/>
    <w:rsid w:val="00FE1C63"/>
    <w:rsid w:val="00FE1D67"/>
    <w:rsid w:val="00FE1D97"/>
    <w:rsid w:val="00FE2090"/>
    <w:rsid w:val="00FE21CE"/>
    <w:rsid w:val="00FE2307"/>
    <w:rsid w:val="00FE238F"/>
    <w:rsid w:val="00FE23F0"/>
    <w:rsid w:val="00FE256E"/>
    <w:rsid w:val="00FE282D"/>
    <w:rsid w:val="00FE2839"/>
    <w:rsid w:val="00FE294D"/>
    <w:rsid w:val="00FE3145"/>
    <w:rsid w:val="00FE3174"/>
    <w:rsid w:val="00FE32CE"/>
    <w:rsid w:val="00FE36AF"/>
    <w:rsid w:val="00FE3883"/>
    <w:rsid w:val="00FE3AA8"/>
    <w:rsid w:val="00FE3D8F"/>
    <w:rsid w:val="00FE3EBC"/>
    <w:rsid w:val="00FE3ECA"/>
    <w:rsid w:val="00FE3F12"/>
    <w:rsid w:val="00FE404D"/>
    <w:rsid w:val="00FE487A"/>
    <w:rsid w:val="00FE4A99"/>
    <w:rsid w:val="00FE4BEF"/>
    <w:rsid w:val="00FE4C6B"/>
    <w:rsid w:val="00FE4C71"/>
    <w:rsid w:val="00FE4DC4"/>
    <w:rsid w:val="00FE4F49"/>
    <w:rsid w:val="00FE51CB"/>
    <w:rsid w:val="00FE5238"/>
    <w:rsid w:val="00FE530E"/>
    <w:rsid w:val="00FE5446"/>
    <w:rsid w:val="00FE5745"/>
    <w:rsid w:val="00FE583E"/>
    <w:rsid w:val="00FE5953"/>
    <w:rsid w:val="00FE5A2F"/>
    <w:rsid w:val="00FE5A41"/>
    <w:rsid w:val="00FE5B80"/>
    <w:rsid w:val="00FE5BA1"/>
    <w:rsid w:val="00FE5E35"/>
    <w:rsid w:val="00FE5E77"/>
    <w:rsid w:val="00FE617C"/>
    <w:rsid w:val="00FE62BD"/>
    <w:rsid w:val="00FE633B"/>
    <w:rsid w:val="00FE6584"/>
    <w:rsid w:val="00FE65FB"/>
    <w:rsid w:val="00FE6666"/>
    <w:rsid w:val="00FE672E"/>
    <w:rsid w:val="00FE675D"/>
    <w:rsid w:val="00FE68CF"/>
    <w:rsid w:val="00FE6A76"/>
    <w:rsid w:val="00FE6E65"/>
    <w:rsid w:val="00FE7724"/>
    <w:rsid w:val="00FE796C"/>
    <w:rsid w:val="00FE7A72"/>
    <w:rsid w:val="00FE7AF5"/>
    <w:rsid w:val="00FE7C31"/>
    <w:rsid w:val="00FE7E5A"/>
    <w:rsid w:val="00FE7F8A"/>
    <w:rsid w:val="00FF01F5"/>
    <w:rsid w:val="00FF031A"/>
    <w:rsid w:val="00FF04BE"/>
    <w:rsid w:val="00FF06AE"/>
    <w:rsid w:val="00FF077A"/>
    <w:rsid w:val="00FF094D"/>
    <w:rsid w:val="00FF09A6"/>
    <w:rsid w:val="00FF0A48"/>
    <w:rsid w:val="00FF0AEB"/>
    <w:rsid w:val="00FF0C25"/>
    <w:rsid w:val="00FF0C83"/>
    <w:rsid w:val="00FF0F21"/>
    <w:rsid w:val="00FF0FD4"/>
    <w:rsid w:val="00FF1089"/>
    <w:rsid w:val="00FF10B6"/>
    <w:rsid w:val="00FF11A8"/>
    <w:rsid w:val="00FF1294"/>
    <w:rsid w:val="00FF19F1"/>
    <w:rsid w:val="00FF1D37"/>
    <w:rsid w:val="00FF1EDA"/>
    <w:rsid w:val="00FF203B"/>
    <w:rsid w:val="00FF20EB"/>
    <w:rsid w:val="00FF21CA"/>
    <w:rsid w:val="00FF2268"/>
    <w:rsid w:val="00FF2317"/>
    <w:rsid w:val="00FF25ED"/>
    <w:rsid w:val="00FF270A"/>
    <w:rsid w:val="00FF27A7"/>
    <w:rsid w:val="00FF2859"/>
    <w:rsid w:val="00FF2904"/>
    <w:rsid w:val="00FF2963"/>
    <w:rsid w:val="00FF2AA7"/>
    <w:rsid w:val="00FF2F69"/>
    <w:rsid w:val="00FF31EB"/>
    <w:rsid w:val="00FF3411"/>
    <w:rsid w:val="00FF352A"/>
    <w:rsid w:val="00FF36AF"/>
    <w:rsid w:val="00FF3982"/>
    <w:rsid w:val="00FF3998"/>
    <w:rsid w:val="00FF3A0A"/>
    <w:rsid w:val="00FF3C51"/>
    <w:rsid w:val="00FF3D9D"/>
    <w:rsid w:val="00FF3DBC"/>
    <w:rsid w:val="00FF3FC8"/>
    <w:rsid w:val="00FF44B0"/>
    <w:rsid w:val="00FF454D"/>
    <w:rsid w:val="00FF457E"/>
    <w:rsid w:val="00FF48D5"/>
    <w:rsid w:val="00FF4921"/>
    <w:rsid w:val="00FF4A22"/>
    <w:rsid w:val="00FF4A57"/>
    <w:rsid w:val="00FF4C66"/>
    <w:rsid w:val="00FF4DDD"/>
    <w:rsid w:val="00FF4E0E"/>
    <w:rsid w:val="00FF4F07"/>
    <w:rsid w:val="00FF4F2E"/>
    <w:rsid w:val="00FF4FFD"/>
    <w:rsid w:val="00FF5025"/>
    <w:rsid w:val="00FF5162"/>
    <w:rsid w:val="00FF51E8"/>
    <w:rsid w:val="00FF54B1"/>
    <w:rsid w:val="00FF55A2"/>
    <w:rsid w:val="00FF5603"/>
    <w:rsid w:val="00FF5736"/>
    <w:rsid w:val="00FF5A7D"/>
    <w:rsid w:val="00FF5CFB"/>
    <w:rsid w:val="00FF5F50"/>
    <w:rsid w:val="00FF6035"/>
    <w:rsid w:val="00FF622A"/>
    <w:rsid w:val="00FF6523"/>
    <w:rsid w:val="00FF6713"/>
    <w:rsid w:val="00FF67C5"/>
    <w:rsid w:val="00FF6996"/>
    <w:rsid w:val="00FF6B32"/>
    <w:rsid w:val="00FF6C1A"/>
    <w:rsid w:val="00FF6C92"/>
    <w:rsid w:val="00FF6D3A"/>
    <w:rsid w:val="00FF6E5B"/>
    <w:rsid w:val="00FF6E5D"/>
    <w:rsid w:val="00FF6EA6"/>
    <w:rsid w:val="00FF7131"/>
    <w:rsid w:val="00FF71B8"/>
    <w:rsid w:val="00FF7A14"/>
    <w:rsid w:val="00FF7BB5"/>
    <w:rsid w:val="00FF7CEE"/>
    <w:rsid w:val="1279F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04E54"/>
  <w15:docId w15:val="{E57110EC-858C-4C10-97B7-5AD39D7F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B2531"/>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0B2531"/>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0B2531"/>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0B2531"/>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0B2531"/>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semiHidden/>
    <w:unhideWhenUsed/>
    <w:qFormat/>
    <w:rsid w:val="000B2531"/>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0B2531"/>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531"/>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0B2531"/>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0B253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B2531"/>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0B2531"/>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B2531"/>
    <w:rPr>
      <w:rFonts w:ascii="Calibri" w:eastAsia="Times New Roman" w:hAnsi="Calibri" w:cs="Times New Roman"/>
      <w:b/>
      <w:bCs/>
    </w:rPr>
  </w:style>
  <w:style w:type="character" w:customStyle="1" w:styleId="Heading7Char">
    <w:name w:val="Heading 7 Char"/>
    <w:basedOn w:val="DefaultParagraphFont"/>
    <w:link w:val="Heading7"/>
    <w:rsid w:val="000B2531"/>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0B2531"/>
  </w:style>
  <w:style w:type="paragraph" w:styleId="BodyText">
    <w:name w:val="Body Text"/>
    <w:basedOn w:val="Normal"/>
    <w:link w:val="BodyTextChar"/>
    <w:rsid w:val="000B2531"/>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0B2531"/>
    <w:rPr>
      <w:rFonts w:ascii="Times New Roman" w:eastAsia="Times New Roman" w:hAnsi="Times New Roman" w:cs="Times New Roman"/>
      <w:sz w:val="26"/>
      <w:szCs w:val="20"/>
    </w:rPr>
  </w:style>
  <w:style w:type="character" w:styleId="Hyperlink">
    <w:name w:val="Hyperlink"/>
    <w:basedOn w:val="DefaultParagraphFont"/>
    <w:uiPriority w:val="99"/>
    <w:rsid w:val="000B2531"/>
    <w:rPr>
      <w:color w:val="0000FF"/>
      <w:u w:val="single"/>
    </w:rPr>
  </w:style>
  <w:style w:type="paragraph" w:styleId="Footer">
    <w:name w:val="footer"/>
    <w:basedOn w:val="Normal"/>
    <w:link w:val="FooterChar"/>
    <w:uiPriority w:val="99"/>
    <w:rsid w:val="000B2531"/>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0B2531"/>
    <w:rPr>
      <w:rFonts w:ascii="Times New Roman" w:eastAsia="Times New Roman" w:hAnsi="Times New Roman" w:cs="Times New Roman"/>
      <w:sz w:val="26"/>
      <w:szCs w:val="20"/>
    </w:rPr>
  </w:style>
  <w:style w:type="character" w:styleId="PageNumber">
    <w:name w:val="page number"/>
    <w:basedOn w:val="DefaultParagraphFont"/>
    <w:rsid w:val="000B2531"/>
  </w:style>
  <w:style w:type="paragraph" w:styleId="BodyTextIndent">
    <w:name w:val="Body Text Indent"/>
    <w:basedOn w:val="Normal"/>
    <w:link w:val="BodyTextIndentChar"/>
    <w:rsid w:val="000B2531"/>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0B2531"/>
    <w:rPr>
      <w:rFonts w:ascii="Times New Roman" w:eastAsia="Times New Roman" w:hAnsi="Times New Roman" w:cs="Times New Roman"/>
      <w:sz w:val="26"/>
      <w:szCs w:val="20"/>
    </w:rPr>
  </w:style>
  <w:style w:type="paragraph" w:styleId="BodyTextIndent2">
    <w:name w:val="Body Text Indent 2"/>
    <w:basedOn w:val="Normal"/>
    <w:link w:val="BodyTextIndent2Char"/>
    <w:rsid w:val="000B2531"/>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0B2531"/>
    <w:rPr>
      <w:rFonts w:ascii="Times New Roman" w:eastAsia="Times New Roman" w:hAnsi="Times New Roman" w:cs="Times New Roman"/>
      <w:b/>
      <w:sz w:val="24"/>
      <w:szCs w:val="20"/>
    </w:rPr>
  </w:style>
  <w:style w:type="character" w:styleId="Strong">
    <w:name w:val="Strong"/>
    <w:basedOn w:val="DefaultParagraphFont"/>
    <w:qFormat/>
    <w:rsid w:val="000B2531"/>
    <w:rPr>
      <w:b/>
      <w:bCs/>
    </w:rPr>
  </w:style>
  <w:style w:type="table" w:styleId="TableGrid">
    <w:name w:val="Table Grid"/>
    <w:basedOn w:val="TableNormal"/>
    <w:rsid w:val="000B25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B253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B2531"/>
    <w:rPr>
      <w:rFonts w:ascii="Tahoma" w:eastAsia="Times New Roman"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0B253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0B2531"/>
    <w:rPr>
      <w:rFonts w:ascii="Times New Roman" w:eastAsia="Times New Roman" w:hAnsi="Times New Roman" w:cs="Times New Roman"/>
      <w:sz w:val="20"/>
      <w:szCs w:val="20"/>
    </w:rPr>
  </w:style>
  <w:style w:type="character" w:styleId="FootnoteReference">
    <w:name w:val="footnote reference"/>
    <w:aliases w:val="o,fr,footnote text,Footnote_Reference,Style 13,Style 12,Style 28,(NECG) Footnote Reference,Style 11,Style 9,Style 16,Style 15,Style 17,Style 20,o1,fr1,o2,fr2,o3,fr3,Style 8,Style 7,Style 19"/>
    <w:basedOn w:val="DefaultParagraphFont"/>
    <w:uiPriority w:val="99"/>
    <w:qFormat/>
    <w:rsid w:val="000B2531"/>
    <w:rPr>
      <w:vertAlign w:val="superscript"/>
    </w:rPr>
  </w:style>
  <w:style w:type="character" w:styleId="Emphasis">
    <w:name w:val="Emphasis"/>
    <w:basedOn w:val="DefaultParagraphFont"/>
    <w:qFormat/>
    <w:rsid w:val="000B2531"/>
    <w:rPr>
      <w:i/>
      <w:iCs/>
    </w:rPr>
  </w:style>
  <w:style w:type="paragraph" w:styleId="Header">
    <w:name w:val="header"/>
    <w:basedOn w:val="Normal"/>
    <w:link w:val="HeaderChar"/>
    <w:uiPriority w:val="99"/>
    <w:rsid w:val="000B253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B2531"/>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0B2531"/>
    <w:rPr>
      <w:sz w:val="16"/>
      <w:szCs w:val="16"/>
    </w:rPr>
  </w:style>
  <w:style w:type="paragraph" w:styleId="CommentText">
    <w:name w:val="annotation text"/>
    <w:basedOn w:val="Normal"/>
    <w:link w:val="CommentTextChar"/>
    <w:uiPriority w:val="99"/>
    <w:rsid w:val="000B253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B25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B2531"/>
    <w:rPr>
      <w:b/>
      <w:bCs/>
    </w:rPr>
  </w:style>
  <w:style w:type="character" w:customStyle="1" w:styleId="CommentSubjectChar">
    <w:name w:val="Comment Subject Char"/>
    <w:basedOn w:val="CommentTextChar"/>
    <w:link w:val="CommentSubject"/>
    <w:rsid w:val="000B2531"/>
    <w:rPr>
      <w:rFonts w:ascii="Times New Roman" w:eastAsia="Times New Roman" w:hAnsi="Times New Roman" w:cs="Times New Roman"/>
      <w:b/>
      <w:bCs/>
      <w:sz w:val="20"/>
      <w:szCs w:val="20"/>
    </w:rPr>
  </w:style>
  <w:style w:type="paragraph" w:styleId="ListParagraph">
    <w:name w:val="List Paragraph"/>
    <w:basedOn w:val="Normal"/>
    <w:uiPriority w:val="34"/>
    <w:qFormat/>
    <w:rsid w:val="000B253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0B2531"/>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2F3AD8"/>
    <w:pPr>
      <w:spacing w:after="0" w:line="240" w:lineRule="auto"/>
    </w:pPr>
    <w:rPr>
      <w:rFonts w:ascii="Calibri" w:eastAsia="Times New Roman" w:hAnsi="Calibri" w:cs="Times New Roma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link w:val="NoSpacingChar"/>
    <w:uiPriority w:val="1"/>
    <w:qFormat/>
    <w:rsid w:val="00E51BC9"/>
    <w:pPr>
      <w:spacing w:after="0" w:line="240" w:lineRule="auto"/>
    </w:pPr>
  </w:style>
  <w:style w:type="paragraph" w:styleId="Revision">
    <w:name w:val="Revision"/>
    <w:hidden/>
    <w:uiPriority w:val="99"/>
    <w:semiHidden/>
    <w:rsid w:val="004F432E"/>
    <w:pPr>
      <w:spacing w:after="0" w:line="240" w:lineRule="auto"/>
    </w:pPr>
  </w:style>
  <w:style w:type="numbering" w:customStyle="1" w:styleId="Style1">
    <w:name w:val="Style1"/>
    <w:uiPriority w:val="99"/>
    <w:rsid w:val="00246156"/>
    <w:pPr>
      <w:numPr>
        <w:numId w:val="1"/>
      </w:numPr>
    </w:pPr>
  </w:style>
  <w:style w:type="character" w:customStyle="1" w:styleId="NoSpacingChar">
    <w:name w:val="No Spacing Char"/>
    <w:basedOn w:val="DefaultParagraphFont"/>
    <w:link w:val="NoSpacing"/>
    <w:uiPriority w:val="1"/>
    <w:rsid w:val="00DC059B"/>
  </w:style>
  <w:style w:type="character" w:customStyle="1" w:styleId="UnresolvedMention1">
    <w:name w:val="Unresolved Mention1"/>
    <w:basedOn w:val="DefaultParagraphFont"/>
    <w:uiPriority w:val="99"/>
    <w:semiHidden/>
    <w:unhideWhenUsed/>
    <w:rsid w:val="008336F1"/>
    <w:rPr>
      <w:color w:val="808080"/>
      <w:shd w:val="clear" w:color="auto" w:fill="E6E6E6"/>
    </w:rPr>
  </w:style>
  <w:style w:type="character" w:customStyle="1" w:styleId="UnresolvedMention2">
    <w:name w:val="Unresolved Mention2"/>
    <w:basedOn w:val="DefaultParagraphFont"/>
    <w:uiPriority w:val="99"/>
    <w:semiHidden/>
    <w:unhideWhenUsed/>
    <w:rsid w:val="005C2902"/>
    <w:rPr>
      <w:color w:val="605E5C"/>
      <w:shd w:val="clear" w:color="auto" w:fill="E1DFDD"/>
    </w:rPr>
  </w:style>
  <w:style w:type="paragraph" w:styleId="TOC8">
    <w:name w:val="toc 8"/>
    <w:basedOn w:val="Normal"/>
    <w:next w:val="Normal"/>
    <w:semiHidden/>
    <w:rsid w:val="00114E40"/>
    <w:pPr>
      <w:tabs>
        <w:tab w:val="right" w:pos="9360"/>
      </w:tabs>
      <w:suppressAutoHyphens/>
      <w:spacing w:after="0" w:line="240" w:lineRule="auto"/>
      <w:ind w:left="720" w:hanging="720"/>
    </w:pPr>
    <w:rPr>
      <w:rFonts w:ascii="Courier" w:eastAsia="Times New Roman" w:hAnsi="Courier" w:cs="Times New Roman"/>
      <w:sz w:val="24"/>
      <w:szCs w:val="20"/>
    </w:rPr>
  </w:style>
  <w:style w:type="character" w:customStyle="1" w:styleId="FootnoteTextCharChar1Char1">
    <w:name w:val="Footnote Text Char Char1 Char1"/>
    <w:aliases w:val="Footnote Text Char1 Char Char Char1,Footnote Text Char Char1 Char Char Char1,Footnote Text Char2 Char Char1 Char Char Char1,Footnote Text Char1 Char Char Char Char Char1 Char1"/>
    <w:basedOn w:val="DefaultParagraphFont"/>
    <w:uiPriority w:val="99"/>
    <w:rsid w:val="004D2539"/>
    <w:rPr>
      <w:sz w:val="20"/>
      <w:szCs w:val="20"/>
    </w:rPr>
  </w:style>
  <w:style w:type="paragraph" w:customStyle="1" w:styleId="Default">
    <w:name w:val="Default"/>
    <w:rsid w:val="00FE6584"/>
    <w:pPr>
      <w:autoSpaceDE w:val="0"/>
      <w:autoSpaceDN w:val="0"/>
      <w:adjustRightInd w:val="0"/>
      <w:spacing w:after="0" w:line="240" w:lineRule="auto"/>
    </w:pPr>
    <w:rPr>
      <w:rFonts w:ascii="Courier New" w:hAnsi="Courier New" w:cs="Courier New"/>
      <w:color w:val="000000"/>
      <w:sz w:val="24"/>
      <w:szCs w:val="24"/>
    </w:rPr>
  </w:style>
  <w:style w:type="paragraph" w:customStyle="1" w:styleId="paragraph">
    <w:name w:val="paragraph"/>
    <w:basedOn w:val="Normal"/>
    <w:rsid w:val="00AE6AE0"/>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AE6AE0"/>
  </w:style>
  <w:style w:type="character" w:customStyle="1" w:styleId="normaltextrun1">
    <w:name w:val="normaltextrun1"/>
    <w:basedOn w:val="DefaultParagraphFont"/>
    <w:rsid w:val="00AE6AE0"/>
  </w:style>
  <w:style w:type="character" w:customStyle="1" w:styleId="eop">
    <w:name w:val="eop"/>
    <w:basedOn w:val="DefaultParagraphFont"/>
    <w:rsid w:val="00AE6AE0"/>
  </w:style>
  <w:style w:type="character" w:customStyle="1" w:styleId="bcx3">
    <w:name w:val="bcx3"/>
    <w:basedOn w:val="DefaultParagraphFont"/>
    <w:rsid w:val="00AE6AE0"/>
  </w:style>
  <w:style w:type="character" w:styleId="FollowedHyperlink">
    <w:name w:val="FollowedHyperlink"/>
    <w:basedOn w:val="DefaultParagraphFont"/>
    <w:uiPriority w:val="99"/>
    <w:semiHidden/>
    <w:unhideWhenUsed/>
    <w:rsid w:val="00090FBF"/>
    <w:rPr>
      <w:color w:val="800080" w:themeColor="followedHyperlink"/>
      <w:u w:val="single"/>
    </w:rPr>
  </w:style>
  <w:style w:type="paragraph" w:styleId="PlainText">
    <w:name w:val="Plain Text"/>
    <w:basedOn w:val="Normal"/>
    <w:link w:val="PlainTextChar"/>
    <w:uiPriority w:val="99"/>
    <w:unhideWhenUsed/>
    <w:rsid w:val="0050621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506216"/>
    <w:rPr>
      <w:rFonts w:ascii="Consolas" w:eastAsia="Calibri" w:hAnsi="Consolas" w:cs="Times New Roman"/>
      <w:sz w:val="21"/>
      <w:szCs w:val="21"/>
    </w:rPr>
  </w:style>
  <w:style w:type="numbering" w:customStyle="1" w:styleId="NoList11">
    <w:name w:val="No List11"/>
    <w:next w:val="NoList"/>
    <w:uiPriority w:val="99"/>
    <w:semiHidden/>
    <w:unhideWhenUsed/>
    <w:rsid w:val="00506216"/>
  </w:style>
  <w:style w:type="paragraph" w:styleId="BodyText2">
    <w:name w:val="Body Text 2"/>
    <w:basedOn w:val="Normal"/>
    <w:link w:val="BodyText2Char"/>
    <w:semiHidden/>
    <w:unhideWhenUsed/>
    <w:rsid w:val="00506216"/>
    <w:pPr>
      <w:spacing w:after="120" w:line="48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semiHidden/>
    <w:rsid w:val="00506216"/>
    <w:rPr>
      <w:rFonts w:ascii="Courier New" w:eastAsia="Times New Roman" w:hAnsi="Courier New" w:cs="Times New Roman"/>
      <w:sz w:val="24"/>
      <w:szCs w:val="20"/>
    </w:rPr>
  </w:style>
  <w:style w:type="character" w:styleId="Mention">
    <w:name w:val="Mention"/>
    <w:basedOn w:val="DefaultParagraphFont"/>
    <w:uiPriority w:val="99"/>
    <w:unhideWhenUsed/>
    <w:rsid w:val="00506216"/>
    <w:rPr>
      <w:color w:val="2B579A"/>
      <w:shd w:val="clear" w:color="auto" w:fill="E1DFDD"/>
    </w:rPr>
  </w:style>
  <w:style w:type="character" w:customStyle="1" w:styleId="UnresolvedMention3">
    <w:name w:val="Unresolved Mention3"/>
    <w:basedOn w:val="DefaultParagraphFont"/>
    <w:uiPriority w:val="99"/>
    <w:unhideWhenUsed/>
    <w:rsid w:val="00947B37"/>
    <w:rPr>
      <w:color w:val="605E5C"/>
      <w:shd w:val="clear" w:color="auto" w:fill="E1DFDD"/>
    </w:rPr>
  </w:style>
  <w:style w:type="character" w:styleId="UnresolvedMention">
    <w:name w:val="Unresolved Mention"/>
    <w:basedOn w:val="DefaultParagraphFont"/>
    <w:uiPriority w:val="99"/>
    <w:unhideWhenUsed/>
    <w:rsid w:val="00090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144">
      <w:bodyDiv w:val="1"/>
      <w:marLeft w:val="0"/>
      <w:marRight w:val="0"/>
      <w:marTop w:val="0"/>
      <w:marBottom w:val="0"/>
      <w:divBdr>
        <w:top w:val="none" w:sz="0" w:space="0" w:color="auto"/>
        <w:left w:val="none" w:sz="0" w:space="0" w:color="auto"/>
        <w:bottom w:val="none" w:sz="0" w:space="0" w:color="auto"/>
        <w:right w:val="none" w:sz="0" w:space="0" w:color="auto"/>
      </w:divBdr>
    </w:div>
    <w:div w:id="51278299">
      <w:bodyDiv w:val="1"/>
      <w:marLeft w:val="0"/>
      <w:marRight w:val="0"/>
      <w:marTop w:val="0"/>
      <w:marBottom w:val="0"/>
      <w:divBdr>
        <w:top w:val="none" w:sz="0" w:space="0" w:color="auto"/>
        <w:left w:val="none" w:sz="0" w:space="0" w:color="auto"/>
        <w:bottom w:val="none" w:sz="0" w:space="0" w:color="auto"/>
        <w:right w:val="none" w:sz="0" w:space="0" w:color="auto"/>
      </w:divBdr>
    </w:div>
    <w:div w:id="109518223">
      <w:bodyDiv w:val="1"/>
      <w:marLeft w:val="0"/>
      <w:marRight w:val="0"/>
      <w:marTop w:val="0"/>
      <w:marBottom w:val="0"/>
      <w:divBdr>
        <w:top w:val="none" w:sz="0" w:space="0" w:color="auto"/>
        <w:left w:val="none" w:sz="0" w:space="0" w:color="auto"/>
        <w:bottom w:val="none" w:sz="0" w:space="0" w:color="auto"/>
        <w:right w:val="none" w:sz="0" w:space="0" w:color="auto"/>
      </w:divBdr>
      <w:divsChild>
        <w:div w:id="1165323845">
          <w:marLeft w:val="0"/>
          <w:marRight w:val="0"/>
          <w:marTop w:val="0"/>
          <w:marBottom w:val="0"/>
          <w:divBdr>
            <w:top w:val="none" w:sz="0" w:space="0" w:color="auto"/>
            <w:left w:val="none" w:sz="0" w:space="0" w:color="auto"/>
            <w:bottom w:val="none" w:sz="0" w:space="0" w:color="auto"/>
            <w:right w:val="none" w:sz="0" w:space="0" w:color="auto"/>
          </w:divBdr>
          <w:divsChild>
            <w:div w:id="206841290">
              <w:marLeft w:val="0"/>
              <w:marRight w:val="0"/>
              <w:marTop w:val="0"/>
              <w:marBottom w:val="0"/>
              <w:divBdr>
                <w:top w:val="none" w:sz="0" w:space="0" w:color="auto"/>
                <w:left w:val="none" w:sz="0" w:space="0" w:color="auto"/>
                <w:bottom w:val="none" w:sz="0" w:space="0" w:color="auto"/>
                <w:right w:val="none" w:sz="0" w:space="0" w:color="auto"/>
              </w:divBdr>
              <w:divsChild>
                <w:div w:id="1525443478">
                  <w:marLeft w:val="0"/>
                  <w:marRight w:val="0"/>
                  <w:marTop w:val="0"/>
                  <w:marBottom w:val="0"/>
                  <w:divBdr>
                    <w:top w:val="none" w:sz="0" w:space="0" w:color="auto"/>
                    <w:left w:val="none" w:sz="0" w:space="0" w:color="auto"/>
                    <w:bottom w:val="none" w:sz="0" w:space="0" w:color="auto"/>
                    <w:right w:val="none" w:sz="0" w:space="0" w:color="auto"/>
                  </w:divBdr>
                  <w:divsChild>
                    <w:div w:id="1844662136">
                      <w:marLeft w:val="0"/>
                      <w:marRight w:val="0"/>
                      <w:marTop w:val="0"/>
                      <w:marBottom w:val="0"/>
                      <w:divBdr>
                        <w:top w:val="none" w:sz="0" w:space="0" w:color="auto"/>
                        <w:left w:val="none" w:sz="0" w:space="0" w:color="auto"/>
                        <w:bottom w:val="none" w:sz="0" w:space="0" w:color="auto"/>
                        <w:right w:val="none" w:sz="0" w:space="0" w:color="auto"/>
                      </w:divBdr>
                      <w:divsChild>
                        <w:div w:id="2097439590">
                          <w:marLeft w:val="0"/>
                          <w:marRight w:val="0"/>
                          <w:marTop w:val="0"/>
                          <w:marBottom w:val="0"/>
                          <w:divBdr>
                            <w:top w:val="none" w:sz="0" w:space="0" w:color="auto"/>
                            <w:left w:val="none" w:sz="0" w:space="0" w:color="auto"/>
                            <w:bottom w:val="none" w:sz="0" w:space="0" w:color="auto"/>
                            <w:right w:val="none" w:sz="0" w:space="0" w:color="auto"/>
                          </w:divBdr>
                          <w:divsChild>
                            <w:div w:id="1754087442">
                              <w:marLeft w:val="0"/>
                              <w:marRight w:val="0"/>
                              <w:marTop w:val="0"/>
                              <w:marBottom w:val="0"/>
                              <w:divBdr>
                                <w:top w:val="none" w:sz="0" w:space="0" w:color="auto"/>
                                <w:left w:val="none" w:sz="0" w:space="0" w:color="auto"/>
                                <w:bottom w:val="none" w:sz="0" w:space="0" w:color="auto"/>
                                <w:right w:val="none" w:sz="0" w:space="0" w:color="auto"/>
                              </w:divBdr>
                              <w:divsChild>
                                <w:div w:id="1883401767">
                                  <w:marLeft w:val="0"/>
                                  <w:marRight w:val="0"/>
                                  <w:marTop w:val="0"/>
                                  <w:marBottom w:val="0"/>
                                  <w:divBdr>
                                    <w:top w:val="none" w:sz="0" w:space="0" w:color="auto"/>
                                    <w:left w:val="none" w:sz="0" w:space="0" w:color="auto"/>
                                    <w:bottom w:val="none" w:sz="0" w:space="0" w:color="auto"/>
                                    <w:right w:val="none" w:sz="0" w:space="0" w:color="auto"/>
                                  </w:divBdr>
                                  <w:divsChild>
                                    <w:div w:id="1111390139">
                                      <w:marLeft w:val="0"/>
                                      <w:marRight w:val="0"/>
                                      <w:marTop w:val="0"/>
                                      <w:marBottom w:val="0"/>
                                      <w:divBdr>
                                        <w:top w:val="none" w:sz="0" w:space="0" w:color="auto"/>
                                        <w:left w:val="none" w:sz="0" w:space="0" w:color="auto"/>
                                        <w:bottom w:val="none" w:sz="0" w:space="0" w:color="auto"/>
                                        <w:right w:val="none" w:sz="0" w:space="0" w:color="auto"/>
                                      </w:divBdr>
                                      <w:divsChild>
                                        <w:div w:id="1493177984">
                                          <w:marLeft w:val="0"/>
                                          <w:marRight w:val="0"/>
                                          <w:marTop w:val="0"/>
                                          <w:marBottom w:val="0"/>
                                          <w:divBdr>
                                            <w:top w:val="none" w:sz="0" w:space="0" w:color="auto"/>
                                            <w:left w:val="none" w:sz="0" w:space="0" w:color="auto"/>
                                            <w:bottom w:val="none" w:sz="0" w:space="0" w:color="auto"/>
                                            <w:right w:val="none" w:sz="0" w:space="0" w:color="auto"/>
                                          </w:divBdr>
                                          <w:divsChild>
                                            <w:div w:id="1006830601">
                                              <w:marLeft w:val="0"/>
                                              <w:marRight w:val="0"/>
                                              <w:marTop w:val="0"/>
                                              <w:marBottom w:val="0"/>
                                              <w:divBdr>
                                                <w:top w:val="none" w:sz="0" w:space="0" w:color="auto"/>
                                                <w:left w:val="none" w:sz="0" w:space="0" w:color="auto"/>
                                                <w:bottom w:val="none" w:sz="0" w:space="0" w:color="auto"/>
                                                <w:right w:val="none" w:sz="0" w:space="0" w:color="auto"/>
                                              </w:divBdr>
                                              <w:divsChild>
                                                <w:div w:id="347365584">
                                                  <w:marLeft w:val="0"/>
                                                  <w:marRight w:val="0"/>
                                                  <w:marTop w:val="0"/>
                                                  <w:marBottom w:val="0"/>
                                                  <w:divBdr>
                                                    <w:top w:val="none" w:sz="0" w:space="0" w:color="auto"/>
                                                    <w:left w:val="none" w:sz="0" w:space="0" w:color="auto"/>
                                                    <w:bottom w:val="none" w:sz="0" w:space="0" w:color="auto"/>
                                                    <w:right w:val="none" w:sz="0" w:space="0" w:color="auto"/>
                                                  </w:divBdr>
                                                  <w:divsChild>
                                                    <w:div w:id="778528235">
                                                      <w:marLeft w:val="0"/>
                                                      <w:marRight w:val="0"/>
                                                      <w:marTop w:val="0"/>
                                                      <w:marBottom w:val="0"/>
                                                      <w:divBdr>
                                                        <w:top w:val="single" w:sz="6" w:space="0" w:color="ABABAB"/>
                                                        <w:left w:val="single" w:sz="6" w:space="0" w:color="ABABAB"/>
                                                        <w:bottom w:val="none" w:sz="0" w:space="0" w:color="auto"/>
                                                        <w:right w:val="single" w:sz="6" w:space="0" w:color="ABABAB"/>
                                                      </w:divBdr>
                                                      <w:divsChild>
                                                        <w:div w:id="681130509">
                                                          <w:marLeft w:val="0"/>
                                                          <w:marRight w:val="0"/>
                                                          <w:marTop w:val="0"/>
                                                          <w:marBottom w:val="0"/>
                                                          <w:divBdr>
                                                            <w:top w:val="none" w:sz="0" w:space="0" w:color="auto"/>
                                                            <w:left w:val="none" w:sz="0" w:space="0" w:color="auto"/>
                                                            <w:bottom w:val="none" w:sz="0" w:space="0" w:color="auto"/>
                                                            <w:right w:val="none" w:sz="0" w:space="0" w:color="auto"/>
                                                          </w:divBdr>
                                                          <w:divsChild>
                                                            <w:div w:id="1056314314">
                                                              <w:marLeft w:val="0"/>
                                                              <w:marRight w:val="0"/>
                                                              <w:marTop w:val="0"/>
                                                              <w:marBottom w:val="0"/>
                                                              <w:divBdr>
                                                                <w:top w:val="none" w:sz="0" w:space="0" w:color="auto"/>
                                                                <w:left w:val="none" w:sz="0" w:space="0" w:color="auto"/>
                                                                <w:bottom w:val="none" w:sz="0" w:space="0" w:color="auto"/>
                                                                <w:right w:val="none" w:sz="0" w:space="0" w:color="auto"/>
                                                              </w:divBdr>
                                                              <w:divsChild>
                                                                <w:div w:id="972322913">
                                                                  <w:marLeft w:val="0"/>
                                                                  <w:marRight w:val="0"/>
                                                                  <w:marTop w:val="0"/>
                                                                  <w:marBottom w:val="0"/>
                                                                  <w:divBdr>
                                                                    <w:top w:val="none" w:sz="0" w:space="0" w:color="auto"/>
                                                                    <w:left w:val="none" w:sz="0" w:space="0" w:color="auto"/>
                                                                    <w:bottom w:val="none" w:sz="0" w:space="0" w:color="auto"/>
                                                                    <w:right w:val="none" w:sz="0" w:space="0" w:color="auto"/>
                                                                  </w:divBdr>
                                                                  <w:divsChild>
                                                                    <w:div w:id="1202743995">
                                                                      <w:marLeft w:val="0"/>
                                                                      <w:marRight w:val="0"/>
                                                                      <w:marTop w:val="0"/>
                                                                      <w:marBottom w:val="0"/>
                                                                      <w:divBdr>
                                                                        <w:top w:val="none" w:sz="0" w:space="0" w:color="auto"/>
                                                                        <w:left w:val="none" w:sz="0" w:space="0" w:color="auto"/>
                                                                        <w:bottom w:val="none" w:sz="0" w:space="0" w:color="auto"/>
                                                                        <w:right w:val="none" w:sz="0" w:space="0" w:color="auto"/>
                                                                      </w:divBdr>
                                                                      <w:divsChild>
                                                                        <w:div w:id="30766494">
                                                                          <w:marLeft w:val="0"/>
                                                                          <w:marRight w:val="0"/>
                                                                          <w:marTop w:val="0"/>
                                                                          <w:marBottom w:val="0"/>
                                                                          <w:divBdr>
                                                                            <w:top w:val="none" w:sz="0" w:space="0" w:color="auto"/>
                                                                            <w:left w:val="none" w:sz="0" w:space="0" w:color="auto"/>
                                                                            <w:bottom w:val="none" w:sz="0" w:space="0" w:color="auto"/>
                                                                            <w:right w:val="none" w:sz="0" w:space="0" w:color="auto"/>
                                                                          </w:divBdr>
                                                                          <w:divsChild>
                                                                            <w:div w:id="1356466343">
                                                                              <w:marLeft w:val="0"/>
                                                                              <w:marRight w:val="0"/>
                                                                              <w:marTop w:val="0"/>
                                                                              <w:marBottom w:val="0"/>
                                                                              <w:divBdr>
                                                                                <w:top w:val="none" w:sz="0" w:space="0" w:color="auto"/>
                                                                                <w:left w:val="none" w:sz="0" w:space="0" w:color="auto"/>
                                                                                <w:bottom w:val="none" w:sz="0" w:space="0" w:color="auto"/>
                                                                                <w:right w:val="none" w:sz="0" w:space="0" w:color="auto"/>
                                                                              </w:divBdr>
                                                                              <w:divsChild>
                                                                                <w:div w:id="44333376">
                                                                                  <w:marLeft w:val="0"/>
                                                                                  <w:marRight w:val="0"/>
                                                                                  <w:marTop w:val="0"/>
                                                                                  <w:marBottom w:val="0"/>
                                                                                  <w:divBdr>
                                                                                    <w:top w:val="none" w:sz="0" w:space="0" w:color="auto"/>
                                                                                    <w:left w:val="none" w:sz="0" w:space="0" w:color="auto"/>
                                                                                    <w:bottom w:val="none" w:sz="0" w:space="0" w:color="auto"/>
                                                                                    <w:right w:val="none" w:sz="0" w:space="0" w:color="auto"/>
                                                                                  </w:divBdr>
                                                                                </w:div>
                                                                                <w:div w:id="170149337">
                                                                                  <w:marLeft w:val="0"/>
                                                                                  <w:marRight w:val="0"/>
                                                                                  <w:marTop w:val="0"/>
                                                                                  <w:marBottom w:val="0"/>
                                                                                  <w:divBdr>
                                                                                    <w:top w:val="none" w:sz="0" w:space="0" w:color="auto"/>
                                                                                    <w:left w:val="none" w:sz="0" w:space="0" w:color="auto"/>
                                                                                    <w:bottom w:val="none" w:sz="0" w:space="0" w:color="auto"/>
                                                                                    <w:right w:val="none" w:sz="0" w:space="0" w:color="auto"/>
                                                                                  </w:divBdr>
                                                                                </w:div>
                                                                                <w:div w:id="299459314">
                                                                                  <w:marLeft w:val="0"/>
                                                                                  <w:marRight w:val="0"/>
                                                                                  <w:marTop w:val="0"/>
                                                                                  <w:marBottom w:val="0"/>
                                                                                  <w:divBdr>
                                                                                    <w:top w:val="none" w:sz="0" w:space="0" w:color="auto"/>
                                                                                    <w:left w:val="none" w:sz="0" w:space="0" w:color="auto"/>
                                                                                    <w:bottom w:val="none" w:sz="0" w:space="0" w:color="auto"/>
                                                                                    <w:right w:val="none" w:sz="0" w:space="0" w:color="auto"/>
                                                                                  </w:divBdr>
                                                                                </w:div>
                                                                                <w:div w:id="310327402">
                                                                                  <w:marLeft w:val="0"/>
                                                                                  <w:marRight w:val="0"/>
                                                                                  <w:marTop w:val="0"/>
                                                                                  <w:marBottom w:val="0"/>
                                                                                  <w:divBdr>
                                                                                    <w:top w:val="none" w:sz="0" w:space="0" w:color="auto"/>
                                                                                    <w:left w:val="none" w:sz="0" w:space="0" w:color="auto"/>
                                                                                    <w:bottom w:val="none" w:sz="0" w:space="0" w:color="auto"/>
                                                                                    <w:right w:val="none" w:sz="0" w:space="0" w:color="auto"/>
                                                                                  </w:divBdr>
                                                                                </w:div>
                                                                                <w:div w:id="463736588">
                                                                                  <w:marLeft w:val="0"/>
                                                                                  <w:marRight w:val="0"/>
                                                                                  <w:marTop w:val="0"/>
                                                                                  <w:marBottom w:val="0"/>
                                                                                  <w:divBdr>
                                                                                    <w:top w:val="none" w:sz="0" w:space="0" w:color="auto"/>
                                                                                    <w:left w:val="none" w:sz="0" w:space="0" w:color="auto"/>
                                                                                    <w:bottom w:val="none" w:sz="0" w:space="0" w:color="auto"/>
                                                                                    <w:right w:val="none" w:sz="0" w:space="0" w:color="auto"/>
                                                                                  </w:divBdr>
                                                                                </w:div>
                                                                                <w:div w:id="501745728">
                                                                                  <w:marLeft w:val="0"/>
                                                                                  <w:marRight w:val="0"/>
                                                                                  <w:marTop w:val="0"/>
                                                                                  <w:marBottom w:val="0"/>
                                                                                  <w:divBdr>
                                                                                    <w:top w:val="none" w:sz="0" w:space="0" w:color="auto"/>
                                                                                    <w:left w:val="none" w:sz="0" w:space="0" w:color="auto"/>
                                                                                    <w:bottom w:val="none" w:sz="0" w:space="0" w:color="auto"/>
                                                                                    <w:right w:val="none" w:sz="0" w:space="0" w:color="auto"/>
                                                                                  </w:divBdr>
                                                                                </w:div>
                                                                                <w:div w:id="652295337">
                                                                                  <w:marLeft w:val="0"/>
                                                                                  <w:marRight w:val="0"/>
                                                                                  <w:marTop w:val="0"/>
                                                                                  <w:marBottom w:val="0"/>
                                                                                  <w:divBdr>
                                                                                    <w:top w:val="none" w:sz="0" w:space="0" w:color="auto"/>
                                                                                    <w:left w:val="none" w:sz="0" w:space="0" w:color="auto"/>
                                                                                    <w:bottom w:val="none" w:sz="0" w:space="0" w:color="auto"/>
                                                                                    <w:right w:val="none" w:sz="0" w:space="0" w:color="auto"/>
                                                                                  </w:divBdr>
                                                                                </w:div>
                                                                                <w:div w:id="667750036">
                                                                                  <w:marLeft w:val="0"/>
                                                                                  <w:marRight w:val="0"/>
                                                                                  <w:marTop w:val="0"/>
                                                                                  <w:marBottom w:val="0"/>
                                                                                  <w:divBdr>
                                                                                    <w:top w:val="none" w:sz="0" w:space="0" w:color="auto"/>
                                                                                    <w:left w:val="none" w:sz="0" w:space="0" w:color="auto"/>
                                                                                    <w:bottom w:val="none" w:sz="0" w:space="0" w:color="auto"/>
                                                                                    <w:right w:val="none" w:sz="0" w:space="0" w:color="auto"/>
                                                                                  </w:divBdr>
                                                                                </w:div>
                                                                                <w:div w:id="736367004">
                                                                                  <w:marLeft w:val="0"/>
                                                                                  <w:marRight w:val="0"/>
                                                                                  <w:marTop w:val="0"/>
                                                                                  <w:marBottom w:val="0"/>
                                                                                  <w:divBdr>
                                                                                    <w:top w:val="none" w:sz="0" w:space="0" w:color="auto"/>
                                                                                    <w:left w:val="none" w:sz="0" w:space="0" w:color="auto"/>
                                                                                    <w:bottom w:val="none" w:sz="0" w:space="0" w:color="auto"/>
                                                                                    <w:right w:val="none" w:sz="0" w:space="0" w:color="auto"/>
                                                                                  </w:divBdr>
                                                                                </w:div>
                                                                                <w:div w:id="773749393">
                                                                                  <w:marLeft w:val="0"/>
                                                                                  <w:marRight w:val="0"/>
                                                                                  <w:marTop w:val="0"/>
                                                                                  <w:marBottom w:val="0"/>
                                                                                  <w:divBdr>
                                                                                    <w:top w:val="none" w:sz="0" w:space="0" w:color="auto"/>
                                                                                    <w:left w:val="none" w:sz="0" w:space="0" w:color="auto"/>
                                                                                    <w:bottom w:val="none" w:sz="0" w:space="0" w:color="auto"/>
                                                                                    <w:right w:val="none" w:sz="0" w:space="0" w:color="auto"/>
                                                                                  </w:divBdr>
                                                                                </w:div>
                                                                                <w:div w:id="931281381">
                                                                                  <w:marLeft w:val="0"/>
                                                                                  <w:marRight w:val="0"/>
                                                                                  <w:marTop w:val="0"/>
                                                                                  <w:marBottom w:val="0"/>
                                                                                  <w:divBdr>
                                                                                    <w:top w:val="none" w:sz="0" w:space="0" w:color="auto"/>
                                                                                    <w:left w:val="none" w:sz="0" w:space="0" w:color="auto"/>
                                                                                    <w:bottom w:val="none" w:sz="0" w:space="0" w:color="auto"/>
                                                                                    <w:right w:val="none" w:sz="0" w:space="0" w:color="auto"/>
                                                                                  </w:divBdr>
                                                                                </w:div>
                                                                                <w:div w:id="933980607">
                                                                                  <w:marLeft w:val="0"/>
                                                                                  <w:marRight w:val="0"/>
                                                                                  <w:marTop w:val="0"/>
                                                                                  <w:marBottom w:val="0"/>
                                                                                  <w:divBdr>
                                                                                    <w:top w:val="none" w:sz="0" w:space="0" w:color="auto"/>
                                                                                    <w:left w:val="none" w:sz="0" w:space="0" w:color="auto"/>
                                                                                    <w:bottom w:val="none" w:sz="0" w:space="0" w:color="auto"/>
                                                                                    <w:right w:val="none" w:sz="0" w:space="0" w:color="auto"/>
                                                                                  </w:divBdr>
                                                                                </w:div>
                                                                                <w:div w:id="1108815767">
                                                                                  <w:marLeft w:val="0"/>
                                                                                  <w:marRight w:val="0"/>
                                                                                  <w:marTop w:val="0"/>
                                                                                  <w:marBottom w:val="0"/>
                                                                                  <w:divBdr>
                                                                                    <w:top w:val="none" w:sz="0" w:space="0" w:color="auto"/>
                                                                                    <w:left w:val="none" w:sz="0" w:space="0" w:color="auto"/>
                                                                                    <w:bottom w:val="none" w:sz="0" w:space="0" w:color="auto"/>
                                                                                    <w:right w:val="none" w:sz="0" w:space="0" w:color="auto"/>
                                                                                  </w:divBdr>
                                                                                </w:div>
                                                                                <w:div w:id="1117026641">
                                                                                  <w:marLeft w:val="0"/>
                                                                                  <w:marRight w:val="0"/>
                                                                                  <w:marTop w:val="0"/>
                                                                                  <w:marBottom w:val="0"/>
                                                                                  <w:divBdr>
                                                                                    <w:top w:val="none" w:sz="0" w:space="0" w:color="auto"/>
                                                                                    <w:left w:val="none" w:sz="0" w:space="0" w:color="auto"/>
                                                                                    <w:bottom w:val="none" w:sz="0" w:space="0" w:color="auto"/>
                                                                                    <w:right w:val="none" w:sz="0" w:space="0" w:color="auto"/>
                                                                                  </w:divBdr>
                                                                                </w:div>
                                                                                <w:div w:id="1133447265">
                                                                                  <w:marLeft w:val="0"/>
                                                                                  <w:marRight w:val="0"/>
                                                                                  <w:marTop w:val="0"/>
                                                                                  <w:marBottom w:val="0"/>
                                                                                  <w:divBdr>
                                                                                    <w:top w:val="none" w:sz="0" w:space="0" w:color="auto"/>
                                                                                    <w:left w:val="none" w:sz="0" w:space="0" w:color="auto"/>
                                                                                    <w:bottom w:val="none" w:sz="0" w:space="0" w:color="auto"/>
                                                                                    <w:right w:val="none" w:sz="0" w:space="0" w:color="auto"/>
                                                                                  </w:divBdr>
                                                                                </w:div>
                                                                                <w:div w:id="1211117087">
                                                                                  <w:marLeft w:val="0"/>
                                                                                  <w:marRight w:val="0"/>
                                                                                  <w:marTop w:val="0"/>
                                                                                  <w:marBottom w:val="0"/>
                                                                                  <w:divBdr>
                                                                                    <w:top w:val="none" w:sz="0" w:space="0" w:color="auto"/>
                                                                                    <w:left w:val="none" w:sz="0" w:space="0" w:color="auto"/>
                                                                                    <w:bottom w:val="none" w:sz="0" w:space="0" w:color="auto"/>
                                                                                    <w:right w:val="none" w:sz="0" w:space="0" w:color="auto"/>
                                                                                  </w:divBdr>
                                                                                </w:div>
                                                                                <w:div w:id="1313604914">
                                                                                  <w:marLeft w:val="0"/>
                                                                                  <w:marRight w:val="0"/>
                                                                                  <w:marTop w:val="0"/>
                                                                                  <w:marBottom w:val="0"/>
                                                                                  <w:divBdr>
                                                                                    <w:top w:val="none" w:sz="0" w:space="0" w:color="auto"/>
                                                                                    <w:left w:val="none" w:sz="0" w:space="0" w:color="auto"/>
                                                                                    <w:bottom w:val="none" w:sz="0" w:space="0" w:color="auto"/>
                                                                                    <w:right w:val="none" w:sz="0" w:space="0" w:color="auto"/>
                                                                                  </w:divBdr>
                                                                                </w:div>
                                                                                <w:div w:id="1420524039">
                                                                                  <w:marLeft w:val="0"/>
                                                                                  <w:marRight w:val="0"/>
                                                                                  <w:marTop w:val="0"/>
                                                                                  <w:marBottom w:val="0"/>
                                                                                  <w:divBdr>
                                                                                    <w:top w:val="none" w:sz="0" w:space="0" w:color="auto"/>
                                                                                    <w:left w:val="none" w:sz="0" w:space="0" w:color="auto"/>
                                                                                    <w:bottom w:val="none" w:sz="0" w:space="0" w:color="auto"/>
                                                                                    <w:right w:val="none" w:sz="0" w:space="0" w:color="auto"/>
                                                                                  </w:divBdr>
                                                                                </w:div>
                                                                                <w:div w:id="1476601856">
                                                                                  <w:marLeft w:val="0"/>
                                                                                  <w:marRight w:val="0"/>
                                                                                  <w:marTop w:val="0"/>
                                                                                  <w:marBottom w:val="0"/>
                                                                                  <w:divBdr>
                                                                                    <w:top w:val="none" w:sz="0" w:space="0" w:color="auto"/>
                                                                                    <w:left w:val="none" w:sz="0" w:space="0" w:color="auto"/>
                                                                                    <w:bottom w:val="none" w:sz="0" w:space="0" w:color="auto"/>
                                                                                    <w:right w:val="none" w:sz="0" w:space="0" w:color="auto"/>
                                                                                  </w:divBdr>
                                                                                </w:div>
                                                                                <w:div w:id="1513376032">
                                                                                  <w:marLeft w:val="0"/>
                                                                                  <w:marRight w:val="0"/>
                                                                                  <w:marTop w:val="0"/>
                                                                                  <w:marBottom w:val="0"/>
                                                                                  <w:divBdr>
                                                                                    <w:top w:val="none" w:sz="0" w:space="0" w:color="auto"/>
                                                                                    <w:left w:val="none" w:sz="0" w:space="0" w:color="auto"/>
                                                                                    <w:bottom w:val="none" w:sz="0" w:space="0" w:color="auto"/>
                                                                                    <w:right w:val="none" w:sz="0" w:space="0" w:color="auto"/>
                                                                                  </w:divBdr>
                                                                                </w:div>
                                                                                <w:div w:id="1554728226">
                                                                                  <w:marLeft w:val="0"/>
                                                                                  <w:marRight w:val="0"/>
                                                                                  <w:marTop w:val="0"/>
                                                                                  <w:marBottom w:val="0"/>
                                                                                  <w:divBdr>
                                                                                    <w:top w:val="none" w:sz="0" w:space="0" w:color="auto"/>
                                                                                    <w:left w:val="none" w:sz="0" w:space="0" w:color="auto"/>
                                                                                    <w:bottom w:val="none" w:sz="0" w:space="0" w:color="auto"/>
                                                                                    <w:right w:val="none" w:sz="0" w:space="0" w:color="auto"/>
                                                                                  </w:divBdr>
                                                                                </w:div>
                                                                                <w:div w:id="1693066824">
                                                                                  <w:marLeft w:val="0"/>
                                                                                  <w:marRight w:val="0"/>
                                                                                  <w:marTop w:val="0"/>
                                                                                  <w:marBottom w:val="0"/>
                                                                                  <w:divBdr>
                                                                                    <w:top w:val="none" w:sz="0" w:space="0" w:color="auto"/>
                                                                                    <w:left w:val="none" w:sz="0" w:space="0" w:color="auto"/>
                                                                                    <w:bottom w:val="none" w:sz="0" w:space="0" w:color="auto"/>
                                                                                    <w:right w:val="none" w:sz="0" w:space="0" w:color="auto"/>
                                                                                  </w:divBdr>
                                                                                </w:div>
                                                                                <w:div w:id="1806504139">
                                                                                  <w:marLeft w:val="0"/>
                                                                                  <w:marRight w:val="0"/>
                                                                                  <w:marTop w:val="0"/>
                                                                                  <w:marBottom w:val="0"/>
                                                                                  <w:divBdr>
                                                                                    <w:top w:val="none" w:sz="0" w:space="0" w:color="auto"/>
                                                                                    <w:left w:val="none" w:sz="0" w:space="0" w:color="auto"/>
                                                                                    <w:bottom w:val="none" w:sz="0" w:space="0" w:color="auto"/>
                                                                                    <w:right w:val="none" w:sz="0" w:space="0" w:color="auto"/>
                                                                                  </w:divBdr>
                                                                                </w:div>
                                                                                <w:div w:id="1806659397">
                                                                                  <w:marLeft w:val="0"/>
                                                                                  <w:marRight w:val="0"/>
                                                                                  <w:marTop w:val="0"/>
                                                                                  <w:marBottom w:val="0"/>
                                                                                  <w:divBdr>
                                                                                    <w:top w:val="none" w:sz="0" w:space="0" w:color="auto"/>
                                                                                    <w:left w:val="none" w:sz="0" w:space="0" w:color="auto"/>
                                                                                    <w:bottom w:val="none" w:sz="0" w:space="0" w:color="auto"/>
                                                                                    <w:right w:val="none" w:sz="0" w:space="0" w:color="auto"/>
                                                                                  </w:divBdr>
                                                                                </w:div>
                                                                                <w:div w:id="2073651487">
                                                                                  <w:marLeft w:val="0"/>
                                                                                  <w:marRight w:val="0"/>
                                                                                  <w:marTop w:val="0"/>
                                                                                  <w:marBottom w:val="0"/>
                                                                                  <w:divBdr>
                                                                                    <w:top w:val="none" w:sz="0" w:space="0" w:color="auto"/>
                                                                                    <w:left w:val="none" w:sz="0" w:space="0" w:color="auto"/>
                                                                                    <w:bottom w:val="none" w:sz="0" w:space="0" w:color="auto"/>
                                                                                    <w:right w:val="none" w:sz="0" w:space="0" w:color="auto"/>
                                                                                  </w:divBdr>
                                                                                </w:div>
                                                                                <w:div w:id="2073768718">
                                                                                  <w:marLeft w:val="0"/>
                                                                                  <w:marRight w:val="0"/>
                                                                                  <w:marTop w:val="0"/>
                                                                                  <w:marBottom w:val="0"/>
                                                                                  <w:divBdr>
                                                                                    <w:top w:val="none" w:sz="0" w:space="0" w:color="auto"/>
                                                                                    <w:left w:val="none" w:sz="0" w:space="0" w:color="auto"/>
                                                                                    <w:bottom w:val="none" w:sz="0" w:space="0" w:color="auto"/>
                                                                                    <w:right w:val="none" w:sz="0" w:space="0" w:color="auto"/>
                                                                                  </w:divBdr>
                                                                                </w:div>
                                                                                <w:div w:id="21248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699197">
      <w:bodyDiv w:val="1"/>
      <w:marLeft w:val="0"/>
      <w:marRight w:val="0"/>
      <w:marTop w:val="0"/>
      <w:marBottom w:val="0"/>
      <w:divBdr>
        <w:top w:val="none" w:sz="0" w:space="0" w:color="auto"/>
        <w:left w:val="none" w:sz="0" w:space="0" w:color="auto"/>
        <w:bottom w:val="none" w:sz="0" w:space="0" w:color="auto"/>
        <w:right w:val="none" w:sz="0" w:space="0" w:color="auto"/>
      </w:divBdr>
    </w:div>
    <w:div w:id="249236327">
      <w:bodyDiv w:val="1"/>
      <w:marLeft w:val="0"/>
      <w:marRight w:val="0"/>
      <w:marTop w:val="0"/>
      <w:marBottom w:val="0"/>
      <w:divBdr>
        <w:top w:val="none" w:sz="0" w:space="0" w:color="auto"/>
        <w:left w:val="none" w:sz="0" w:space="0" w:color="auto"/>
        <w:bottom w:val="none" w:sz="0" w:space="0" w:color="auto"/>
        <w:right w:val="none" w:sz="0" w:space="0" w:color="auto"/>
      </w:divBdr>
    </w:div>
    <w:div w:id="309986815">
      <w:bodyDiv w:val="1"/>
      <w:marLeft w:val="0"/>
      <w:marRight w:val="0"/>
      <w:marTop w:val="0"/>
      <w:marBottom w:val="0"/>
      <w:divBdr>
        <w:top w:val="none" w:sz="0" w:space="0" w:color="auto"/>
        <w:left w:val="none" w:sz="0" w:space="0" w:color="auto"/>
        <w:bottom w:val="none" w:sz="0" w:space="0" w:color="auto"/>
        <w:right w:val="none" w:sz="0" w:space="0" w:color="auto"/>
      </w:divBdr>
    </w:div>
    <w:div w:id="418138150">
      <w:bodyDiv w:val="1"/>
      <w:marLeft w:val="0"/>
      <w:marRight w:val="0"/>
      <w:marTop w:val="0"/>
      <w:marBottom w:val="0"/>
      <w:divBdr>
        <w:top w:val="none" w:sz="0" w:space="0" w:color="auto"/>
        <w:left w:val="none" w:sz="0" w:space="0" w:color="auto"/>
        <w:bottom w:val="none" w:sz="0" w:space="0" w:color="auto"/>
        <w:right w:val="none" w:sz="0" w:space="0" w:color="auto"/>
      </w:divBdr>
      <w:divsChild>
        <w:div w:id="1000890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3446954">
      <w:bodyDiv w:val="1"/>
      <w:marLeft w:val="0"/>
      <w:marRight w:val="0"/>
      <w:marTop w:val="0"/>
      <w:marBottom w:val="0"/>
      <w:divBdr>
        <w:top w:val="none" w:sz="0" w:space="0" w:color="auto"/>
        <w:left w:val="none" w:sz="0" w:space="0" w:color="auto"/>
        <w:bottom w:val="none" w:sz="0" w:space="0" w:color="auto"/>
        <w:right w:val="none" w:sz="0" w:space="0" w:color="auto"/>
      </w:divBdr>
      <w:divsChild>
        <w:div w:id="60375542">
          <w:marLeft w:val="0"/>
          <w:marRight w:val="0"/>
          <w:marTop w:val="0"/>
          <w:marBottom w:val="0"/>
          <w:divBdr>
            <w:top w:val="none" w:sz="0" w:space="0" w:color="auto"/>
            <w:left w:val="none" w:sz="0" w:space="0" w:color="auto"/>
            <w:bottom w:val="none" w:sz="0" w:space="0" w:color="auto"/>
            <w:right w:val="none" w:sz="0" w:space="0" w:color="auto"/>
          </w:divBdr>
          <w:divsChild>
            <w:div w:id="340665426">
              <w:marLeft w:val="0"/>
              <w:marRight w:val="0"/>
              <w:marTop w:val="0"/>
              <w:marBottom w:val="0"/>
              <w:divBdr>
                <w:top w:val="none" w:sz="0" w:space="0" w:color="auto"/>
                <w:left w:val="none" w:sz="0" w:space="0" w:color="auto"/>
                <w:bottom w:val="none" w:sz="0" w:space="0" w:color="auto"/>
                <w:right w:val="none" w:sz="0" w:space="0" w:color="auto"/>
              </w:divBdr>
              <w:divsChild>
                <w:div w:id="844438974">
                  <w:marLeft w:val="0"/>
                  <w:marRight w:val="0"/>
                  <w:marTop w:val="0"/>
                  <w:marBottom w:val="0"/>
                  <w:divBdr>
                    <w:top w:val="none" w:sz="0" w:space="0" w:color="auto"/>
                    <w:left w:val="none" w:sz="0" w:space="0" w:color="auto"/>
                    <w:bottom w:val="none" w:sz="0" w:space="0" w:color="auto"/>
                    <w:right w:val="none" w:sz="0" w:space="0" w:color="auto"/>
                  </w:divBdr>
                  <w:divsChild>
                    <w:div w:id="1948388144">
                      <w:marLeft w:val="0"/>
                      <w:marRight w:val="0"/>
                      <w:marTop w:val="0"/>
                      <w:marBottom w:val="0"/>
                      <w:divBdr>
                        <w:top w:val="none" w:sz="0" w:space="0" w:color="auto"/>
                        <w:left w:val="none" w:sz="0" w:space="0" w:color="auto"/>
                        <w:bottom w:val="none" w:sz="0" w:space="0" w:color="auto"/>
                        <w:right w:val="none" w:sz="0" w:space="0" w:color="auto"/>
                      </w:divBdr>
                      <w:divsChild>
                        <w:div w:id="1859287">
                          <w:marLeft w:val="0"/>
                          <w:marRight w:val="0"/>
                          <w:marTop w:val="0"/>
                          <w:marBottom w:val="0"/>
                          <w:divBdr>
                            <w:top w:val="none" w:sz="0" w:space="0" w:color="auto"/>
                            <w:left w:val="none" w:sz="0" w:space="0" w:color="auto"/>
                            <w:bottom w:val="none" w:sz="0" w:space="0" w:color="auto"/>
                            <w:right w:val="none" w:sz="0" w:space="0" w:color="auto"/>
                          </w:divBdr>
                          <w:divsChild>
                            <w:div w:id="1448084597">
                              <w:marLeft w:val="0"/>
                              <w:marRight w:val="0"/>
                              <w:marTop w:val="0"/>
                              <w:marBottom w:val="0"/>
                              <w:divBdr>
                                <w:top w:val="none" w:sz="0" w:space="0" w:color="auto"/>
                                <w:left w:val="none" w:sz="0" w:space="0" w:color="auto"/>
                                <w:bottom w:val="none" w:sz="0" w:space="0" w:color="auto"/>
                                <w:right w:val="none" w:sz="0" w:space="0" w:color="auto"/>
                              </w:divBdr>
                              <w:divsChild>
                                <w:div w:id="1285497544">
                                  <w:marLeft w:val="0"/>
                                  <w:marRight w:val="0"/>
                                  <w:marTop w:val="0"/>
                                  <w:marBottom w:val="0"/>
                                  <w:divBdr>
                                    <w:top w:val="none" w:sz="0" w:space="0" w:color="auto"/>
                                    <w:left w:val="none" w:sz="0" w:space="0" w:color="auto"/>
                                    <w:bottom w:val="none" w:sz="0" w:space="0" w:color="auto"/>
                                    <w:right w:val="none" w:sz="0" w:space="0" w:color="auto"/>
                                  </w:divBdr>
                                  <w:divsChild>
                                    <w:div w:id="1439377186">
                                      <w:marLeft w:val="0"/>
                                      <w:marRight w:val="0"/>
                                      <w:marTop w:val="0"/>
                                      <w:marBottom w:val="0"/>
                                      <w:divBdr>
                                        <w:top w:val="none" w:sz="0" w:space="0" w:color="auto"/>
                                        <w:left w:val="none" w:sz="0" w:space="0" w:color="auto"/>
                                        <w:bottom w:val="none" w:sz="0" w:space="0" w:color="auto"/>
                                        <w:right w:val="none" w:sz="0" w:space="0" w:color="auto"/>
                                      </w:divBdr>
                                      <w:divsChild>
                                        <w:div w:id="1315798003">
                                          <w:marLeft w:val="0"/>
                                          <w:marRight w:val="0"/>
                                          <w:marTop w:val="0"/>
                                          <w:marBottom w:val="0"/>
                                          <w:divBdr>
                                            <w:top w:val="none" w:sz="0" w:space="0" w:color="auto"/>
                                            <w:left w:val="none" w:sz="0" w:space="0" w:color="auto"/>
                                            <w:bottom w:val="none" w:sz="0" w:space="0" w:color="auto"/>
                                            <w:right w:val="none" w:sz="0" w:space="0" w:color="auto"/>
                                          </w:divBdr>
                                          <w:divsChild>
                                            <w:div w:id="305817512">
                                              <w:marLeft w:val="0"/>
                                              <w:marRight w:val="0"/>
                                              <w:marTop w:val="0"/>
                                              <w:marBottom w:val="0"/>
                                              <w:divBdr>
                                                <w:top w:val="none" w:sz="0" w:space="0" w:color="auto"/>
                                                <w:left w:val="none" w:sz="0" w:space="0" w:color="auto"/>
                                                <w:bottom w:val="none" w:sz="0" w:space="0" w:color="auto"/>
                                                <w:right w:val="none" w:sz="0" w:space="0" w:color="auto"/>
                                              </w:divBdr>
                                              <w:divsChild>
                                                <w:div w:id="1108502699">
                                                  <w:marLeft w:val="0"/>
                                                  <w:marRight w:val="0"/>
                                                  <w:marTop w:val="0"/>
                                                  <w:marBottom w:val="0"/>
                                                  <w:divBdr>
                                                    <w:top w:val="none" w:sz="0" w:space="0" w:color="auto"/>
                                                    <w:left w:val="none" w:sz="0" w:space="0" w:color="auto"/>
                                                    <w:bottom w:val="none" w:sz="0" w:space="0" w:color="auto"/>
                                                    <w:right w:val="none" w:sz="0" w:space="0" w:color="auto"/>
                                                  </w:divBdr>
                                                  <w:divsChild>
                                                    <w:div w:id="1629317219">
                                                      <w:marLeft w:val="0"/>
                                                      <w:marRight w:val="0"/>
                                                      <w:marTop w:val="0"/>
                                                      <w:marBottom w:val="0"/>
                                                      <w:divBdr>
                                                        <w:top w:val="single" w:sz="6" w:space="0" w:color="ABABAB"/>
                                                        <w:left w:val="single" w:sz="6" w:space="0" w:color="ABABAB"/>
                                                        <w:bottom w:val="none" w:sz="0" w:space="0" w:color="auto"/>
                                                        <w:right w:val="single" w:sz="6" w:space="0" w:color="ABABAB"/>
                                                      </w:divBdr>
                                                      <w:divsChild>
                                                        <w:div w:id="577207354">
                                                          <w:marLeft w:val="0"/>
                                                          <w:marRight w:val="0"/>
                                                          <w:marTop w:val="0"/>
                                                          <w:marBottom w:val="0"/>
                                                          <w:divBdr>
                                                            <w:top w:val="none" w:sz="0" w:space="0" w:color="auto"/>
                                                            <w:left w:val="none" w:sz="0" w:space="0" w:color="auto"/>
                                                            <w:bottom w:val="none" w:sz="0" w:space="0" w:color="auto"/>
                                                            <w:right w:val="none" w:sz="0" w:space="0" w:color="auto"/>
                                                          </w:divBdr>
                                                          <w:divsChild>
                                                            <w:div w:id="1082943890">
                                                              <w:marLeft w:val="0"/>
                                                              <w:marRight w:val="0"/>
                                                              <w:marTop w:val="0"/>
                                                              <w:marBottom w:val="0"/>
                                                              <w:divBdr>
                                                                <w:top w:val="none" w:sz="0" w:space="0" w:color="auto"/>
                                                                <w:left w:val="none" w:sz="0" w:space="0" w:color="auto"/>
                                                                <w:bottom w:val="none" w:sz="0" w:space="0" w:color="auto"/>
                                                                <w:right w:val="none" w:sz="0" w:space="0" w:color="auto"/>
                                                              </w:divBdr>
                                                              <w:divsChild>
                                                                <w:div w:id="1416047507">
                                                                  <w:marLeft w:val="0"/>
                                                                  <w:marRight w:val="0"/>
                                                                  <w:marTop w:val="0"/>
                                                                  <w:marBottom w:val="0"/>
                                                                  <w:divBdr>
                                                                    <w:top w:val="none" w:sz="0" w:space="0" w:color="auto"/>
                                                                    <w:left w:val="none" w:sz="0" w:space="0" w:color="auto"/>
                                                                    <w:bottom w:val="none" w:sz="0" w:space="0" w:color="auto"/>
                                                                    <w:right w:val="none" w:sz="0" w:space="0" w:color="auto"/>
                                                                  </w:divBdr>
                                                                  <w:divsChild>
                                                                    <w:div w:id="1164321169">
                                                                      <w:marLeft w:val="0"/>
                                                                      <w:marRight w:val="0"/>
                                                                      <w:marTop w:val="0"/>
                                                                      <w:marBottom w:val="0"/>
                                                                      <w:divBdr>
                                                                        <w:top w:val="none" w:sz="0" w:space="0" w:color="auto"/>
                                                                        <w:left w:val="none" w:sz="0" w:space="0" w:color="auto"/>
                                                                        <w:bottom w:val="none" w:sz="0" w:space="0" w:color="auto"/>
                                                                        <w:right w:val="none" w:sz="0" w:space="0" w:color="auto"/>
                                                                      </w:divBdr>
                                                                      <w:divsChild>
                                                                        <w:div w:id="141507490">
                                                                          <w:marLeft w:val="0"/>
                                                                          <w:marRight w:val="0"/>
                                                                          <w:marTop w:val="0"/>
                                                                          <w:marBottom w:val="0"/>
                                                                          <w:divBdr>
                                                                            <w:top w:val="none" w:sz="0" w:space="0" w:color="auto"/>
                                                                            <w:left w:val="none" w:sz="0" w:space="0" w:color="auto"/>
                                                                            <w:bottom w:val="none" w:sz="0" w:space="0" w:color="auto"/>
                                                                            <w:right w:val="none" w:sz="0" w:space="0" w:color="auto"/>
                                                                          </w:divBdr>
                                                                          <w:divsChild>
                                                                            <w:div w:id="1599673332">
                                                                              <w:marLeft w:val="0"/>
                                                                              <w:marRight w:val="0"/>
                                                                              <w:marTop w:val="0"/>
                                                                              <w:marBottom w:val="0"/>
                                                                              <w:divBdr>
                                                                                <w:top w:val="none" w:sz="0" w:space="0" w:color="auto"/>
                                                                                <w:left w:val="none" w:sz="0" w:space="0" w:color="auto"/>
                                                                                <w:bottom w:val="none" w:sz="0" w:space="0" w:color="auto"/>
                                                                                <w:right w:val="none" w:sz="0" w:space="0" w:color="auto"/>
                                                                              </w:divBdr>
                                                                              <w:divsChild>
                                                                                <w:div w:id="504832626">
                                                                                  <w:marLeft w:val="0"/>
                                                                                  <w:marRight w:val="0"/>
                                                                                  <w:marTop w:val="0"/>
                                                                                  <w:marBottom w:val="0"/>
                                                                                  <w:divBdr>
                                                                                    <w:top w:val="none" w:sz="0" w:space="0" w:color="auto"/>
                                                                                    <w:left w:val="none" w:sz="0" w:space="0" w:color="auto"/>
                                                                                    <w:bottom w:val="none" w:sz="0" w:space="0" w:color="auto"/>
                                                                                    <w:right w:val="none" w:sz="0" w:space="0" w:color="auto"/>
                                                                                  </w:divBdr>
                                                                                </w:div>
                                                                                <w:div w:id="573517859">
                                                                                  <w:marLeft w:val="0"/>
                                                                                  <w:marRight w:val="0"/>
                                                                                  <w:marTop w:val="0"/>
                                                                                  <w:marBottom w:val="0"/>
                                                                                  <w:divBdr>
                                                                                    <w:top w:val="none" w:sz="0" w:space="0" w:color="auto"/>
                                                                                    <w:left w:val="none" w:sz="0" w:space="0" w:color="auto"/>
                                                                                    <w:bottom w:val="none" w:sz="0" w:space="0" w:color="auto"/>
                                                                                    <w:right w:val="none" w:sz="0" w:space="0" w:color="auto"/>
                                                                                  </w:divBdr>
                                                                                </w:div>
                                                                                <w:div w:id="687832342">
                                                                                  <w:marLeft w:val="0"/>
                                                                                  <w:marRight w:val="0"/>
                                                                                  <w:marTop w:val="0"/>
                                                                                  <w:marBottom w:val="0"/>
                                                                                  <w:divBdr>
                                                                                    <w:top w:val="none" w:sz="0" w:space="0" w:color="auto"/>
                                                                                    <w:left w:val="none" w:sz="0" w:space="0" w:color="auto"/>
                                                                                    <w:bottom w:val="none" w:sz="0" w:space="0" w:color="auto"/>
                                                                                    <w:right w:val="none" w:sz="0" w:space="0" w:color="auto"/>
                                                                                  </w:divBdr>
                                                                                </w:div>
                                                                                <w:div w:id="805397602">
                                                                                  <w:marLeft w:val="0"/>
                                                                                  <w:marRight w:val="0"/>
                                                                                  <w:marTop w:val="0"/>
                                                                                  <w:marBottom w:val="0"/>
                                                                                  <w:divBdr>
                                                                                    <w:top w:val="none" w:sz="0" w:space="0" w:color="auto"/>
                                                                                    <w:left w:val="none" w:sz="0" w:space="0" w:color="auto"/>
                                                                                    <w:bottom w:val="none" w:sz="0" w:space="0" w:color="auto"/>
                                                                                    <w:right w:val="none" w:sz="0" w:space="0" w:color="auto"/>
                                                                                  </w:divBdr>
                                                                                </w:div>
                                                                                <w:div w:id="1041590875">
                                                                                  <w:marLeft w:val="0"/>
                                                                                  <w:marRight w:val="0"/>
                                                                                  <w:marTop w:val="0"/>
                                                                                  <w:marBottom w:val="0"/>
                                                                                  <w:divBdr>
                                                                                    <w:top w:val="none" w:sz="0" w:space="0" w:color="auto"/>
                                                                                    <w:left w:val="none" w:sz="0" w:space="0" w:color="auto"/>
                                                                                    <w:bottom w:val="none" w:sz="0" w:space="0" w:color="auto"/>
                                                                                    <w:right w:val="none" w:sz="0" w:space="0" w:color="auto"/>
                                                                                  </w:divBdr>
                                                                                </w:div>
                                                                                <w:div w:id="1068576780">
                                                                                  <w:marLeft w:val="0"/>
                                                                                  <w:marRight w:val="0"/>
                                                                                  <w:marTop w:val="0"/>
                                                                                  <w:marBottom w:val="0"/>
                                                                                  <w:divBdr>
                                                                                    <w:top w:val="none" w:sz="0" w:space="0" w:color="auto"/>
                                                                                    <w:left w:val="none" w:sz="0" w:space="0" w:color="auto"/>
                                                                                    <w:bottom w:val="none" w:sz="0" w:space="0" w:color="auto"/>
                                                                                    <w:right w:val="none" w:sz="0" w:space="0" w:color="auto"/>
                                                                                  </w:divBdr>
                                                                                </w:div>
                                                                                <w:div w:id="1130124897">
                                                                                  <w:marLeft w:val="0"/>
                                                                                  <w:marRight w:val="0"/>
                                                                                  <w:marTop w:val="0"/>
                                                                                  <w:marBottom w:val="0"/>
                                                                                  <w:divBdr>
                                                                                    <w:top w:val="none" w:sz="0" w:space="0" w:color="auto"/>
                                                                                    <w:left w:val="none" w:sz="0" w:space="0" w:color="auto"/>
                                                                                    <w:bottom w:val="none" w:sz="0" w:space="0" w:color="auto"/>
                                                                                    <w:right w:val="none" w:sz="0" w:space="0" w:color="auto"/>
                                                                                  </w:divBdr>
                                                                                </w:div>
                                                                                <w:div w:id="1144155388">
                                                                                  <w:marLeft w:val="0"/>
                                                                                  <w:marRight w:val="0"/>
                                                                                  <w:marTop w:val="0"/>
                                                                                  <w:marBottom w:val="0"/>
                                                                                  <w:divBdr>
                                                                                    <w:top w:val="none" w:sz="0" w:space="0" w:color="auto"/>
                                                                                    <w:left w:val="none" w:sz="0" w:space="0" w:color="auto"/>
                                                                                    <w:bottom w:val="none" w:sz="0" w:space="0" w:color="auto"/>
                                                                                    <w:right w:val="none" w:sz="0" w:space="0" w:color="auto"/>
                                                                                  </w:divBdr>
                                                                                </w:div>
                                                                                <w:div w:id="1239173544">
                                                                                  <w:marLeft w:val="0"/>
                                                                                  <w:marRight w:val="0"/>
                                                                                  <w:marTop w:val="0"/>
                                                                                  <w:marBottom w:val="0"/>
                                                                                  <w:divBdr>
                                                                                    <w:top w:val="none" w:sz="0" w:space="0" w:color="auto"/>
                                                                                    <w:left w:val="none" w:sz="0" w:space="0" w:color="auto"/>
                                                                                    <w:bottom w:val="none" w:sz="0" w:space="0" w:color="auto"/>
                                                                                    <w:right w:val="none" w:sz="0" w:space="0" w:color="auto"/>
                                                                                  </w:divBdr>
                                                                                </w:div>
                                                                                <w:div w:id="1250653464">
                                                                                  <w:marLeft w:val="0"/>
                                                                                  <w:marRight w:val="0"/>
                                                                                  <w:marTop w:val="0"/>
                                                                                  <w:marBottom w:val="0"/>
                                                                                  <w:divBdr>
                                                                                    <w:top w:val="none" w:sz="0" w:space="0" w:color="auto"/>
                                                                                    <w:left w:val="none" w:sz="0" w:space="0" w:color="auto"/>
                                                                                    <w:bottom w:val="none" w:sz="0" w:space="0" w:color="auto"/>
                                                                                    <w:right w:val="none" w:sz="0" w:space="0" w:color="auto"/>
                                                                                  </w:divBdr>
                                                                                </w:div>
                                                                                <w:div w:id="1405489385">
                                                                                  <w:marLeft w:val="0"/>
                                                                                  <w:marRight w:val="0"/>
                                                                                  <w:marTop w:val="0"/>
                                                                                  <w:marBottom w:val="0"/>
                                                                                  <w:divBdr>
                                                                                    <w:top w:val="none" w:sz="0" w:space="0" w:color="auto"/>
                                                                                    <w:left w:val="none" w:sz="0" w:space="0" w:color="auto"/>
                                                                                    <w:bottom w:val="none" w:sz="0" w:space="0" w:color="auto"/>
                                                                                    <w:right w:val="none" w:sz="0" w:space="0" w:color="auto"/>
                                                                                  </w:divBdr>
                                                                                </w:div>
                                                                                <w:div w:id="1487623503">
                                                                                  <w:marLeft w:val="0"/>
                                                                                  <w:marRight w:val="0"/>
                                                                                  <w:marTop w:val="0"/>
                                                                                  <w:marBottom w:val="0"/>
                                                                                  <w:divBdr>
                                                                                    <w:top w:val="none" w:sz="0" w:space="0" w:color="auto"/>
                                                                                    <w:left w:val="none" w:sz="0" w:space="0" w:color="auto"/>
                                                                                    <w:bottom w:val="none" w:sz="0" w:space="0" w:color="auto"/>
                                                                                    <w:right w:val="none" w:sz="0" w:space="0" w:color="auto"/>
                                                                                  </w:divBdr>
                                                                                </w:div>
                                                                                <w:div w:id="1566331729">
                                                                                  <w:marLeft w:val="0"/>
                                                                                  <w:marRight w:val="0"/>
                                                                                  <w:marTop w:val="0"/>
                                                                                  <w:marBottom w:val="0"/>
                                                                                  <w:divBdr>
                                                                                    <w:top w:val="none" w:sz="0" w:space="0" w:color="auto"/>
                                                                                    <w:left w:val="none" w:sz="0" w:space="0" w:color="auto"/>
                                                                                    <w:bottom w:val="none" w:sz="0" w:space="0" w:color="auto"/>
                                                                                    <w:right w:val="none" w:sz="0" w:space="0" w:color="auto"/>
                                                                                  </w:divBdr>
                                                                                </w:div>
                                                                                <w:div w:id="1682706424">
                                                                                  <w:marLeft w:val="0"/>
                                                                                  <w:marRight w:val="0"/>
                                                                                  <w:marTop w:val="0"/>
                                                                                  <w:marBottom w:val="0"/>
                                                                                  <w:divBdr>
                                                                                    <w:top w:val="none" w:sz="0" w:space="0" w:color="auto"/>
                                                                                    <w:left w:val="none" w:sz="0" w:space="0" w:color="auto"/>
                                                                                    <w:bottom w:val="none" w:sz="0" w:space="0" w:color="auto"/>
                                                                                    <w:right w:val="none" w:sz="0" w:space="0" w:color="auto"/>
                                                                                  </w:divBdr>
                                                                                </w:div>
                                                                                <w:div w:id="1780489283">
                                                                                  <w:marLeft w:val="0"/>
                                                                                  <w:marRight w:val="0"/>
                                                                                  <w:marTop w:val="0"/>
                                                                                  <w:marBottom w:val="0"/>
                                                                                  <w:divBdr>
                                                                                    <w:top w:val="none" w:sz="0" w:space="0" w:color="auto"/>
                                                                                    <w:left w:val="none" w:sz="0" w:space="0" w:color="auto"/>
                                                                                    <w:bottom w:val="none" w:sz="0" w:space="0" w:color="auto"/>
                                                                                    <w:right w:val="none" w:sz="0" w:space="0" w:color="auto"/>
                                                                                  </w:divBdr>
                                                                                </w:div>
                                                                                <w:div w:id="2026899628">
                                                                                  <w:marLeft w:val="0"/>
                                                                                  <w:marRight w:val="0"/>
                                                                                  <w:marTop w:val="0"/>
                                                                                  <w:marBottom w:val="0"/>
                                                                                  <w:divBdr>
                                                                                    <w:top w:val="none" w:sz="0" w:space="0" w:color="auto"/>
                                                                                    <w:left w:val="none" w:sz="0" w:space="0" w:color="auto"/>
                                                                                    <w:bottom w:val="none" w:sz="0" w:space="0" w:color="auto"/>
                                                                                    <w:right w:val="none" w:sz="0" w:space="0" w:color="auto"/>
                                                                                  </w:divBdr>
                                                                                </w:div>
                                                                                <w:div w:id="21212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643576">
      <w:bodyDiv w:val="1"/>
      <w:marLeft w:val="0"/>
      <w:marRight w:val="0"/>
      <w:marTop w:val="0"/>
      <w:marBottom w:val="0"/>
      <w:divBdr>
        <w:top w:val="none" w:sz="0" w:space="0" w:color="auto"/>
        <w:left w:val="none" w:sz="0" w:space="0" w:color="auto"/>
        <w:bottom w:val="none" w:sz="0" w:space="0" w:color="auto"/>
        <w:right w:val="none" w:sz="0" w:space="0" w:color="auto"/>
      </w:divBdr>
    </w:div>
    <w:div w:id="589852671">
      <w:bodyDiv w:val="1"/>
      <w:marLeft w:val="0"/>
      <w:marRight w:val="0"/>
      <w:marTop w:val="0"/>
      <w:marBottom w:val="0"/>
      <w:divBdr>
        <w:top w:val="none" w:sz="0" w:space="0" w:color="auto"/>
        <w:left w:val="none" w:sz="0" w:space="0" w:color="auto"/>
        <w:bottom w:val="none" w:sz="0" w:space="0" w:color="auto"/>
        <w:right w:val="none" w:sz="0" w:space="0" w:color="auto"/>
      </w:divBdr>
    </w:div>
    <w:div w:id="608895060">
      <w:bodyDiv w:val="1"/>
      <w:marLeft w:val="0"/>
      <w:marRight w:val="0"/>
      <w:marTop w:val="0"/>
      <w:marBottom w:val="0"/>
      <w:divBdr>
        <w:top w:val="none" w:sz="0" w:space="0" w:color="auto"/>
        <w:left w:val="none" w:sz="0" w:space="0" w:color="auto"/>
        <w:bottom w:val="none" w:sz="0" w:space="0" w:color="auto"/>
        <w:right w:val="none" w:sz="0" w:space="0" w:color="auto"/>
      </w:divBdr>
    </w:div>
    <w:div w:id="659890465">
      <w:bodyDiv w:val="1"/>
      <w:marLeft w:val="0"/>
      <w:marRight w:val="0"/>
      <w:marTop w:val="0"/>
      <w:marBottom w:val="0"/>
      <w:divBdr>
        <w:top w:val="none" w:sz="0" w:space="0" w:color="auto"/>
        <w:left w:val="none" w:sz="0" w:space="0" w:color="auto"/>
        <w:bottom w:val="none" w:sz="0" w:space="0" w:color="auto"/>
        <w:right w:val="none" w:sz="0" w:space="0" w:color="auto"/>
      </w:divBdr>
    </w:div>
    <w:div w:id="662438139">
      <w:bodyDiv w:val="1"/>
      <w:marLeft w:val="0"/>
      <w:marRight w:val="0"/>
      <w:marTop w:val="0"/>
      <w:marBottom w:val="0"/>
      <w:divBdr>
        <w:top w:val="none" w:sz="0" w:space="0" w:color="auto"/>
        <w:left w:val="none" w:sz="0" w:space="0" w:color="auto"/>
        <w:bottom w:val="none" w:sz="0" w:space="0" w:color="auto"/>
        <w:right w:val="none" w:sz="0" w:space="0" w:color="auto"/>
      </w:divBdr>
    </w:div>
    <w:div w:id="732776986">
      <w:bodyDiv w:val="1"/>
      <w:marLeft w:val="0"/>
      <w:marRight w:val="0"/>
      <w:marTop w:val="0"/>
      <w:marBottom w:val="0"/>
      <w:divBdr>
        <w:top w:val="none" w:sz="0" w:space="0" w:color="auto"/>
        <w:left w:val="none" w:sz="0" w:space="0" w:color="auto"/>
        <w:bottom w:val="none" w:sz="0" w:space="0" w:color="auto"/>
        <w:right w:val="none" w:sz="0" w:space="0" w:color="auto"/>
      </w:divBdr>
    </w:div>
    <w:div w:id="786196511">
      <w:bodyDiv w:val="1"/>
      <w:marLeft w:val="0"/>
      <w:marRight w:val="0"/>
      <w:marTop w:val="0"/>
      <w:marBottom w:val="0"/>
      <w:divBdr>
        <w:top w:val="none" w:sz="0" w:space="0" w:color="auto"/>
        <w:left w:val="none" w:sz="0" w:space="0" w:color="auto"/>
        <w:bottom w:val="none" w:sz="0" w:space="0" w:color="auto"/>
        <w:right w:val="none" w:sz="0" w:space="0" w:color="auto"/>
      </w:divBdr>
    </w:div>
    <w:div w:id="793672975">
      <w:bodyDiv w:val="1"/>
      <w:marLeft w:val="0"/>
      <w:marRight w:val="0"/>
      <w:marTop w:val="0"/>
      <w:marBottom w:val="0"/>
      <w:divBdr>
        <w:top w:val="none" w:sz="0" w:space="0" w:color="auto"/>
        <w:left w:val="none" w:sz="0" w:space="0" w:color="auto"/>
        <w:bottom w:val="none" w:sz="0" w:space="0" w:color="auto"/>
        <w:right w:val="none" w:sz="0" w:space="0" w:color="auto"/>
      </w:divBdr>
      <w:divsChild>
        <w:div w:id="14293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072">
      <w:bodyDiv w:val="1"/>
      <w:marLeft w:val="0"/>
      <w:marRight w:val="0"/>
      <w:marTop w:val="0"/>
      <w:marBottom w:val="0"/>
      <w:divBdr>
        <w:top w:val="none" w:sz="0" w:space="0" w:color="auto"/>
        <w:left w:val="none" w:sz="0" w:space="0" w:color="auto"/>
        <w:bottom w:val="none" w:sz="0" w:space="0" w:color="auto"/>
        <w:right w:val="none" w:sz="0" w:space="0" w:color="auto"/>
      </w:divBdr>
    </w:div>
    <w:div w:id="1046561590">
      <w:bodyDiv w:val="1"/>
      <w:marLeft w:val="0"/>
      <w:marRight w:val="0"/>
      <w:marTop w:val="0"/>
      <w:marBottom w:val="0"/>
      <w:divBdr>
        <w:top w:val="none" w:sz="0" w:space="0" w:color="auto"/>
        <w:left w:val="none" w:sz="0" w:space="0" w:color="auto"/>
        <w:bottom w:val="none" w:sz="0" w:space="0" w:color="auto"/>
        <w:right w:val="none" w:sz="0" w:space="0" w:color="auto"/>
      </w:divBdr>
    </w:div>
    <w:div w:id="1078598742">
      <w:bodyDiv w:val="1"/>
      <w:marLeft w:val="0"/>
      <w:marRight w:val="0"/>
      <w:marTop w:val="0"/>
      <w:marBottom w:val="0"/>
      <w:divBdr>
        <w:top w:val="none" w:sz="0" w:space="0" w:color="auto"/>
        <w:left w:val="none" w:sz="0" w:space="0" w:color="auto"/>
        <w:bottom w:val="none" w:sz="0" w:space="0" w:color="auto"/>
        <w:right w:val="none" w:sz="0" w:space="0" w:color="auto"/>
      </w:divBdr>
    </w:div>
    <w:div w:id="1098788599">
      <w:bodyDiv w:val="1"/>
      <w:marLeft w:val="0"/>
      <w:marRight w:val="0"/>
      <w:marTop w:val="0"/>
      <w:marBottom w:val="0"/>
      <w:divBdr>
        <w:top w:val="none" w:sz="0" w:space="0" w:color="auto"/>
        <w:left w:val="none" w:sz="0" w:space="0" w:color="auto"/>
        <w:bottom w:val="none" w:sz="0" w:space="0" w:color="auto"/>
        <w:right w:val="none" w:sz="0" w:space="0" w:color="auto"/>
      </w:divBdr>
    </w:div>
    <w:div w:id="1270353446">
      <w:bodyDiv w:val="1"/>
      <w:marLeft w:val="0"/>
      <w:marRight w:val="0"/>
      <w:marTop w:val="0"/>
      <w:marBottom w:val="0"/>
      <w:divBdr>
        <w:top w:val="none" w:sz="0" w:space="0" w:color="auto"/>
        <w:left w:val="none" w:sz="0" w:space="0" w:color="auto"/>
        <w:bottom w:val="none" w:sz="0" w:space="0" w:color="auto"/>
        <w:right w:val="none" w:sz="0" w:space="0" w:color="auto"/>
      </w:divBdr>
    </w:div>
    <w:div w:id="1313945367">
      <w:bodyDiv w:val="1"/>
      <w:marLeft w:val="0"/>
      <w:marRight w:val="0"/>
      <w:marTop w:val="0"/>
      <w:marBottom w:val="0"/>
      <w:divBdr>
        <w:top w:val="none" w:sz="0" w:space="0" w:color="auto"/>
        <w:left w:val="none" w:sz="0" w:space="0" w:color="auto"/>
        <w:bottom w:val="none" w:sz="0" w:space="0" w:color="auto"/>
        <w:right w:val="none" w:sz="0" w:space="0" w:color="auto"/>
      </w:divBdr>
    </w:div>
    <w:div w:id="1380940449">
      <w:bodyDiv w:val="1"/>
      <w:marLeft w:val="0"/>
      <w:marRight w:val="0"/>
      <w:marTop w:val="0"/>
      <w:marBottom w:val="0"/>
      <w:divBdr>
        <w:top w:val="none" w:sz="0" w:space="0" w:color="auto"/>
        <w:left w:val="none" w:sz="0" w:space="0" w:color="auto"/>
        <w:bottom w:val="none" w:sz="0" w:space="0" w:color="auto"/>
        <w:right w:val="none" w:sz="0" w:space="0" w:color="auto"/>
      </w:divBdr>
    </w:div>
    <w:div w:id="1411928218">
      <w:bodyDiv w:val="1"/>
      <w:marLeft w:val="0"/>
      <w:marRight w:val="0"/>
      <w:marTop w:val="0"/>
      <w:marBottom w:val="0"/>
      <w:divBdr>
        <w:top w:val="none" w:sz="0" w:space="0" w:color="auto"/>
        <w:left w:val="none" w:sz="0" w:space="0" w:color="auto"/>
        <w:bottom w:val="none" w:sz="0" w:space="0" w:color="auto"/>
        <w:right w:val="none" w:sz="0" w:space="0" w:color="auto"/>
      </w:divBdr>
    </w:div>
    <w:div w:id="1520924188">
      <w:bodyDiv w:val="1"/>
      <w:marLeft w:val="0"/>
      <w:marRight w:val="0"/>
      <w:marTop w:val="0"/>
      <w:marBottom w:val="0"/>
      <w:divBdr>
        <w:top w:val="none" w:sz="0" w:space="0" w:color="auto"/>
        <w:left w:val="none" w:sz="0" w:space="0" w:color="auto"/>
        <w:bottom w:val="none" w:sz="0" w:space="0" w:color="auto"/>
        <w:right w:val="none" w:sz="0" w:space="0" w:color="auto"/>
      </w:divBdr>
    </w:div>
    <w:div w:id="1700740839">
      <w:bodyDiv w:val="1"/>
      <w:marLeft w:val="0"/>
      <w:marRight w:val="0"/>
      <w:marTop w:val="0"/>
      <w:marBottom w:val="0"/>
      <w:divBdr>
        <w:top w:val="none" w:sz="0" w:space="0" w:color="auto"/>
        <w:left w:val="none" w:sz="0" w:space="0" w:color="auto"/>
        <w:bottom w:val="none" w:sz="0" w:space="0" w:color="auto"/>
        <w:right w:val="none" w:sz="0" w:space="0" w:color="auto"/>
      </w:divBdr>
    </w:div>
    <w:div w:id="1735465018">
      <w:bodyDiv w:val="1"/>
      <w:marLeft w:val="0"/>
      <w:marRight w:val="0"/>
      <w:marTop w:val="0"/>
      <w:marBottom w:val="0"/>
      <w:divBdr>
        <w:top w:val="none" w:sz="0" w:space="0" w:color="auto"/>
        <w:left w:val="none" w:sz="0" w:space="0" w:color="auto"/>
        <w:bottom w:val="none" w:sz="0" w:space="0" w:color="auto"/>
        <w:right w:val="none" w:sz="0" w:space="0" w:color="auto"/>
      </w:divBdr>
    </w:div>
    <w:div w:id="1742605173">
      <w:bodyDiv w:val="1"/>
      <w:marLeft w:val="0"/>
      <w:marRight w:val="0"/>
      <w:marTop w:val="0"/>
      <w:marBottom w:val="0"/>
      <w:divBdr>
        <w:top w:val="none" w:sz="0" w:space="0" w:color="auto"/>
        <w:left w:val="none" w:sz="0" w:space="0" w:color="auto"/>
        <w:bottom w:val="none" w:sz="0" w:space="0" w:color="auto"/>
        <w:right w:val="none" w:sz="0" w:space="0" w:color="auto"/>
      </w:divBdr>
    </w:div>
    <w:div w:id="1764572536">
      <w:bodyDiv w:val="1"/>
      <w:marLeft w:val="0"/>
      <w:marRight w:val="0"/>
      <w:marTop w:val="0"/>
      <w:marBottom w:val="0"/>
      <w:divBdr>
        <w:top w:val="none" w:sz="0" w:space="0" w:color="auto"/>
        <w:left w:val="none" w:sz="0" w:space="0" w:color="auto"/>
        <w:bottom w:val="none" w:sz="0" w:space="0" w:color="auto"/>
        <w:right w:val="none" w:sz="0" w:space="0" w:color="auto"/>
      </w:divBdr>
    </w:div>
    <w:div w:id="1893496968">
      <w:bodyDiv w:val="1"/>
      <w:marLeft w:val="0"/>
      <w:marRight w:val="0"/>
      <w:marTop w:val="0"/>
      <w:marBottom w:val="0"/>
      <w:divBdr>
        <w:top w:val="none" w:sz="0" w:space="0" w:color="auto"/>
        <w:left w:val="none" w:sz="0" w:space="0" w:color="auto"/>
        <w:bottom w:val="none" w:sz="0" w:space="0" w:color="auto"/>
        <w:right w:val="none" w:sz="0" w:space="0" w:color="auto"/>
      </w:divBdr>
    </w:div>
    <w:div w:id="1963226071">
      <w:bodyDiv w:val="1"/>
      <w:marLeft w:val="0"/>
      <w:marRight w:val="0"/>
      <w:marTop w:val="0"/>
      <w:marBottom w:val="0"/>
      <w:divBdr>
        <w:top w:val="none" w:sz="0" w:space="0" w:color="auto"/>
        <w:left w:val="none" w:sz="0" w:space="0" w:color="auto"/>
        <w:bottom w:val="none" w:sz="0" w:space="0" w:color="auto"/>
        <w:right w:val="none" w:sz="0" w:space="0" w:color="auto"/>
      </w:divBdr>
    </w:div>
    <w:div w:id="20326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hasepett@pa.gov" TargetMode="External"/><Relationship Id="rId18" Type="http://schemas.openxmlformats.org/officeDocument/2006/relationships/image" Target="media/image1.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nnifjohn@pa.gov" TargetMode="External"/><Relationship Id="rId17" Type="http://schemas.openxmlformats.org/officeDocument/2006/relationships/hyperlink" Target="mailto:finksmith@pa.gov"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magee@pa.gov" TargetMode="External"/><Relationship Id="rId20" Type="http://schemas.openxmlformats.org/officeDocument/2006/relationships/footer" Target="footer1.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agee@pa.gov"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mailto:finksmith@pa.gov" TargetMode="External"/><Relationship Id="rId23" Type="http://schemas.openxmlformats.org/officeDocument/2006/relationships/header" Target="header2.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iwilli@pa.gov"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8" Type="http://schemas.openxmlformats.org/officeDocument/2006/relationships/hyperlink" Target="http://www.opiniondynamics.com/wp-content/uploads/2013/06/Low-Income-Payment-Assistance-Program-Evaluation.pdf" TargetMode="External"/><Relationship Id="rId13" Type="http://schemas.openxmlformats.org/officeDocument/2006/relationships/hyperlink" Target="http://www.puc.pa.gov/general/pdf/USP_Evaluation-FirstEnergy.pdf" TargetMode="External"/><Relationship Id="rId18" Type="http://schemas.openxmlformats.org/officeDocument/2006/relationships/hyperlink" Target="http://www.puc.pa.gov/pcdocs/1367195.docx" TargetMode="External"/><Relationship Id="rId3" Type="http://schemas.openxmlformats.org/officeDocument/2006/relationships/hyperlink" Target="http://www.fsconline.com/downloads/Papers/2011%2006%20NYSERDA%20AffordGap.pdf" TargetMode="External"/><Relationship Id="rId7" Type="http://schemas.openxmlformats.org/officeDocument/2006/relationships/hyperlink" Target="http://www.puc.state.pa.us/General/publications_reports/pdf/EDC_NGDC_UniServ_Rpt2017.pdf" TargetMode="External"/><Relationship Id="rId12" Type="http://schemas.openxmlformats.org/officeDocument/2006/relationships/hyperlink" Target="https://www.fcc.gov/general/lifeline-program-low-income-consumers" TargetMode="External"/><Relationship Id="rId17" Type="http://schemas.openxmlformats.org/officeDocument/2006/relationships/hyperlink" Target="http://www.puc.state.pa.us/pcdocs/1367313.doc" TargetMode="External"/><Relationship Id="rId2" Type="http://schemas.openxmlformats.org/officeDocument/2006/relationships/hyperlink" Target="http://www.appriseinc.org/reports/LIHEAP%20BURDEN.pdf" TargetMode="External"/><Relationship Id="rId16" Type="http://schemas.openxmlformats.org/officeDocument/2006/relationships/hyperlink" Target="http://www.puc.pa.gov/pcdocs/1524987.pdf" TargetMode="External"/><Relationship Id="rId1" Type="http://schemas.openxmlformats.org/officeDocument/2006/relationships/hyperlink" Target="http://www.puc.pa.gov/pcdocs/1602386.pdf" TargetMode="External"/><Relationship Id="rId6" Type="http://schemas.openxmlformats.org/officeDocument/2006/relationships/hyperlink" Target="http://www.ilga.gov/legislation/ilcs/documents/030500200K18.htm" TargetMode="External"/><Relationship Id="rId11" Type="http://schemas.openxmlformats.org/officeDocument/2006/relationships/hyperlink" Target="http://www.dhs.pa.gov/cs/groups/webcontent/documents/document/c_279179.pdf" TargetMode="External"/><Relationship Id="rId5" Type="http://schemas.openxmlformats.org/officeDocument/2006/relationships/hyperlink" Target="https://www.state.nj.us/dca/divisions/dhcr/faq/usf.html" TargetMode="External"/><Relationship Id="rId15" Type="http://schemas.openxmlformats.org/officeDocument/2006/relationships/hyperlink" Target="https://pjm.com" TargetMode="External"/><Relationship Id="rId10" Type="http://schemas.openxmlformats.org/officeDocument/2006/relationships/hyperlink" Target="https://www.compass.state.pa.us" TargetMode="External"/><Relationship Id="rId4" Type="http://schemas.openxmlformats.org/officeDocument/2006/relationships/hyperlink" Target="https://www.development.ohio.gov/is/is_pipp.htm" TargetMode="External"/><Relationship Id="rId9" Type="http://schemas.openxmlformats.org/officeDocument/2006/relationships/hyperlink" Target="http://ssa-custhelp.ssa.gov/app/answers/detail/a_id/78/~/legal-requirements-to-provide-your-ssn" TargetMode="External"/><Relationship Id="rId14" Type="http://schemas.openxmlformats.org/officeDocument/2006/relationships/hyperlink" Target="https://www.pabulletin.com/secure/data/vol29/29-19/7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8" ma:contentTypeDescription="Create a new document." ma:contentTypeScope="" ma:versionID="83c342ef64fbafac7c7f6796fbd422f4">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c110a8a1522b66379533b5089ae4078a"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1E3CF-63C6-4715-970F-FF3537E102B9}">
  <ds:schemaRefs>
    <ds:schemaRef ds:uri="http://schemas.microsoft.com/sharepoint/v3/contenttype/forms"/>
  </ds:schemaRefs>
</ds:datastoreItem>
</file>

<file path=customXml/itemProps2.xml><?xml version="1.0" encoding="utf-8"?>
<ds:datastoreItem xmlns:ds="http://schemas.openxmlformats.org/officeDocument/2006/customXml" ds:itemID="{AC2879B8-D879-4FA0-96EE-8C14E70A7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E8290B-1FD1-4D00-95B4-FBB69C743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E8AC2-A082-4D79-B9A6-B7C5AB4A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30958</Words>
  <Characters>176463</Characters>
  <Application>Microsoft Office Word</Application>
  <DocSecurity>0</DocSecurity>
  <Lines>1470</Lines>
  <Paragraphs>414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Magee, Joseph</dc:creator>
  <cp:keywords/>
  <dc:description/>
  <cp:lastModifiedBy>Szybist, Mark</cp:lastModifiedBy>
  <cp:revision>2</cp:revision>
  <cp:lastPrinted>2019-09-30T13:49:00Z</cp:lastPrinted>
  <dcterms:created xsi:type="dcterms:W3CDTF">2019-12-22T13:54:00Z</dcterms:created>
  <dcterms:modified xsi:type="dcterms:W3CDTF">2019-12-22T13:54:00Z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